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880" w:right="1620" w:hanging="3872"/>
        <w:spacing w:after="0" w:line="320" w:lineRule="auto"/>
        <w:tabs>
          <w:tab w:leader="none" w:pos="46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-332105</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-97155</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8" w:lineRule="exact"/>
        <w:rPr>
          <w:sz w:val="24"/>
          <w:szCs w:val="24"/>
          <w:color w:val="auto"/>
        </w:rPr>
      </w:pPr>
    </w:p>
    <w:p>
      <w:pPr>
        <w:ind w:left="41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001-39386</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2" w:lineRule="exact"/>
        <w:rPr>
          <w:sz w:val="24"/>
          <w:szCs w:val="24"/>
          <w:color w:val="auto"/>
        </w:rPr>
      </w:pPr>
    </w:p>
    <w:p>
      <w:pPr>
        <w:jc w:val="center"/>
        <w:ind w:right="2120"/>
        <w:spacing w:after="0"/>
        <w:rPr>
          <w:sz w:val="20"/>
          <w:szCs w:val="20"/>
          <w:color w:val="auto"/>
        </w:rPr>
      </w:pPr>
      <w:r>
        <w:rPr>
          <w:rFonts w:ascii="Arial" w:cs="Arial" w:eastAsia="Arial" w:hAnsi="Arial"/>
          <w:sz w:val="18"/>
          <w:szCs w:val="18"/>
          <w:b w:val="1"/>
          <w:bCs w:val="1"/>
          <w:color w:val="auto"/>
        </w:rPr>
        <w:t>Delaware</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line="212" w:lineRule="auto"/>
        <w:rPr>
          <w:sz w:val="20"/>
          <w:szCs w:val="20"/>
          <w:color w:val="auto"/>
        </w:rPr>
      </w:pPr>
      <w:r>
        <w:rPr>
          <w:rFonts w:ascii="Arial" w:cs="Arial" w:eastAsia="Arial" w:hAnsi="Arial"/>
          <w:sz w:val="13"/>
          <w:szCs w:val="13"/>
          <w:b w:val="1"/>
          <w:bCs w:val="1"/>
          <w:color w:val="auto"/>
        </w:rPr>
        <w:t>incorporation or organization)</w:t>
      </w:r>
    </w:p>
    <w:p>
      <w:pPr>
        <w:jc w:val="center"/>
        <w:ind w:right="2140"/>
        <w:spacing w:after="0" w:line="222" w:lineRule="auto"/>
        <w:rPr>
          <w:sz w:val="20"/>
          <w:szCs w:val="20"/>
          <w:color w:val="auto"/>
        </w:rPr>
      </w:pPr>
      <w:r>
        <w:rPr>
          <w:rFonts w:ascii="Arial" w:cs="Arial" w:eastAsia="Arial" w:hAnsi="Arial"/>
          <w:sz w:val="14"/>
          <w:szCs w:val="14"/>
          <w:b w:val="1"/>
          <w:bCs w:val="1"/>
          <w:color w:val="auto"/>
        </w:rPr>
        <w:t>866 Malcolm Road, Suite 100</w:t>
      </w:r>
    </w:p>
    <w:p>
      <w:pPr>
        <w:jc w:val="center"/>
        <w:ind w:right="2120"/>
        <w:spacing w:after="0" w:line="225" w:lineRule="auto"/>
        <w:rPr>
          <w:sz w:val="20"/>
          <w:szCs w:val="20"/>
          <w:color w:val="auto"/>
        </w:rPr>
      </w:pPr>
      <w:r>
        <w:rPr>
          <w:rFonts w:ascii="Arial" w:cs="Arial" w:eastAsia="Arial" w:hAnsi="Arial"/>
          <w:sz w:val="14"/>
          <w:szCs w:val="14"/>
          <w:b w:val="1"/>
          <w:bCs w:val="1"/>
          <w:color w:val="auto"/>
        </w:rPr>
        <w:t>Burlingame, California</w:t>
      </w:r>
    </w:p>
    <w:p>
      <w:pPr>
        <w:ind w:left="174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220"/>
        <w:spacing w:after="0"/>
        <w:rPr>
          <w:sz w:val="20"/>
          <w:szCs w:val="20"/>
          <w:color w:val="auto"/>
        </w:rPr>
      </w:pPr>
      <w:r>
        <w:rPr>
          <w:rFonts w:ascii="Arial" w:cs="Arial" w:eastAsia="Arial" w:hAnsi="Arial"/>
          <w:sz w:val="14"/>
          <w:szCs w:val="14"/>
          <w:b w:val="1"/>
          <w:bCs w:val="1"/>
          <w:color w:val="auto"/>
        </w:rPr>
        <w:t>85-0642577</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87"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94010</w:t>
      </w:r>
    </w:p>
    <w:p>
      <w:pPr>
        <w:spacing w:after="0" w:line="23" w:lineRule="exact"/>
        <w:rPr>
          <w:sz w:val="24"/>
          <w:szCs w:val="24"/>
          <w:color w:val="auto"/>
        </w:rPr>
      </w:pPr>
    </w:p>
    <w:p>
      <w:pPr>
        <w:ind w:left="200"/>
        <w:spacing w:after="0"/>
        <w:rPr>
          <w:sz w:val="20"/>
          <w:szCs w:val="20"/>
          <w:color w:val="auto"/>
        </w:rPr>
      </w:pPr>
      <w:r>
        <w:rPr>
          <w:rFonts w:ascii="Arial" w:cs="Arial" w:eastAsia="Arial" w:hAnsi="Arial"/>
          <w:sz w:val="13"/>
          <w:szCs w:val="13"/>
          <w:b w:val="1"/>
          <w:bCs w:val="1"/>
          <w:color w:val="auto"/>
        </w:rPr>
        <w:t>(Zip Code)</w:t>
      </w:r>
    </w:p>
    <w:p>
      <w:pPr>
        <w:spacing w:after="0" w:line="52" w:lineRule="exact"/>
        <w:rPr>
          <w:sz w:val="24"/>
          <w:szCs w:val="24"/>
          <w:color w:val="auto"/>
        </w:rPr>
      </w:pPr>
    </w:p>
    <w:p>
      <w:pPr>
        <w:sectPr>
          <w:pgSz w:w="11900" w:h="16838" w:orient="portrait"/>
          <w:cols w:equalWidth="0" w:num="2">
            <w:col w:w="7700" w:space="320"/>
            <w:col w:w="3220"/>
          </w:cols>
          <w:pgMar w:left="320" w:top="503" w:right="33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4"/>
          <w:szCs w:val="14"/>
          <w:b w:val="1"/>
          <w:bCs w:val="1"/>
          <w:color w:val="auto"/>
        </w:rPr>
        <w:t>650-466-7125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180" w:type="dxa"/>
            <w:vAlign w:val="bottom"/>
            <w:gridSpan w:val="2"/>
          </w:tcPr>
          <w:p>
            <w:pPr>
              <w:ind w:left="1500"/>
              <w:spacing w:after="0"/>
              <w:rPr>
                <w:sz w:val="20"/>
                <w:szCs w:val="20"/>
                <w:color w:val="auto"/>
              </w:rPr>
            </w:pPr>
            <w:r>
              <w:rPr>
                <w:rFonts w:ascii="Arial" w:cs="Arial" w:eastAsia="Arial" w:hAnsi="Arial"/>
                <w:sz w:val="14"/>
                <w:szCs w:val="14"/>
                <w:b w:val="1"/>
                <w:bCs w:val="1"/>
                <w:color w:val="auto"/>
              </w:rPr>
              <w:t>Title of each class</w:t>
            </w:r>
          </w:p>
        </w:tc>
        <w:tc>
          <w:tcPr>
            <w:tcW w:w="3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0"/>
        </w:trPr>
        <w:tc>
          <w:tcPr>
            <w:tcW w:w="40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 par value $0.001 per share</w:t>
            </w:r>
          </w:p>
        </w:tc>
        <w:tc>
          <w:tcPr>
            <w:tcW w:w="120" w:type="dxa"/>
            <w:vAlign w:val="bottom"/>
          </w:tcPr>
          <w:p>
            <w:pPr>
              <w:spacing w:after="0"/>
              <w:rPr>
                <w:sz w:val="17"/>
                <w:szCs w:val="17"/>
                <w:color w:val="auto"/>
              </w:rPr>
            </w:pPr>
          </w:p>
        </w:tc>
        <w:tc>
          <w:tcPr>
            <w:tcW w:w="29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ALXO</w:t>
            </w:r>
          </w:p>
        </w:tc>
        <w:tc>
          <w:tcPr>
            <w:tcW w:w="100" w:type="dxa"/>
            <w:vAlign w:val="bottom"/>
          </w:tcPr>
          <w:p>
            <w:pPr>
              <w:spacing w:after="0"/>
              <w:rPr>
                <w:sz w:val="17"/>
                <w:szCs w:val="17"/>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67"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96"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8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2"/>
                <w:szCs w:val="22"/>
                <w:color w:val="auto"/>
              </w:rPr>
            </w:pPr>
          </w:p>
        </w:tc>
        <w:tc>
          <w:tcPr>
            <w:tcW w:w="420" w:type="dxa"/>
            <w:vAlign w:val="bottom"/>
          </w:tcPr>
          <w:p>
            <w:pPr>
              <w:spacing w:after="0"/>
              <w:rPr>
                <w:sz w:val="22"/>
                <w:szCs w:val="22"/>
                <w:color w:val="auto"/>
              </w:rPr>
            </w:pPr>
          </w:p>
        </w:tc>
      </w:tr>
    </w:tbl>
    <w:p>
      <w:pPr>
        <w:spacing w:after="0" w:line="59"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600" w:right="2020"/>
        <w:spacing w:after="0" w:line="260"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21, 2020, the registrant had 36,967,320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621665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20" w:type="dxa"/>
            <w:vAlign w:val="bottom"/>
          </w:tcPr>
          <w:p>
            <w:pPr>
              <w:spacing w:after="0"/>
              <w:rPr>
                <w:sz w:val="16"/>
                <w:szCs w:val="16"/>
                <w:color w:val="auto"/>
              </w:rPr>
            </w:pPr>
          </w:p>
        </w:tc>
      </w:tr>
      <w:tr>
        <w:trPr>
          <w:trHeight w:val="229"/>
        </w:trPr>
        <w:tc>
          <w:tcPr>
            <w:tcW w:w="1140" w:type="dxa"/>
            <w:vAlign w:val="bottom"/>
          </w:tcPr>
          <w:p>
            <w:pPr>
              <w:ind w:left="380"/>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000" w:type="dxa"/>
            <w:vAlign w:val="bottom"/>
            <w:gridSpan w:val="3"/>
          </w:tcPr>
          <w:p>
            <w:pPr>
              <w:jc w:val="center"/>
              <w:ind w:right="19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INFORMATION</w:t>
              </w:r>
            </w:hyperlink>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9200" w:type="dxa"/>
            <w:vAlign w:val="bottom"/>
            <w:gridSpan w:val="5"/>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June 30, 2020 and December 31,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190"/>
        </w:trPr>
        <w:tc>
          <w:tcPr>
            <w:tcW w:w="1140" w:type="dxa"/>
            <w:vAlign w:val="bottom"/>
          </w:tcPr>
          <w:p>
            <w:pPr>
              <w:spacing w:after="0"/>
              <w:rPr>
                <w:sz w:val="16"/>
                <w:szCs w:val="16"/>
                <w:color w:val="auto"/>
              </w:rPr>
            </w:pPr>
          </w:p>
        </w:tc>
        <w:tc>
          <w:tcPr>
            <w:tcW w:w="9200" w:type="dxa"/>
            <w:vAlign w:val="bottom"/>
            <w:gridSpan w:val="5"/>
          </w:tcPr>
          <w:p>
            <w:pPr>
              <w:spacing w:after="0" w:line="190"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Loss for the three and six months ended June 30, 2020</w:t>
              </w:r>
            </w:hyperlink>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91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2019</w:t>
              </w:r>
            </w:hyperlink>
          </w:p>
        </w:tc>
        <w:tc>
          <w:tcPr>
            <w:tcW w:w="1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9200" w:type="dxa"/>
            <w:vAlign w:val="bottom"/>
            <w:gridSpan w:val="5"/>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Condensed Consolidated Statements of Convertible Preferred Stock and Stockholders’ Deficit for the three and six months</w:t>
              </w:r>
            </w:hyperlink>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1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ended June 30, 2020 and 2019</w:t>
              </w:r>
            </w:hyperlink>
          </w:p>
        </w:tc>
        <w:tc>
          <w:tcPr>
            <w:tcW w:w="6640" w:type="dxa"/>
            <w:vAlign w:val="bottom"/>
            <w:tcBorders>
              <w:top w:val="single" w:sz="8" w:color="0000EE"/>
            </w:tcBorders>
          </w:tcPr>
          <w:p>
            <w:pPr>
              <w:spacing w:after="0"/>
              <w:rPr>
                <w:sz w:val="17"/>
                <w:szCs w:val="17"/>
                <w:color w:val="auto"/>
              </w:rPr>
            </w:pPr>
          </w:p>
        </w:tc>
        <w:tc>
          <w:tcPr>
            <w:tcW w:w="36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r>
      <w:tr>
        <w:trPr>
          <w:trHeight w:val="249"/>
        </w:trPr>
        <w:tc>
          <w:tcPr>
            <w:tcW w:w="1140" w:type="dxa"/>
            <w:vAlign w:val="bottom"/>
          </w:tcPr>
          <w:p>
            <w:pPr>
              <w:spacing w:after="0"/>
              <w:rPr>
                <w:sz w:val="21"/>
                <w:szCs w:val="21"/>
                <w:color w:val="auto"/>
              </w:rPr>
            </w:pPr>
          </w:p>
        </w:tc>
        <w:tc>
          <w:tcPr>
            <w:tcW w:w="9200" w:type="dxa"/>
            <w:vAlign w:val="bottom"/>
            <w:gridSpan w:val="5"/>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for the six months ended June 30, 2020 and 2019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1"/>
                <w:szCs w:val="21"/>
                <w:color w:val="auto"/>
              </w:rPr>
            </w:pPr>
          </w:p>
        </w:tc>
      </w:tr>
      <w:tr>
        <w:trPr>
          <w:trHeight w:val="229"/>
        </w:trPr>
        <w:tc>
          <w:tcPr>
            <w:tcW w:w="1140" w:type="dxa"/>
            <w:vAlign w:val="bottom"/>
          </w:tcPr>
          <w:p>
            <w:pPr>
              <w:spacing w:after="0"/>
              <w:rPr>
                <w:sz w:val="19"/>
                <w:szCs w:val="19"/>
                <w:color w:val="auto"/>
              </w:rPr>
            </w:pPr>
          </w:p>
        </w:tc>
        <w:tc>
          <w:tcPr>
            <w:tcW w:w="9200" w:type="dxa"/>
            <w:vAlign w:val="bottom"/>
            <w:gridSpan w:val="5"/>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5"/>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5"/>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5"/>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Controls and Procedures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0"/>
                <w:szCs w:val="20"/>
                <w:color w:val="auto"/>
              </w:rPr>
            </w:pPr>
          </w:p>
        </w:tc>
      </w:tr>
      <w:tr>
        <w:trPr>
          <w:trHeight w:val="458"/>
        </w:trPr>
        <w:tc>
          <w:tcPr>
            <w:tcW w:w="1140" w:type="dxa"/>
            <w:vAlign w:val="bottom"/>
          </w:tcPr>
          <w:p>
            <w:pPr>
              <w:ind w:left="340"/>
              <w:spacing w:after="0"/>
              <w:rPr>
                <w:sz w:val="20"/>
                <w:szCs w:val="20"/>
                <w:color w:val="auto"/>
              </w:rPr>
            </w:pPr>
            <w:r>
              <w:rPr>
                <w:rFonts w:ascii="Arial" w:cs="Arial" w:eastAsia="Arial" w:hAnsi="Arial"/>
                <w:sz w:val="18"/>
                <w:szCs w:val="18"/>
                <w:b w:val="1"/>
                <w:bCs w:val="1"/>
                <w:color w:val="auto"/>
              </w:rPr>
              <w:t>PART II.</w:t>
            </w: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0" w:type="dxa"/>
            <w:vAlign w:val="bottom"/>
            <w:gridSpan w:val="3"/>
          </w:tcPr>
          <w:p>
            <w:pPr>
              <w:jc w:val="center"/>
              <w:ind w:right="1980"/>
              <w:spacing w:after="0"/>
              <w:rPr>
                <w:rFonts w:ascii="Arial" w:cs="Arial" w:eastAsia="Arial" w:hAnsi="Arial"/>
                <w:sz w:val="18"/>
                <w:szCs w:val="18"/>
                <w:b w:val="1"/>
                <w:bCs w:val="1"/>
                <w:u w:val="single" w:color="auto"/>
                <w:color w:val="0000EE"/>
              </w:rPr>
            </w:pPr>
            <w:hyperlink w:anchor="page38">
              <w:r>
                <w:rPr>
                  <w:rFonts w:ascii="Arial" w:cs="Arial" w:eastAsia="Arial" w:hAnsi="Arial"/>
                  <w:sz w:val="18"/>
                  <w:szCs w:val="18"/>
                  <w:b w:val="1"/>
                  <w:bCs w:val="1"/>
                  <w:u w:val="single" w:color="auto"/>
                  <w:color w:val="0000EE"/>
                </w:rPr>
                <w:t>OTHER INFORMATION</w:t>
              </w:r>
            </w:hyperlink>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200" w:type="dxa"/>
            <w:vAlign w:val="bottom"/>
            <w:gridSpan w:val="5"/>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Legal Proceedings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200" w:type="dxa"/>
            <w:vAlign w:val="bottom"/>
            <w:gridSpan w:val="5"/>
          </w:tcPr>
          <w:p>
            <w:pPr>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9200" w:type="dxa"/>
            <w:vAlign w:val="bottom"/>
            <w:gridSpan w:val="5"/>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9200" w:type="dxa"/>
            <w:vAlign w:val="bottom"/>
            <w:gridSpan w:val="5"/>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Defaults Upon Senior Securities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9200" w:type="dxa"/>
            <w:vAlign w:val="bottom"/>
            <w:gridSpan w:val="5"/>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Mine Safety Disclosures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r>
      <w:tr>
        <w:trPr>
          <w:trHeight w:val="229"/>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9200" w:type="dxa"/>
            <w:vAlign w:val="bottom"/>
            <w:gridSpan w:val="5"/>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Other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9200" w:type="dxa"/>
            <w:vAlign w:val="bottom"/>
            <w:gridSpan w:val="5"/>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44"/>
        </w:trPr>
        <w:tc>
          <w:tcPr>
            <w:tcW w:w="1140" w:type="dxa"/>
            <w:vAlign w:val="bottom"/>
          </w:tcPr>
          <w:p>
            <w:pPr>
              <w:spacing w:after="0"/>
              <w:rPr>
                <w:sz w:val="21"/>
                <w:szCs w:val="21"/>
                <w:color w:val="auto"/>
              </w:rPr>
            </w:pPr>
          </w:p>
        </w:tc>
        <w:tc>
          <w:tcPr>
            <w:tcW w:w="9200" w:type="dxa"/>
            <w:vAlign w:val="bottom"/>
            <w:gridSpan w:val="5"/>
          </w:tcPr>
          <w:p>
            <w:pPr>
              <w:spacing w:after="0"/>
              <w:rPr>
                <w:rFonts w:ascii="Arial" w:cs="Arial" w:eastAsia="Arial" w:hAnsi="Arial"/>
                <w:sz w:val="18"/>
                <w:szCs w:val="18"/>
                <w:u w:val="single" w:color="auto"/>
                <w:color w:val="0000EE"/>
              </w:rPr>
            </w:pPr>
            <w:hyperlink w:anchor="page85">
              <w:r>
                <w:rPr>
                  <w:rFonts w:ascii="Arial" w:cs="Arial" w:eastAsia="Arial" w:hAnsi="Arial"/>
                  <w:sz w:val="18"/>
                  <w:szCs w:val="18"/>
                  <w:u w:val="single" w:color="auto"/>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1"/>
                <w:szCs w:val="21"/>
                <w:color w:val="auto"/>
              </w:rPr>
            </w:pPr>
          </w:p>
        </w:tc>
      </w:tr>
      <w:tr>
        <w:trPr>
          <w:trHeight w:val="790"/>
        </w:trPr>
        <w:tc>
          <w:tcPr>
            <w:tcW w:w="1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 our financial performance; the sufficiency of our existing cash to fund our future operating expenses and capital expenditure requirements; the accuracy of our estimates regarding expenses, future revenue, capital requirements, and needs for additional financing; our plans relating to commercializing our product candidates, if approved, including the geographic areas of focus and our ability to grow a sales team; the implementation of our strategic plans for our business and product candidates; 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our reliance on third parties to conduct preclinical research activities, and for the manufacture of our product candidates; the beneficial characteristics, safety, efficacy and therapeutic effects of our product candidates; the progress and focus of our current and future clinical trials, and the reporting of data from those trials; our ability to advance product candidates into and successfully complete clinical trials; the ability of our clinical trials to demonstrate the safety and efficacy of our product candidates, and other positive results; the success of competing therapies that are or may become available; developments relating to our competitors and our industry, including competing product candidates and therapies; our plans relating to the further development and manufacturing of our product candidates, including additional indications that we may pursue; existing regulations and regulatory developments in the United States and other jurisdictions; our potential and ability to successfully manufacture and supply our product candidates for clinical trials and for commercial use, if approved; our continued reliance on third parties to conduct additional clinical trials of our product candidates, and for the manufacture of our product candidates; our plans and ability to obtain or protect intellectual property rights, including extensions of existing patent terms where available; the scope of protection we are able to establish and maintain for intellectual property rights, including our technology platform and product candidates; our ability to retain the continued service of our key personnel and to identify, hire, and then retain additional qualified personnel; our expectations regarding the impact of the COVID-19 pandemic on our business; our expectations regarding the period during which we will qualify as an emerging growth company under the JOBS Act; and our anticipated use of our existing cash and cash equivalents and the proceeds from our initial public offering.</w:t>
      </w:r>
    </w:p>
    <w:p>
      <w:pPr>
        <w:spacing w:after="0" w:line="180"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Quarterly Report, whether as a result of any new information, future events or otherwise.</w:t>
      </w:r>
    </w:p>
    <w:p>
      <w:pPr>
        <w:spacing w:after="0" w:line="18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779780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w w:val="90"/>
              </w:rPr>
              <w:t>Item 1 – Financial Statements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w w:val="92"/>
              </w:rPr>
              <w:t>ALX Oncology Holdings Inc.</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720" w:type="dxa"/>
            <w:vAlign w:val="bottom"/>
          </w:tcPr>
          <w:p>
            <w:pPr>
              <w:jc w:val="center"/>
              <w:ind w:left="3430"/>
              <w:spacing w:after="0"/>
              <w:rPr>
                <w:sz w:val="20"/>
                <w:szCs w:val="20"/>
                <w:color w:val="auto"/>
              </w:rPr>
            </w:pPr>
            <w:r>
              <w:rPr>
                <w:rFonts w:ascii="Arial" w:cs="Arial" w:eastAsia="Arial" w:hAnsi="Arial"/>
                <w:sz w:val="18"/>
                <w:szCs w:val="18"/>
                <w:color w:val="auto"/>
                <w:w w:val="92"/>
              </w:rPr>
              <w:t>(unaudited)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tcPr>
          <w:p>
            <w:pPr>
              <w:jc w:val="center"/>
              <w:ind w:left="3430"/>
              <w:spacing w:after="0"/>
              <w:rPr>
                <w:sz w:val="20"/>
                <w:szCs w:val="20"/>
                <w:color w:val="auto"/>
              </w:rPr>
            </w:pPr>
            <w:r>
              <w:rPr>
                <w:rFonts w:ascii="Arial" w:cs="Arial" w:eastAsia="Arial" w:hAnsi="Arial"/>
                <w:sz w:val="18"/>
                <w:szCs w:val="18"/>
                <w:color w:val="auto"/>
                <w:w w:val="87"/>
              </w:rPr>
              <w:t>(in thousands, except share and per share data)</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7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98,103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Receivables due from related-party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100,664</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103,112</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1,865</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3,748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Term loan - current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7,719</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Term loan - non-current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3,928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rent</w:t>
            </w:r>
          </w:p>
        </w:tc>
        <w:tc>
          <w:tcPr>
            <w:tcW w:w="280" w:type="dxa"/>
            <w:vAlign w:val="bottom"/>
          </w:tcPr>
          <w:p>
            <w:pPr>
              <w:spacing w:after="0"/>
              <w:rPr>
                <w:sz w:val="19"/>
                <w:szCs w:val="19"/>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r>
      <w:tr>
        <w:trPr>
          <w:trHeight w:val="223"/>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12,467</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11)</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Series A convertible preferred stock, $0.001 par value; 9,297,100 and 9,421,633</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authorized as of June 30, 2020 and December 31, 2019, respectively;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9,297,081 shares issued and outstanding as of June 30, 2020 and December 31, 2019,</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 aggregate liquidation preference of $75,412 and $73,571 as of June 30,</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2020 and December 31, 2019,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60,933</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60,933</w:t>
            </w:r>
          </w:p>
        </w:tc>
        <w:tc>
          <w:tcPr>
            <w:tcW w:w="100" w:type="dxa"/>
            <w:vAlign w:val="bottom"/>
            <w:shd w:val="clear" w:color="auto" w:fill="CFF0FC"/>
          </w:tcPr>
          <w:p>
            <w:pPr>
              <w:spacing w:after="0"/>
              <w:rPr>
                <w:sz w:val="20"/>
                <w:szCs w:val="20"/>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Series B convertible preferred stock, $0.001 par value; 1,108,675 and 2,145,370 shares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authorized as of June 30, 2020 and December 31, 2019, respectively; 1,016,727</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shares issued and outstanding as of June 30, 2020 and December 31, 2019,</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respectively; aggregate liquidation preference of $10,304 and $10,014 as of</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June 30, 2020 and December 31, 2019,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9,430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9,430</w:t>
            </w: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Series C convertible preferred stock, $0.001 par value; 11,055,981 and 0 shares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authorized as of June 30, 2020 and December 31, 2019, respectively; 11,055,966</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0 shares issued and outstanding as of June 30, 2020 and December 31, 2019,</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respectively; aggregate liquidation preference of $107,504 and $0 as of June 30,</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2020 and December 31, 2019,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104,680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deficit</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$0.001 par value; 1,519,618,271 shares authorized; 3,166,946 shares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issued and outstanding at June 30, 2020 and December 31, 2019,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5,166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(89,567)</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(72,782)</w:t>
            </w: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deficit</w:t>
            </w: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(84,398)</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(70,639)</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103,112</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40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7,663</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 revenue</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11,314</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17,211</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(10,787)</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(16,029)</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(305)</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(298)</w:t>
            </w: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(11,311)</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(4,189)</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(16,761)</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(11,331)</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(4,197)</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(16,785)</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Cumulative dividends allocated to preferred stockholders</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(2,641)</w:t>
            </w: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(4,624)</w:t>
            </w:r>
          </w:p>
        </w:tc>
        <w:tc>
          <w:tcPr>
            <w:tcW w:w="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(13,972)</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(21,409)</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(10,321)</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Net loss per share attributable to common stockholders, basic and</w:t>
            </w: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(4.41)</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(6.78)</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Weighted-average shares of common stock used to compute net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140"/>
              <w:spacing w:after="0"/>
              <w:rPr>
                <w:sz w:val="20"/>
                <w:szCs w:val="20"/>
                <w:color w:val="auto"/>
              </w:rPr>
            </w:pPr>
            <w:r>
              <w:rPr>
                <w:rFonts w:ascii="Arial" w:cs="Arial" w:eastAsia="Arial" w:hAnsi="Arial"/>
                <w:sz w:val="18"/>
                <w:szCs w:val="18"/>
                <w:color w:val="auto"/>
              </w:rPr>
              <w:t>loss per share attributable to common stockholders, basic and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3,164,707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3,087,355</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3,157,387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3,047,924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Statements of Convertible Preferred Stock and Stockholders’ Deficit</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share amounts)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0" w:type="dxa"/>
            <w:vAlign w:val="bottom"/>
          </w:tcPr>
          <w:p>
            <w:pPr>
              <w:spacing w:after="0"/>
              <w:rPr>
                <w:sz w:val="1"/>
                <w:szCs w:val="1"/>
                <w:color w:val="auto"/>
              </w:rPr>
            </w:pPr>
          </w:p>
        </w:tc>
      </w:tr>
      <w:tr>
        <w:trPr>
          <w:trHeight w:val="155"/>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2018</w:t>
            </w:r>
          </w:p>
        </w:tc>
        <w:tc>
          <w:tcPr>
            <w:tcW w:w="116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2"/>
        </w:trPr>
        <w:tc>
          <w:tcPr>
            <w:tcW w:w="3160" w:type="dxa"/>
            <w:vAlign w:val="bottom"/>
            <w:vMerge w:val="continue"/>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9,297,081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60,933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Vesting of early exercised stock</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140"/>
              <w:spacing w:after="0"/>
              <w:rPr>
                <w:sz w:val="20"/>
                <w:szCs w:val="20"/>
                <w:color w:val="auto"/>
              </w:rPr>
            </w:pPr>
            <w:r>
              <w:rPr>
                <w:rFonts w:ascii="Arial" w:cs="Arial" w:eastAsia="Arial" w:hAnsi="Arial"/>
                <w:sz w:val="18"/>
                <w:szCs w:val="18"/>
                <w:color w:val="auto"/>
              </w:rPr>
              <w:t>options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as of March 31, 2019</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9,297,081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60,933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Vesting of early exercised stock</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140"/>
              <w:spacing w:after="0"/>
              <w:rPr>
                <w:sz w:val="20"/>
                <w:szCs w:val="20"/>
                <w:color w:val="auto"/>
              </w:rPr>
            </w:pPr>
            <w:r>
              <w:rPr>
                <w:rFonts w:ascii="Arial" w:cs="Arial" w:eastAsia="Arial" w:hAnsi="Arial"/>
                <w:sz w:val="18"/>
                <w:szCs w:val="18"/>
                <w:color w:val="auto"/>
              </w:rPr>
              <w:t>options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Issuance of convertible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40"/>
              <w:spacing w:after="0"/>
              <w:rPr>
                <w:sz w:val="20"/>
                <w:szCs w:val="20"/>
                <w:color w:val="auto"/>
              </w:rPr>
            </w:pPr>
            <w:r>
              <w:rPr>
                <w:rFonts w:ascii="Arial" w:cs="Arial" w:eastAsia="Arial" w:hAnsi="Arial"/>
                <w:sz w:val="18"/>
                <w:szCs w:val="18"/>
                <w:color w:val="auto"/>
              </w:rPr>
              <w:t>preferred stock, net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40"/>
              <w:spacing w:after="0"/>
              <w:rPr>
                <w:sz w:val="20"/>
                <w:szCs w:val="20"/>
                <w:color w:val="auto"/>
              </w:rPr>
            </w:pPr>
            <w:r>
              <w:rPr>
                <w:rFonts w:ascii="Arial" w:cs="Arial" w:eastAsia="Arial" w:hAnsi="Arial"/>
                <w:sz w:val="18"/>
                <w:szCs w:val="18"/>
                <w:color w:val="auto"/>
              </w:rPr>
              <w:t>issuance costs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1,016,727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as of June 30, 2019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10,313,808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160" w:type="dxa"/>
            <w:vAlign w:val="bottom"/>
          </w:tcPr>
          <w:p>
            <w:pPr>
              <w:spacing w:after="0"/>
              <w:rPr>
                <w:sz w:val="24"/>
                <w:szCs w:val="24"/>
                <w:color w:val="auto"/>
              </w:rPr>
            </w:pPr>
          </w:p>
        </w:tc>
        <w:tc>
          <w:tcPr>
            <w:tcW w:w="20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3160" w:type="dxa"/>
            <w:vAlign w:val="bottom"/>
          </w:tcPr>
          <w:p>
            <w:pPr>
              <w:spacing w:after="0"/>
              <w:rPr>
                <w:sz w:val="14"/>
                <w:szCs w:val="14"/>
                <w:color w:val="auto"/>
              </w:rPr>
            </w:pPr>
          </w:p>
        </w:tc>
        <w:tc>
          <w:tcPr>
            <w:tcW w:w="20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0" w:type="dxa"/>
            <w:vAlign w:val="bottom"/>
          </w:tcPr>
          <w:p>
            <w:pPr>
              <w:spacing w:after="0"/>
              <w:rPr>
                <w:sz w:val="1"/>
                <w:szCs w:val="1"/>
                <w:color w:val="auto"/>
              </w:rPr>
            </w:pPr>
          </w:p>
        </w:tc>
      </w:tr>
      <w:tr>
        <w:trPr>
          <w:trHeight w:val="155"/>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December 31, 2019</w:t>
            </w:r>
          </w:p>
        </w:tc>
        <w:tc>
          <w:tcPr>
            <w:tcW w:w="116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22"/>
        </w:trPr>
        <w:tc>
          <w:tcPr>
            <w:tcW w:w="3160" w:type="dxa"/>
            <w:vAlign w:val="bottom"/>
            <w:vMerge w:val="continue"/>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10,313,808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70,363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Vesting of early exercised stock</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options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Issuance of convertible</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preferred stock, net of</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00"/>
              <w:spacing w:after="0"/>
              <w:rPr>
                <w:sz w:val="20"/>
                <w:szCs w:val="20"/>
                <w:color w:val="auto"/>
              </w:rPr>
            </w:pPr>
            <w:r>
              <w:rPr>
                <w:rFonts w:ascii="Arial" w:cs="Arial" w:eastAsia="Arial" w:hAnsi="Arial"/>
                <w:sz w:val="18"/>
                <w:szCs w:val="18"/>
                <w:color w:val="auto"/>
              </w:rPr>
              <w:t>issuance costs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11,055,966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104,680</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21,369,774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175,043</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Vesting of early exercised stock</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options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Pr>
          <w:p>
            <w:pPr>
              <w:spacing w:after="0"/>
              <w:rPr>
                <w:sz w:val="20"/>
                <w:szCs w:val="20"/>
                <w:color w:val="auto"/>
              </w:rPr>
            </w:pPr>
            <w:r>
              <w:rPr>
                <w:rFonts w:ascii="Arial" w:cs="Arial" w:eastAsia="Arial" w:hAnsi="Arial"/>
                <w:sz w:val="18"/>
                <w:szCs w:val="18"/>
                <w:b w:val="1"/>
                <w:bCs w:val="1"/>
                <w:color w:val="auto"/>
              </w:rPr>
              <w:t>Balance as of June 30,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21,369,774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175,043</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80" w:type="dxa"/>
            <w:vAlign w:val="bottom"/>
            <w:gridSpan w:val="3"/>
            <w:vMerge w:val="restart"/>
          </w:tcPr>
          <w:p>
            <w:pPr>
              <w:jc w:val="right"/>
              <w:ind w:right="287"/>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4"/>
                <w:szCs w:val="14"/>
                <w:color w:val="auto"/>
              </w:rPr>
            </w:pPr>
          </w:p>
        </w:tc>
        <w:tc>
          <w:tcPr>
            <w:tcW w:w="1140" w:type="dxa"/>
            <w:vAlign w:val="bottom"/>
            <w:gridSpan w:val="3"/>
            <w:vMerge w:val="restart"/>
          </w:tcPr>
          <w:p>
            <w:pPr>
              <w:jc w:val="center"/>
              <w:ind w:right="161"/>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94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34"/>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321"/>
              <w:spacing w:after="0" w:line="155" w:lineRule="exact"/>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3"/>
                <w:szCs w:val="13"/>
                <w:color w:val="auto"/>
              </w:rPr>
            </w:pPr>
          </w:p>
        </w:tc>
        <w:tc>
          <w:tcPr>
            <w:tcW w:w="840" w:type="dxa"/>
            <w:vAlign w:val="bottom"/>
            <w:gridSpan w:val="2"/>
          </w:tcPr>
          <w:p>
            <w:pPr>
              <w:jc w:val="center"/>
              <w:ind w:right="181"/>
              <w:spacing w:after="0" w:line="155"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24"/>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3,161,747</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(53,539)</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(4,238)</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24"/>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3,161,747</w:t>
            </w: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1,855</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(57,777)</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(4,197)</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662"/>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3,161,747</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(61,974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(60,036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880" w:type="dxa"/>
            <w:vAlign w:val="bottom"/>
            <w:gridSpan w:val="3"/>
            <w:vMerge w:val="restart"/>
          </w:tcPr>
          <w:p>
            <w:pPr>
              <w:jc w:val="right"/>
              <w:ind w:right="287"/>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24"/>
                <w:szCs w:val="24"/>
                <w:color w:val="auto"/>
              </w:rPr>
            </w:pPr>
          </w:p>
        </w:tc>
        <w:tc>
          <w:tcPr>
            <w:tcW w:w="1140" w:type="dxa"/>
            <w:vAlign w:val="bottom"/>
            <w:gridSpan w:val="3"/>
            <w:vMerge w:val="restart"/>
          </w:tcPr>
          <w:p>
            <w:pPr>
              <w:jc w:val="center"/>
              <w:ind w:right="161"/>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24"/>
                <w:szCs w:val="24"/>
                <w:color w:val="auto"/>
              </w:rPr>
            </w:pPr>
          </w:p>
        </w:tc>
        <w:tc>
          <w:tcPr>
            <w:tcW w:w="8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188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4"/>
              <w:spacing w:after="0"/>
              <w:rPr>
                <w:sz w:val="20"/>
                <w:szCs w:val="20"/>
                <w:color w:val="auto"/>
              </w:rPr>
            </w:pPr>
            <w:r>
              <w:rPr>
                <w:rFonts w:ascii="Arial" w:cs="Arial" w:eastAsia="Arial" w:hAnsi="Arial"/>
                <w:sz w:val="14"/>
                <w:szCs w:val="14"/>
                <w:b w:val="1"/>
                <w:bCs w:val="1"/>
                <w:color w:val="auto"/>
                <w:w w:val="98"/>
              </w:rPr>
              <w:t>Paid-In</w:t>
            </w:r>
          </w:p>
        </w:tc>
        <w:tc>
          <w:tcPr>
            <w:tcW w:w="2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0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94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34"/>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321"/>
              <w:spacing w:after="0" w:line="155" w:lineRule="exact"/>
              <w:rPr>
                <w:sz w:val="20"/>
                <w:szCs w:val="20"/>
                <w:color w:val="auto"/>
              </w:rPr>
            </w:pPr>
            <w:r>
              <w:rPr>
                <w:rFonts w:ascii="Arial" w:cs="Arial" w:eastAsia="Arial" w:hAnsi="Arial"/>
                <w:sz w:val="14"/>
                <w:szCs w:val="14"/>
                <w:b w:val="1"/>
                <w:bCs w:val="1"/>
                <w:color w:val="auto"/>
                <w:w w:val="98"/>
              </w:rPr>
              <w:t>Deficit</w:t>
            </w:r>
          </w:p>
        </w:tc>
        <w:tc>
          <w:tcPr>
            <w:tcW w:w="180" w:type="dxa"/>
            <w:vAlign w:val="bottom"/>
          </w:tcPr>
          <w:p>
            <w:pPr>
              <w:spacing w:after="0"/>
              <w:rPr>
                <w:sz w:val="13"/>
                <w:szCs w:val="13"/>
                <w:color w:val="auto"/>
              </w:rPr>
            </w:pPr>
          </w:p>
        </w:tc>
        <w:tc>
          <w:tcPr>
            <w:tcW w:w="840" w:type="dxa"/>
            <w:vAlign w:val="bottom"/>
            <w:gridSpan w:val="2"/>
          </w:tcPr>
          <w:p>
            <w:pPr>
              <w:jc w:val="center"/>
              <w:ind w:right="181"/>
              <w:spacing w:after="0" w:line="155"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24"/>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3,166,946</w:t>
            </w:r>
          </w:p>
        </w:tc>
        <w:tc>
          <w:tcPr>
            <w:tcW w:w="220" w:type="dxa"/>
            <w:vAlign w:val="bottom"/>
          </w:tcPr>
          <w:p>
            <w:pPr>
              <w:spacing w:after="0"/>
              <w:rPr>
                <w:sz w:val="19"/>
                <w:szCs w:val="19"/>
                <w:color w:val="auto"/>
              </w:rPr>
            </w:pPr>
          </w:p>
        </w:tc>
        <w:tc>
          <w:tcPr>
            <w:tcW w:w="720" w:type="dxa"/>
            <w:vAlign w:val="bottom"/>
            <w:tcBorders>
              <w:top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2,140</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(72,782)</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(5,454)</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(5,454)</w:t>
            </w:r>
          </w:p>
        </w:tc>
        <w:tc>
          <w:tcPr>
            <w:tcW w:w="0" w:type="dxa"/>
            <w:vAlign w:val="bottom"/>
          </w:tcPr>
          <w:p>
            <w:pPr>
              <w:spacing w:after="0"/>
              <w:rPr>
                <w:sz w:val="1"/>
                <w:szCs w:val="1"/>
                <w:color w:val="auto"/>
              </w:rPr>
            </w:pPr>
          </w:p>
        </w:tc>
      </w:tr>
      <w:tr>
        <w:trPr>
          <w:trHeight w:val="661"/>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3,166,946</w:t>
            </w:r>
          </w:p>
        </w:tc>
        <w:tc>
          <w:tcPr>
            <w:tcW w:w="2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2,307</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(78,236)</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4"/>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rPr>
              <w:t>(11,331)</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(11,331)</w:t>
            </w:r>
          </w:p>
        </w:tc>
        <w:tc>
          <w:tcPr>
            <w:tcW w:w="0" w:type="dxa"/>
            <w:vAlign w:val="bottom"/>
          </w:tcPr>
          <w:p>
            <w:pPr>
              <w:spacing w:after="0"/>
              <w:rPr>
                <w:sz w:val="1"/>
                <w:szCs w:val="1"/>
                <w:color w:val="auto"/>
              </w:rPr>
            </w:pPr>
          </w:p>
        </w:tc>
      </w:tr>
      <w:tr>
        <w:trPr>
          <w:trHeight w:val="223"/>
        </w:trPr>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3,166,946</w:t>
            </w:r>
          </w:p>
        </w:tc>
        <w:tc>
          <w:tcPr>
            <w:tcW w:w="2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(89,567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(84,398</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-4636770</wp:posOffset>
            </wp:positionV>
            <wp:extent cx="7132320" cy="4637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320"/>
            <w:col w:w="5620"/>
          </w:cols>
          <w:pgMar w:left="320" w:top="121" w:right="399" w:bottom="1440" w:gutter="0" w:footer="0" w:header="0"/>
          <w:type w:val="continuous"/>
        </w:sectPr>
      </w:pP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See accompanying notes to these condensed consolidated financial statements (unaudited).</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Six Months Ended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89"/>
              </w:rPr>
              <w:t>2019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(16,785)</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(8,435)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3,004</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of term loan discount and issuance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fair value of compound derivative liability and warrants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Receivables due from related-party</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(2,003)</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1,100</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rent</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(135)</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7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(15,126)</w:t>
            </w:r>
          </w:p>
        </w:tc>
        <w:tc>
          <w:tcPr>
            <w:tcW w:w="28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related parties for issuance of convertible preferred stock, net of issuance costs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68,452</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36,228</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(458)</w:t>
            </w:r>
          </w:p>
        </w:tc>
        <w:tc>
          <w:tcPr>
            <w:tcW w:w="5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104,222</w:t>
            </w:r>
          </w:p>
        </w:tc>
        <w:tc>
          <w:tcPr>
            <w:tcW w:w="280" w:type="dxa"/>
            <w:vAlign w:val="bottom"/>
            <w:tcBorders>
              <w:bottom w:val="single" w:sz="8" w:color="CFF0FC"/>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9,430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89,086</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w:t>
            </w:r>
          </w:p>
        </w:tc>
        <w:tc>
          <w:tcPr>
            <w:tcW w:w="28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98,103</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w:t>
            </w: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Vesting of early exercised stock options</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Deferred offering costs incurred but not paid</w:t>
            </w: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2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these condensed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left="520" w:right="9520" w:hanging="512"/>
        <w:spacing w:after="0" w:line="378" w:lineRule="auto"/>
        <w:tabs>
          <w:tab w:leader="none" w:pos="26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w:t>
      </w:r>
      <w:r>
        <w:rPr>
          <w:rFonts w:ascii="Arial" w:cs="Arial" w:eastAsia="Arial" w:hAnsi="Arial"/>
          <w:sz w:val="18"/>
          <w:szCs w:val="18"/>
          <w:b w:val="1"/>
          <w:bCs w:val="1"/>
          <w:i w:val="1"/>
          <w:iCs w:val="1"/>
          <w:color w:val="auto"/>
        </w:rPr>
        <w:t>Organization</w:t>
      </w:r>
    </w:p>
    <w:p>
      <w:pPr>
        <w:ind w:firstLine="510"/>
        <w:spacing w:after="0" w:line="270"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After Inception, ALX Oncology Limited became a wholly-owned subsidiary of the Company as a result of the internal reorganization. As part of the internal reorganization, all of the equity, option and warrant holders of ALX Oncology Limited became equity, option and warrant holders of the Company, holding the same number of corresponding shares, options and/or warrants in the Company as they did in ALX Oncology Limited immediately prior to the internal reorganization. The information included herein is presented as that of ALX Oncology Holdings Inc. unless such information refers to a date prior to April 1, 2020, in which case it will reflect that of ALX Oncology Limited, the predecessor company. The Company is a clinical-stage immuno-oncology company focused on helping patients fight cancer by developing therapies that block the CD47 checkpoint pathway and bridge the innate and adaptive immune system.</w:t>
      </w:r>
    </w:p>
    <w:p>
      <w:pPr>
        <w:spacing w:after="0" w:line="18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The Company owns subsidiaries, consisting of ALX Oncology Limited, incorporated in Ireland; ALX Oncology Inc., incorporated in the United States, and Alexo International Holdings Ltd, incorporated in Malta; Alexo Therapeutics International, incorporated in the Cayman Islands, which is a wholly-owned subsidiary of Alexo International Holdings Ltd. and Sirpant Therapeutics, incorporated in the Cayman Islands, which is a wholly-owned subsidiary of Alexo Therapeutics International, or collectively, the Subsidiaries.</w:t>
      </w:r>
    </w:p>
    <w:p>
      <w:pPr>
        <w:spacing w:after="0" w:line="187" w:lineRule="exact"/>
        <w:rPr>
          <w:sz w:val="20"/>
          <w:szCs w:val="20"/>
          <w:color w:val="auto"/>
        </w:rPr>
      </w:pPr>
    </w:p>
    <w:p>
      <w:pPr>
        <w:ind w:right="400" w:firstLine="510"/>
        <w:spacing w:after="0" w:line="263" w:lineRule="auto"/>
        <w:rPr>
          <w:sz w:val="20"/>
          <w:szCs w:val="20"/>
          <w:color w:val="auto"/>
        </w:rPr>
      </w:pPr>
      <w:r>
        <w:rPr>
          <w:rFonts w:ascii="Arial" w:cs="Arial" w:eastAsia="Arial" w:hAnsi="Arial"/>
          <w:sz w:val="18"/>
          <w:szCs w:val="18"/>
          <w:color w:val="auto"/>
        </w:rPr>
        <w:t>As of June 30, 2020, the Company has devoted substantially all of its efforts to the formation and financing of the Company, as well as product development, and has not realized product revenues from its planned principal operations. The Company has no manufacturing facilities and all manufacturing related activities are contracted out to third-party service providers.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In July 2020, the Company consummated its initial public offering and issued 9,775,000 shares of common stock for net proceeds of approximately $172.7 million, after deducting underwriting discounts and commissions of $13.0 million and before deducting offering-related expenses. Upon the closing of the initial public offering, all shares of convertible preferred stock outstanding and accrued cumulative dividends were automatically converted into 23,934,533 shares of common stock. See Note 12 to these condensed consolidated financial statements for additional details.</w:t>
      </w:r>
    </w:p>
    <w:p>
      <w:pPr>
        <w:spacing w:after="0" w:line="49"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As of June 30, 2020, the Company had cash and cash equivalents of $98.1 million, together with net proceeds from the Company’s initial public offering of $172.7 million, will be sufficient to fund its planned operations for a period of at least twelve months following the issuance of these financial statements.</w:t>
      </w:r>
    </w:p>
    <w:p>
      <w:pPr>
        <w:spacing w:after="0" w:line="184"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These condensed consolidated financial statements have been prepared in accordance with accounting principles generally accepted in the United States of America, or U.S. GAAP, and the applicable rules and regulations of the U.S. Securities and Exchange Commission, or SEC, for interim reporting.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ind w:left="5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Unaudited Condensed Consolidated Financial Statements</w:t>
      </w:r>
    </w:p>
    <w:p>
      <w:pPr>
        <w:spacing w:after="0" w:line="117"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condensed consolidated balance sheet as of June 30, 2020, the condensed consolidated statements of operations and comprehensive loss for the three and six months ended June 30, 2020 and 2019, the condensed consolidated statements of convertible preferred stock and stockholders' deficit for the three and six months ended June 30, 2020 and 2019, and the condensed consolidated statements of cash flows for the six months ended June 30, 2020 and 2019, are unaudited. These unaudited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June 30, 2020, and its results of operations for the periods presented. The results of operations for the three and six months ended June 30, 2020, are not necessarily indicative of the results to be expected for any subsequent periods, including the year ended December 31, 2020, and therefore should not be relied upon as an indicator of future results. The condensed consolidated balance sheet as of December 31, 2019 included herein was derived from the audited consolidated financial statements as of that date. The accompanying condensed consolidated financial statements and related notes should be read in conjunction with the audited consolidated financial statements for the year ended December 31, 2019 and the notes thereto, which are included in the Company’s final prospectus for the Company’s initial public offering filed pursuant to Rule 424(b)(4) under the Securities Act of 1933, as amended, with the SEC on July 17, 2020.</w:t>
      </w:r>
    </w:p>
    <w:p>
      <w:pPr>
        <w:spacing w:after="0" w:line="2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On July 8, 2020, the Company’s board of directors approved an amendment to the Company’s certificate of incorporation to effect a 1-for-6.5806 reverse split of its common stock and convertible preferred stock. The par values of the common and convertible preferred stock were not adjusted as a result of the reverse stock split. All authorized, issued and outstanding common stock, convertible preferred stock, stock options, warrants, and related per share amounts contained in the condensed consolidated financial statements have been retroactively adjusted to reflect this reverse stock split for all periods presented. The reverse stock split was effected on July 9, 2020.</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80" w:firstLine="510"/>
        <w:spacing w:after="0" w:line="291"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stock warrant liability, term loan compound derivative liability, term loan, valuation of the Company’s common stock,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accounts and are stated at fair value.</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right="460" w:firstLine="510"/>
        <w:spacing w:after="0" w:line="259"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primarily of cash and cash equivalents. The Company maintains deposits in federally insured financial institutions in excess of federally insured limits, and invests in money market funds. The Company is exposed to credit risk in the event of default by the financial institutions holding its cash and cash equivalents. The Company has not experienced any losses on its deposits of cash and cash equivalents.</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firstLine="510"/>
        <w:spacing w:after="0" w:line="259" w:lineRule="auto"/>
        <w:rPr>
          <w:sz w:val="20"/>
          <w:szCs w:val="20"/>
          <w:color w:val="auto"/>
        </w:rPr>
      </w:pPr>
      <w:r>
        <w:rPr>
          <w:rFonts w:ascii="Arial" w:cs="Arial" w:eastAsia="Arial" w:hAnsi="Arial"/>
          <w:sz w:val="18"/>
          <w:szCs w:val="18"/>
          <w:color w:val="auto"/>
        </w:rPr>
        <w:t>The Company’s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Property and equipment are stated at cost less accumulated depreciation. Depreciation of property and equipment is provided using the straight-line method over the estimated useful lives of the assets (Note 4). Upon sale or retirement of assets, the cost and related accumulated depreciation or amortization are removed from the condensed consolidated balance sheet and the resulting gain or loss is reflected in the condensed consolidated statement of operations and comprehensive loss. Maintenance and repairs are charged to the condensed consolidated statement of operations and comprehensive loss as incurred.</w:t>
      </w:r>
    </w:p>
    <w:p>
      <w:pPr>
        <w:spacing w:after="0" w:line="3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stockholders’ deficit as a reduction of additional paid-in capital generated as a result of the offering. Should the in-process equity financing be abandoned, the deferred offering costs will be expensed immediately as a charge to operating expenses in the condensed consolidated statements of operations and comprehensive loss. As of June 30, 2020, $2.4 million of deferred offering costs were capitalized and recorded as other assets on the condensed consolidated balance sheet. The deferred offering costs were reclassified to additional paid-in capital upon the consummation of the Company's initial public offering in July 2020. See Note 12 to these condensed consolidated financial statements for additional details.</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three and six months ended June 30, 2020 and 2019.</w:t>
      </w:r>
    </w:p>
    <w:p>
      <w:pPr>
        <w:spacing w:after="0" w:line="30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The Company applies fair value accounting for all financial assets and liabilities and nonfinancial assets and liabilities that are required to be recognized or disclosed at fair value in the condensed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61" w:lineRule="exact"/>
        <w:rPr>
          <w:sz w:val="20"/>
          <w:szCs w:val="20"/>
          <w:color w:val="auto"/>
        </w:rPr>
      </w:pPr>
    </w:p>
    <w:p>
      <w:pPr>
        <w:ind w:right="200" w:firstLine="510"/>
        <w:spacing w:after="0" w:line="257" w:lineRule="auto"/>
        <w:rPr>
          <w:sz w:val="20"/>
          <w:szCs w:val="20"/>
          <w:color w:val="auto"/>
        </w:rPr>
      </w:pPr>
      <w:r>
        <w:rPr>
          <w:rFonts w:ascii="Arial" w:cs="Arial" w:eastAsia="Arial" w:hAnsi="Arial"/>
          <w:sz w:val="18"/>
          <w:szCs w:val="18"/>
          <w:color w:val="auto"/>
        </w:rPr>
        <w:t>The Company’s financial instruments consist of cash and cash equivalents, receivables due from related-party, accounts payable, the term loan compound derivative liability and the Series B convertible preferred stock warrant liability. The term loan compound derivative liability and the Series B convertible preferred stock warrant liability are re-measured at the end of every period and carried at fair value (Note 3). The recorded value of the Company’s receivables due from related-party and accounts payable approximates its current fair value due to the relatively short-term nature of these items.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as amended, with Silicon Valley Bank, or SVB, and WestRiver Innovation Lending Fund VIII, LP, or WestRiver, collectively as lenders, and SVB,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 w:name="page11"/>
    <w:bookmarkEnd w:id="10"/>
    <w:p>
      <w:pPr>
        <w:ind w:left="5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Company records convertible preferred stock net of issuance costs on the dates of issuance, which represents the carrying value. In the event of a change of control of the Company, proceeds will be distributed in accordance with the liquidation preferences set forth in its organization documents unless the holders of convertible preferred stock have converted their convertible preferred stock into common stock. Convertible preferred stock are classified outside of stockholders’ deficit on the accompanying condensed consolidated balance sheets as events triggering the liquidation preferences are not solely within the Company’s control. The Company has elected not to adjust the carrying values of the convertible preferred stock to the liquidation preferences of such shares because of the uncertainty of whether or when such an event would occur. Upon the consummation of the Company’s initial public offering in July 2020, all shares of convertible preferred stock outstanding and accrued cumulative dividends were automatically converted into 23,934,533 shares of common stock. See Note 12 to these condensed consolidated financial statements for additional details.</w:t>
      </w:r>
    </w:p>
    <w:p>
      <w:pPr>
        <w:spacing w:after="0" w:line="2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Series B Convertible Preferred Stock Warrant Liability</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Company has issued freestanding warrants to purchase its Series B convertible preferred stock. Freestanding warrants for the Company’s convertible preferred stock that are classified outside of permanent equity are recorded at fair value, and are subject to re-measurement at the end of every period until the earlier of the exercise of the warrants or the completion of a liquidation event, including the completion of an initial public offering. Upon exercise, the Series B convertible preferred stock warrant liability would be reclassified to additional paid-in capital, with any change in fair value recognized as a component of other expense, net. Following the Company’s initial public offering, the warrants were automatically converted to warrants to purchase shares of common stock. See Note 5 to these condensed consolidated financial statements for additional details.</w:t>
      </w:r>
    </w:p>
    <w:p>
      <w:pPr>
        <w:spacing w:after="0" w:line="27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To date, the Company has derived revenue from providing research and development services on a time and materials basis to a related-party.</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recognizes such revenues over time as services are delivered, and invoices the customer as the work is incurred in arrears.</w:t>
      </w:r>
    </w:p>
    <w:p>
      <w:pPr>
        <w:spacing w:after="0" w:line="23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 xml:space="preserve">Effective January 1, 2018, the Company adopted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57" w:lineRule="exact"/>
        <w:rPr>
          <w:sz w:val="20"/>
          <w:szCs w:val="20"/>
          <w:color w:val="auto"/>
        </w:rPr>
      </w:pPr>
    </w:p>
    <w:p>
      <w:pPr>
        <w:jc w:val="both"/>
        <w:ind w:right="360" w:firstLine="510"/>
        <w:spacing w:after="0" w:line="259" w:lineRule="auto"/>
        <w:rPr>
          <w:sz w:val="20"/>
          <w:szCs w:val="20"/>
          <w:color w:val="auto"/>
        </w:rPr>
      </w:pPr>
      <w:r>
        <w:rPr>
          <w:rFonts w:ascii="Arial" w:cs="Arial" w:eastAsia="Arial" w:hAnsi="Arial"/>
          <w:sz w:val="18"/>
          <w:szCs w:val="18"/>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8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2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Services for Related-Party Revenue</w:t>
      </w:r>
    </w:p>
    <w:p>
      <w:pPr>
        <w:spacing w:after="0" w:line="117"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condensed consolidated statements of operations and comprehensive loss.</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Research and development costs are expensed as incurred and consist primarily of salaries and benefits, stock-based compensation expense, lab supplies and facility costs, as well as fees paid to nonemployees and entities that conduct certain research and development activities on behalf of the Company and expenses incurred in connection with license agreements (Note 8). Nonrefundable advance payments for goods or services to be received in the future for use in research and development activities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capitalized and recorded in prepaid expenses and other current assets, and then expensed as the related goods are delivered or the services are performed.</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Clinical and Manufacturing Accruals</w:t>
      </w:r>
    </w:p>
    <w:p>
      <w:pPr>
        <w:spacing w:after="0" w:line="117"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66"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its clinical and non-clinical studies and other third-party vendors. Through June 30, 2020,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2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 Company accounts for stock-based compensation by measuring and recognizing compensation expense for all stock-based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stock-based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The Company accounts for the effect of forfeitures as they occur.</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manages its operations as a single operating segment for the purposes of assessing performance and making operating decisions.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117"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expense, net, and were immaterial for the three and six months ended June 30, 2020 and 2019, respectively.</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Company accounts for income taxes under the asset and liability method, which requires the recognition of deferred tax assets and liabilities for the expected future tax consequences of events that have been included in the condensed consolidated financial statements. Under this method, deferred tax assets and liabilities are determined on the basis of the differences between the condensed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condensed consolidated statements of operations and comprehensive loss in the period that includes the enactment date. The Company recognizes deferred tax assets to the extent that it believes these assets are more likely than not to be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12" w:name="page13"/>
    <w:bookmarkEnd w:id="12"/>
    <w:p>
      <w:pPr>
        <w:spacing w:after="0" w:line="272" w:lineRule="auto"/>
        <w:rPr>
          <w:sz w:val="20"/>
          <w:szCs w:val="20"/>
          <w:color w:val="auto"/>
        </w:rPr>
      </w:pPr>
      <w:r>
        <w:rPr>
          <w:rFonts w:ascii="Arial" w:cs="Arial" w:eastAsia="Arial" w:hAnsi="Arial"/>
          <w:sz w:val="17"/>
          <w:szCs w:val="17"/>
          <w:color w:val="auto"/>
        </w:rPr>
        <w:t>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Comprehensive loss is equal to net loss for all periods presented.</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Basic net loss per share is calculated by dividing the net loss attributable to common stockholders by the weighted-average number of shares of common stock outstanding during the period, without consideration for common stock equivalents. Diluted net loss per share is the same as basic net loss per share, since the effects of potentially dilutive securities are antidilutive given the net loss for each period presented.</w:t>
      </w:r>
    </w:p>
    <w:p>
      <w:pPr>
        <w:spacing w:after="0" w:line="165"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common stock and participating securities according to dividends declared or accumulated and participation rights in undistributed earnings. The two-class method requires net loss available to common stockholders for the period to be allocated between common and participating securities based upon their respective rights to share in the earnings as if all net loss for the period had been distributed. The Company’s convertible preferred stock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 xml:space="preserve">In February 2016, the FASB issued ASU No. 2016-02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the Company beginning January 1, 2022. Early adoption is permitted. The Company is currently evaluating the effects of the adoption of this guidance on its condensed consolidated financial statements and related disclosures.</w:t>
      </w:r>
    </w:p>
    <w:p>
      <w:pPr>
        <w:spacing w:after="0" w:line="195"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condensed consolidated financial statements.</w:t>
      </w:r>
    </w:p>
    <w:p>
      <w:pPr>
        <w:spacing w:after="0" w:line="29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New Accounting Pronouncements Recently Adopted</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June 2016, the FASB issued ASU No.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The Company early adopted this guidance on January 1, 2020. The adoption of this guidance did not have a material impact on the Company’s condensed consolidated financial statements.</w:t>
      </w:r>
    </w:p>
    <w:p>
      <w:pPr>
        <w:spacing w:after="0" w:line="188"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In September 2018, the FASB issued ASU No. 2018-13, Fair Value Measurement (Topic 820): Disclosure Framework—Changes to the Disclosure Requirements for Fair Value Measurement. The FASB issued final guidance that eliminates, adds and modifies certain disclosure requirements for fair value measurements as part of its disclosure framework project. Under the ASU, entities will no longer be required to disclose the amount of transfers between Level 1 and Level 2 of the fair value hierarchy. Public companies will be required to disclose changes in unrealized gains and losses for the period included in other comprehensive income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13" w:name="page14"/>
    <w:bookmarkEnd w:id="13"/>
    <w:p>
      <w:pPr>
        <w:ind w:right="80"/>
        <w:spacing w:after="0" w:line="279" w:lineRule="auto"/>
        <w:rPr>
          <w:sz w:val="20"/>
          <w:szCs w:val="20"/>
          <w:color w:val="auto"/>
        </w:rPr>
      </w:pPr>
      <w:r>
        <w:rPr>
          <w:rFonts w:ascii="Arial" w:cs="Arial" w:eastAsia="Arial" w:hAnsi="Arial"/>
          <w:sz w:val="17"/>
          <w:szCs w:val="17"/>
          <w:color w:val="auto"/>
        </w:rPr>
        <w:t>for recurring Level 3 fair value measurements held at the end of the reporting period and the range and weighted average used to develop significant unobservable inputs for Level 3 fair value measurements. ASU 2018-13 is effective for public business entities for annual reporting periods, and interim periods within those annual periods, beginning after December 15, 2019, with early adoption permitted. The Company adopted this guidance on January 1, 2020. The adoption of ASU 2018-13 did not have a material impact on its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The fair value of the Company’s financial assets and liabilities are determined in accordance with the fair value hierarchy established in ASC Topic 820,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1—Observable inputs, such as quoted prices in active markets</w:t>
      </w:r>
    </w:p>
    <w:p>
      <w:pPr>
        <w:spacing w:after="0" w:line="117" w:lineRule="exact"/>
        <w:rPr>
          <w:sz w:val="20"/>
          <w:szCs w:val="20"/>
          <w:color w:val="auto"/>
        </w:rPr>
      </w:pPr>
    </w:p>
    <w:p>
      <w:pPr>
        <w:ind w:left="520" w:right="80"/>
        <w:spacing w:after="0" w:line="263" w:lineRule="auto"/>
        <w:rPr>
          <w:sz w:val="20"/>
          <w:szCs w:val="20"/>
          <w:color w:val="auto"/>
        </w:rPr>
      </w:pPr>
      <w:r>
        <w:rPr>
          <w:rFonts w:ascii="Arial" w:cs="Arial" w:eastAsia="Arial" w:hAnsi="Arial"/>
          <w:sz w:val="18"/>
          <w:szCs w:val="18"/>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237"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Company’s financial instruments consist of cash and cash equivalents, receivables due from related-party, accounts payable, the term loan compound derivative liability and the Series B convertible preferred stock warrant liability.</w:t>
      </w:r>
    </w:p>
    <w:p>
      <w:pPr>
        <w:spacing w:after="0" w:line="170"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Cash and cash equivalents are reported at their respective fair values on the Company’s condensed consolidated balance sheets. Where quoted prices are available in an active market, securities are classified as Level 1. The Company classifies money market funds as Level 1. When quoted market prices are not available for the specific security, then the Company estimates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92"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The Company measures its Series B convertible preferred stock warrant liability and term loan compound derivative liability at fair value on a recurring basis and these are classified as Level 3 liabilities. The fair value of the Series B convertible preferred stock warrant liability was determined using an option-pricing model. The Company calculated the fair value of the term loan compound derivative liability by computing the 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5.</w:t>
      </w:r>
    </w:p>
    <w:p>
      <w:pPr>
        <w:spacing w:after="0" w:line="176"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following table sets forth the Company’s financial liabilities that are measured at fair value on a recurring basis by level within the fair value hierarchy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4"/>
          </w:tcPr>
          <w:p>
            <w:pPr>
              <w:ind w:left="540"/>
              <w:spacing w:after="0"/>
              <w:rPr>
                <w:sz w:val="20"/>
                <w:szCs w:val="20"/>
                <w:color w:val="auto"/>
              </w:rPr>
            </w:pPr>
            <w:r>
              <w:rPr>
                <w:rFonts w:ascii="Arial" w:cs="Arial" w:eastAsia="Arial" w:hAnsi="Arial"/>
                <w:sz w:val="14"/>
                <w:szCs w:val="14"/>
                <w:b w:val="1"/>
                <w:bCs w:val="1"/>
                <w:color w:val="auto"/>
              </w:rPr>
              <w:t>As of June 30, 2020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5"/>
        </w:trPr>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r>
      <w:tr>
        <w:trPr>
          <w:trHeight w:val="155"/>
        </w:trPr>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78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w w:val="92"/>
              </w:rPr>
              <w:t>Level 3</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680" w:type="dxa"/>
            <w:vAlign w:val="bottom"/>
            <w:tcBorders>
              <w:top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5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189"/>
        </w:trPr>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40" w:type="dxa"/>
            <w:vAlign w:val="bottom"/>
            <w:gridSpan w:val="3"/>
          </w:tcPr>
          <w:p>
            <w:pPr>
              <w:spacing w:after="0" w:line="189" w:lineRule="exact"/>
              <w:rPr>
                <w:sz w:val="20"/>
                <w:szCs w:val="20"/>
                <w:color w:val="auto"/>
              </w:rPr>
            </w:pPr>
            <w:r>
              <w:rPr>
                <w:rFonts w:ascii="Arial" w:cs="Arial" w:eastAsia="Arial" w:hAnsi="Arial"/>
                <w:sz w:val="18"/>
                <w:szCs w:val="18"/>
                <w:color w:val="auto"/>
              </w:rPr>
              <w:t>Cash equivalents</w:t>
            </w: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0"/>
        </w:trPr>
        <w:tc>
          <w:tcPr>
            <w:tcW w:w="580" w:type="dxa"/>
            <w:vAlign w:val="bottom"/>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90,110</w:t>
            </w: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90,110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80" w:type="dxa"/>
            <w:vAlign w:val="bottom"/>
            <w:gridSpan w:val="4"/>
          </w:tcPr>
          <w:p>
            <w:pPr>
              <w:spacing w:after="0"/>
              <w:rPr>
                <w:sz w:val="20"/>
                <w:szCs w:val="20"/>
                <w:color w:val="auto"/>
              </w:rPr>
            </w:pPr>
            <w:r>
              <w:rPr>
                <w:rFonts w:ascii="Arial" w:cs="Arial" w:eastAsia="Arial" w:hAnsi="Arial"/>
                <w:sz w:val="18"/>
                <w:szCs w:val="18"/>
                <w:b w:val="1"/>
                <w:bCs w:val="1"/>
                <w:color w:val="auto"/>
              </w:rPr>
              <w:t>Financial liabilities</w:t>
            </w:r>
          </w:p>
        </w:tc>
        <w:tc>
          <w:tcPr>
            <w:tcW w:w="1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color w:val="auto"/>
                <w:w w:val="94"/>
              </w:rPr>
              <w:t>Non-current liabilities</w:t>
            </w:r>
          </w:p>
        </w:tc>
        <w:tc>
          <w:tcPr>
            <w:tcW w:w="184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Compound derivative liability</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Warrant liability</w:t>
            </w:r>
          </w:p>
        </w:tc>
        <w:tc>
          <w:tcPr>
            <w:tcW w:w="1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756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4" w:name="page15"/>
    <w:bookmarkEnd w:id="14"/>
    <w:tbl>
      <w:tblPr>
        <w:tblLayout w:type="fixed"/>
        <w:tblInd w:w="580" w:type="dxa"/>
        <w:tblCellMar>
          <w:top w:w="0" w:type="dxa"/>
          <w:left w:w="0" w:type="dxa"/>
          <w:bottom w:w="0" w:type="dxa"/>
          <w:right w:w="0" w:type="dxa"/>
        </w:tblCellMar>
      </w:tblPr>
      <w:tr>
        <w:trPr>
          <w:trHeight w:val="186"/>
        </w:trPr>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4"/>
          </w:tcPr>
          <w:p>
            <w:pPr>
              <w:ind w:left="380"/>
              <w:spacing w:after="0"/>
              <w:rPr>
                <w:sz w:val="20"/>
                <w:szCs w:val="20"/>
                <w:color w:val="auto"/>
              </w:rPr>
            </w:pPr>
            <w:r>
              <w:rPr>
                <w:rFonts w:ascii="Arial" w:cs="Arial" w:eastAsia="Arial" w:hAnsi="Arial"/>
                <w:sz w:val="14"/>
                <w:szCs w:val="14"/>
                <w:b w:val="1"/>
                <w:bCs w:val="1"/>
                <w:color w:val="auto"/>
                <w:w w:val="95"/>
              </w:rPr>
              <w:t>As of December 31, 2019</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
        </w:trPr>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r>
      <w:tr>
        <w:trPr>
          <w:trHeight w:val="156"/>
        </w:trPr>
        <w:tc>
          <w:tcPr>
            <w:tcW w:w="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Level 1</w:t>
            </w:r>
          </w:p>
        </w:tc>
        <w:tc>
          <w:tcPr>
            <w:tcW w:w="78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w w:val="92"/>
              </w:rPr>
              <w:t>Level 3</w:t>
            </w:r>
          </w:p>
        </w:tc>
        <w:tc>
          <w:tcPr>
            <w:tcW w:w="2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r>
      <w:tr>
        <w:trPr>
          <w:trHeight w:val="223"/>
        </w:trPr>
        <w:tc>
          <w:tcPr>
            <w:tcW w:w="382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Financial liabilities</w:t>
            </w:r>
          </w:p>
        </w:tc>
        <w:tc>
          <w:tcPr>
            <w:tcW w:w="1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189"/>
        </w:trPr>
        <w:tc>
          <w:tcPr>
            <w:tcW w:w="240" w:type="dxa"/>
            <w:vAlign w:val="bottom"/>
          </w:tcPr>
          <w:p>
            <w:pPr>
              <w:spacing w:after="0"/>
              <w:rPr>
                <w:sz w:val="16"/>
                <w:szCs w:val="16"/>
                <w:color w:val="auto"/>
              </w:rPr>
            </w:pPr>
          </w:p>
        </w:tc>
        <w:tc>
          <w:tcPr>
            <w:tcW w:w="3580" w:type="dxa"/>
            <w:vAlign w:val="bottom"/>
            <w:gridSpan w:val="2"/>
          </w:tcPr>
          <w:p>
            <w:pPr>
              <w:spacing w:after="0" w:line="189" w:lineRule="exact"/>
              <w:rPr>
                <w:sz w:val="20"/>
                <w:szCs w:val="20"/>
                <w:color w:val="auto"/>
              </w:rPr>
            </w:pPr>
            <w:r>
              <w:rPr>
                <w:rFonts w:ascii="Arial" w:cs="Arial" w:eastAsia="Arial" w:hAnsi="Arial"/>
                <w:sz w:val="18"/>
                <w:szCs w:val="18"/>
                <w:color w:val="auto"/>
              </w:rPr>
              <w:t>Non-current liabilities</w:t>
            </w: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
        </w:trPr>
        <w:tc>
          <w:tcPr>
            <w:tcW w:w="240" w:type="dxa"/>
            <w:vAlign w:val="bottom"/>
          </w:tcPr>
          <w:p>
            <w:pPr>
              <w:spacing w:after="0" w:line="20" w:lineRule="exact"/>
              <w:rPr>
                <w:sz w:val="1"/>
                <w:szCs w:val="1"/>
                <w:color w:val="auto"/>
              </w:rPr>
            </w:pPr>
          </w:p>
        </w:tc>
        <w:tc>
          <w:tcPr>
            <w:tcW w:w="1600" w:type="dxa"/>
            <w:vAlign w:val="bottom"/>
            <w:tcBorders>
              <w:top w:val="single" w:sz="8" w:color="auto"/>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40" w:type="dxa"/>
            <w:vAlign w:val="bottom"/>
            <w:shd w:val="clear" w:color="auto" w:fill="CFF0FC"/>
          </w:tcPr>
          <w:p>
            <w:pPr>
              <w:spacing w:after="0"/>
              <w:rPr>
                <w:sz w:val="19"/>
                <w:szCs w:val="19"/>
                <w:color w:val="auto"/>
              </w:rPr>
            </w:pP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Compound derivative liability</w:t>
            </w: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Warrant liability</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79"/>
              </w:rPr>
              <w:t>361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20"/>
                <w:szCs w:val="20"/>
                <w:color w:val="auto"/>
              </w:rPr>
            </w:pPr>
          </w:p>
        </w:tc>
      </w:tr>
    </w:tbl>
    <w:p>
      <w:pPr>
        <w:spacing w:after="0" w:line="2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is a reconciliation of all financial liabilities measured at fair value using Level 3 unobservable inputs (in thousands):</w:t>
      </w: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Compound</w:t>
            </w:r>
          </w:p>
        </w:tc>
      </w:tr>
      <w:tr>
        <w:trPr>
          <w:trHeight w:val="162"/>
        </w:trPr>
        <w:tc>
          <w:tcPr>
            <w:tcW w:w="5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Warrant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r>
      <w:tr>
        <w:trPr>
          <w:trHeight w:val="171"/>
        </w:trPr>
        <w:tc>
          <w:tcPr>
            <w:tcW w:w="53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Liability</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December 31, 2019</w:t>
            </w: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361</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fair value</w:t>
            </w: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395</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 at June 30, 2020</w:t>
            </w: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756</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did not have any outstanding financial assets or liabilities to be re-measured on a recurring basis as of June 30, 2019.</w:t>
      </w:r>
    </w:p>
    <w:p>
      <w:pPr>
        <w:spacing w:after="0" w:line="279"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There were no transfers of assets or liabilities between the fair value measurement levels during the six months ended June 30, 2020 and the year ended December 31, 2019.</w:t>
      </w:r>
    </w:p>
    <w:p>
      <w:pPr>
        <w:spacing w:after="0" w:line="224" w:lineRule="exact"/>
        <w:rPr>
          <w:sz w:val="20"/>
          <w:szCs w:val="20"/>
          <w:color w:val="auto"/>
        </w:rPr>
      </w:pPr>
    </w:p>
    <w:p>
      <w:pPr>
        <w:ind w:right="800" w:firstLine="510"/>
        <w:spacing w:after="0" w:line="277" w:lineRule="auto"/>
        <w:rPr>
          <w:sz w:val="20"/>
          <w:szCs w:val="20"/>
          <w:color w:val="auto"/>
        </w:rPr>
      </w:pPr>
      <w:r>
        <w:rPr>
          <w:rFonts w:ascii="Arial" w:cs="Arial" w:eastAsia="Arial" w:hAnsi="Arial"/>
          <w:sz w:val="18"/>
          <w:szCs w:val="18"/>
          <w:color w:val="auto"/>
        </w:rPr>
        <w:t>The carrying values of the Company’s financial instruments, such as accounts payable and accrued expenses and other current liabilities, approximate fair value due to the short-term nature of these items.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Term Loan</w:t>
      </w:r>
    </w:p>
    <w:p>
      <w:pPr>
        <w:spacing w:after="0" w:line="117" w:lineRule="exact"/>
        <w:rPr>
          <w:sz w:val="20"/>
          <w:szCs w:val="20"/>
          <w:color w:val="auto"/>
        </w:rPr>
      </w:pPr>
    </w:p>
    <w:p>
      <w:pPr>
        <w:jc w:val="both"/>
        <w:ind w:firstLine="510"/>
        <w:spacing w:after="0" w:line="286" w:lineRule="auto"/>
        <w:rPr>
          <w:sz w:val="20"/>
          <w:szCs w:val="20"/>
          <w:color w:val="auto"/>
        </w:rPr>
      </w:pPr>
      <w:r>
        <w:rPr>
          <w:rFonts w:ascii="Arial" w:cs="Arial" w:eastAsia="Arial" w:hAnsi="Arial"/>
          <w:sz w:val="17"/>
          <w:szCs w:val="17"/>
          <w:color w:val="auto"/>
        </w:rPr>
        <w:t>The estimated fair value of the Term Loan was $5.8 million as of June 30, 2020, which approximates the carrying value and is classified as Level 3. The Company utilized a market yield analysis and income approach to estimate a value for the Term Loan. The key valuation assumptions used consist of the discount rate of 16.5% and the probability of the occurrence of a change in control event of 10.0%.</w:t>
      </w:r>
    </w:p>
    <w:p>
      <w:pPr>
        <w:spacing w:after="0" w:line="269" w:lineRule="exact"/>
        <w:rPr>
          <w:sz w:val="20"/>
          <w:szCs w:val="20"/>
          <w:color w:val="auto"/>
        </w:rPr>
      </w:pPr>
    </w:p>
    <w:p>
      <w:pPr>
        <w:ind w:left="520" w:right="8040" w:hanging="512"/>
        <w:spacing w:after="0" w:line="400" w:lineRule="auto"/>
        <w:tabs>
          <w:tab w:leader="none" w:pos="26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BALANCE SHEET COMPONENTS </w:t>
      </w:r>
      <w:r>
        <w:rPr>
          <w:rFonts w:ascii="Arial" w:cs="Arial" w:eastAsia="Arial" w:hAnsi="Arial"/>
          <w:sz w:val="17"/>
          <w:szCs w:val="17"/>
          <w:b w:val="1"/>
          <w:bCs w:val="1"/>
          <w:i w:val="1"/>
          <w:iCs w:val="1"/>
          <w:color w:val="auto"/>
        </w:rPr>
        <w:t>Property and Equipment, Net</w:t>
      </w:r>
    </w:p>
    <w:p>
      <w:pPr>
        <w:ind w:left="520"/>
        <w:spacing w:after="0"/>
        <w:rPr>
          <w:rFonts w:ascii="Arial" w:cs="Arial" w:eastAsia="Arial" w:hAnsi="Arial"/>
          <w:sz w:val="17"/>
          <w:szCs w:val="17"/>
          <w:b w:val="1"/>
          <w:bCs w:val="1"/>
          <w:color w:val="auto"/>
        </w:rPr>
      </w:pPr>
      <w:r>
        <w:rPr>
          <w:rFonts w:ascii="Arial" w:cs="Arial" w:eastAsia="Arial" w:hAnsi="Arial"/>
          <w:sz w:val="17"/>
          <w:szCs w:val="17"/>
          <w:color w:val="auto"/>
        </w:rPr>
        <w:t>The following table presents the components of property and equipment, net as of June 30, 2020 and December 31, 2019 (in thousands):</w:t>
      </w:r>
    </w:p>
    <w:p>
      <w:pPr>
        <w:spacing w:after="0" w:line="260"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3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9"/>
                <w:szCs w:val="19"/>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980" w:type="dxa"/>
            <w:vAlign w:val="bottom"/>
            <w:tcBorders>
              <w:bottom w:val="single" w:sz="8" w:color="CFF0FC"/>
            </w:tcBorders>
          </w:tcPr>
          <w:p>
            <w:pPr>
              <w:spacing w:after="0"/>
              <w:rPr>
                <w:sz w:val="20"/>
                <w:szCs w:val="20"/>
                <w:color w:val="auto"/>
              </w:rPr>
            </w:pPr>
          </w:p>
        </w:tc>
        <w:tc>
          <w:tcPr>
            <w:tcW w:w="48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20"/>
                <w:szCs w:val="20"/>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Computer hardware and software</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19"/>
                <w:szCs w:val="19"/>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1,698</w:t>
            </w:r>
          </w:p>
        </w:tc>
        <w:tc>
          <w:tcPr>
            <w:tcW w:w="80" w:type="dxa"/>
            <w:vAlign w:val="bottom"/>
          </w:tcPr>
          <w:p>
            <w:pPr>
              <w:spacing w:after="0"/>
              <w:rPr>
                <w:sz w:val="19"/>
                <w:szCs w:val="19"/>
                <w:color w:val="auto"/>
              </w:rPr>
            </w:pPr>
          </w:p>
        </w:tc>
      </w:tr>
      <w:tr>
        <w:trPr>
          <w:trHeight w:val="230"/>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8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80" w:type="dxa"/>
            <w:vAlign w:val="bottom"/>
            <w:shd w:val="clear" w:color="auto" w:fill="CFF0FC"/>
          </w:tcPr>
          <w:p>
            <w:pPr>
              <w:spacing w:after="0"/>
              <w:rPr>
                <w:sz w:val="19"/>
                <w:szCs w:val="19"/>
                <w:color w:val="auto"/>
              </w:rPr>
            </w:pPr>
          </w:p>
        </w:tc>
      </w:tr>
      <w:tr>
        <w:trPr>
          <w:trHeight w:val="223"/>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4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8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property and equipment, net</w:t>
            </w:r>
          </w:p>
        </w:tc>
        <w:tc>
          <w:tcPr>
            <w:tcW w:w="4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Depreciation and amortization expense was $0.1 million for the three months ended June 30, 2020 and 2019, and $0.2 million for the six months ended June 30, 2020 and 2019.</w:t>
      </w:r>
    </w:p>
    <w:p>
      <w:pPr>
        <w:spacing w:after="0" w:line="22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At June 30, 2020, certain lab equipment and other assets for an aggregated net book value of $0.6 million relating to the asset transfer with Tallac Therapeutics, Inc. (formerly known as Tollnine, Inc., or Tollnine), or Tallac Therapeutics, met the criteria as assets held for sale. Those assets are reported at the lower of carrying value or fair value less costs to sell. In July 2020, the Company</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87" w:right="419" w:bottom="1440" w:gutter="0" w:footer="0" w:header="0"/>
        </w:sectPr>
      </w:pPr>
    </w:p>
    <w:bookmarkStart w:id="15" w:name="page16"/>
    <w:bookmarkEnd w:id="15"/>
    <w:p>
      <w:pPr>
        <w:ind w:right="420"/>
        <w:spacing w:after="0" w:line="277" w:lineRule="auto"/>
        <w:rPr>
          <w:sz w:val="20"/>
          <w:szCs w:val="20"/>
          <w:color w:val="auto"/>
        </w:rPr>
      </w:pPr>
      <w:r>
        <w:rPr>
          <w:rFonts w:ascii="Arial" w:cs="Arial" w:eastAsia="Arial" w:hAnsi="Arial"/>
          <w:sz w:val="18"/>
          <w:szCs w:val="18"/>
          <w:color w:val="auto"/>
        </w:rPr>
        <w:t>received $0.6 million cash in exchange for the transfer of such assets. See Note 12 to these condensed consolidated financial statements for additional details.</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following table presents the components of accrued expenses and other current liabilities as of June 30, 2020 and December 31, 2019 (in thousands):</w:t>
      </w:r>
    </w:p>
    <w:p>
      <w:pPr>
        <w:spacing w:after="0" w:line="193"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060" w:type="dxa"/>
            <w:vAlign w:val="bottom"/>
          </w:tcPr>
          <w:p>
            <w:pPr>
              <w:spacing w:after="0"/>
              <w:rPr>
                <w:sz w:val="20"/>
                <w:szCs w:val="20"/>
                <w:color w:val="auto"/>
              </w:rPr>
            </w:pPr>
          </w:p>
        </w:tc>
        <w:tc>
          <w:tcPr>
            <w:tcW w:w="1520" w:type="dxa"/>
            <w:vAlign w:val="bottom"/>
            <w:gridSpan w:val="2"/>
          </w:tcPr>
          <w:p>
            <w:pPr>
              <w:jc w:val="right"/>
              <w:ind w:right="81"/>
              <w:spacing w:after="0"/>
              <w:rPr>
                <w:sz w:val="20"/>
                <w:szCs w:val="20"/>
                <w:color w:val="auto"/>
              </w:rPr>
            </w:pPr>
            <w:r>
              <w:rPr>
                <w:rFonts w:ascii="Arial" w:cs="Arial" w:eastAsia="Arial" w:hAnsi="Arial"/>
                <w:sz w:val="18"/>
                <w:szCs w:val="18"/>
                <w:b w:val="1"/>
                <w:bCs w:val="1"/>
                <w:color w:val="auto"/>
              </w:rPr>
              <w:t>2020</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23"/>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4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41"/>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2,219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Accrued compensation</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924</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and nonclinical study costs</w:t>
            </w:r>
          </w:p>
        </w:tc>
        <w:tc>
          <w:tcPr>
            <w:tcW w:w="4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060" w:type="dxa"/>
            <w:vAlign w:val="bottom"/>
          </w:tcPr>
          <w:p>
            <w:pPr>
              <w:spacing w:after="0"/>
              <w:rPr>
                <w:sz w:val="20"/>
                <w:szCs w:val="20"/>
                <w:color w:val="auto"/>
              </w:rPr>
            </w:pPr>
            <w:r>
              <w:rPr>
                <w:rFonts w:ascii="Arial" w:cs="Arial" w:eastAsia="Arial" w:hAnsi="Arial"/>
                <w:sz w:val="18"/>
                <w:szCs w:val="18"/>
                <w:color w:val="auto"/>
              </w:rPr>
              <w:t>Accrued contract manufacturing</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4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FF0FC"/>
          </w:tcPr>
          <w:p>
            <w:pPr>
              <w:spacing w:after="0"/>
              <w:rPr>
                <w:sz w:val="19"/>
                <w:szCs w:val="19"/>
                <w:color w:val="auto"/>
              </w:rPr>
            </w:pP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w w:val="99"/>
              </w:rPr>
              <w:t>Total accrued expenses and other current liabilities</w:t>
            </w:r>
          </w:p>
        </w:tc>
        <w:tc>
          <w:tcPr>
            <w:tcW w:w="420" w:type="dxa"/>
            <w:vAlign w:val="bottom"/>
          </w:tcPr>
          <w:p>
            <w:pPr>
              <w:spacing w:after="0"/>
              <w:rPr>
                <w:sz w:val="19"/>
                <w:szCs w:val="19"/>
                <w:color w:val="auto"/>
              </w:rPr>
            </w:pPr>
          </w:p>
        </w:tc>
        <w:tc>
          <w:tcPr>
            <w:tcW w:w="1100" w:type="dxa"/>
            <w:vAlign w:val="bottom"/>
            <w:tcBorders>
              <w:bottom w:val="single" w:sz="8" w:color="auto"/>
            </w:tcBorders>
          </w:tcPr>
          <w:p>
            <w:pPr>
              <w:jc w:val="right"/>
              <w:ind w:right="941"/>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4,140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8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TERM LOAN</w:t>
      </w:r>
    </w:p>
    <w:p>
      <w:pPr>
        <w:spacing w:after="0" w:line="121"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Company’s wholly-owned subsidiaries Alexo Therapeutics International and Sirpant Therapeutics, as borrowers, entered into a Loan and Security Agreement, or the Loan Agreement, dated as of December 20, 2019, with SVB and WestRiver, collectively as lenders, and SVB, as administrative agent and collateral agent.</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a result of the internal reorganization, in May 2020 the Company entered into a Joinder and First Amendment to the Loan and Security Agreement, or the Joinder Amendment, and Amended and Restated Warrants to Purchase Stock, or the Amended Warrants. The purpose for entering into the Joinder Amendment was to add the newly established ALX Oncology Holdings Inc. as additional borrower to the Term Loan. Concurrently, the Company modified the Amended Warrants to change the issuer from ALX Oncology Limited to ALX Oncology Holdings Inc. The Company accounted for the First Amendment to the Loan and Security Agreement as a modification.</w:t>
      </w:r>
    </w:p>
    <w:p>
      <w:pPr>
        <w:spacing w:after="0" w:line="18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88"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loans under the Loan Agreement bear interest at a floating per annum interest rate equal to the greater of 7.0% or 2.0% plus the prime rate as reported in The Wall Street Journal. The Wall Street Journal prime rate was 3.25% as of June 30, 2020. Therefore, the rate applicable to the Company as of June 30, 2020 was 7.0%.</w:t>
      </w:r>
    </w:p>
    <w:p>
      <w:pPr>
        <w:spacing w:after="0" w:line="184" w:lineRule="exact"/>
        <w:rPr>
          <w:sz w:val="20"/>
          <w:szCs w:val="20"/>
          <w:color w:val="auto"/>
        </w:rPr>
      </w:pPr>
    </w:p>
    <w:p>
      <w:pPr>
        <w:ind w:right="140" w:firstLine="510"/>
        <w:spacing w:after="0" w:line="296" w:lineRule="auto"/>
        <w:rPr>
          <w:sz w:val="20"/>
          <w:szCs w:val="20"/>
          <w:color w:val="auto"/>
        </w:rPr>
      </w:pPr>
      <w:r>
        <w:rPr>
          <w:rFonts w:ascii="Arial" w:cs="Arial" w:eastAsia="Arial" w:hAnsi="Arial"/>
          <w:sz w:val="16"/>
          <w:szCs w:val="16"/>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61" w:lineRule="exact"/>
        <w:rPr>
          <w:sz w:val="20"/>
          <w:szCs w:val="20"/>
          <w:color w:val="auto"/>
        </w:rPr>
      </w:pPr>
    </w:p>
    <w:p>
      <w:pPr>
        <w:ind w:right="100" w:firstLine="510"/>
        <w:spacing w:after="0" w:line="289" w:lineRule="auto"/>
        <w:rPr>
          <w:sz w:val="20"/>
          <w:szCs w:val="20"/>
          <w:color w:val="auto"/>
        </w:rPr>
      </w:pPr>
      <w:r>
        <w:rPr>
          <w:rFonts w:ascii="Arial" w:cs="Arial" w:eastAsia="Arial" w:hAnsi="Arial"/>
          <w:sz w:val="16"/>
          <w:szCs w:val="16"/>
          <w:color w:val="auto"/>
        </w:rPr>
        <w:t>In conjunction with the Loan Agreement, the Company has issued warrants to purchase 61,292 Series B convertible preferred stock to SVB and WestRiver with an exercise price of $9.4972 per share. Following the Company’s initial public offering, these warrants were automatically converted to warrants to purchase 61,292 shares of common stock at an exercise price of $9.4972 per share. The estimated fair value of the warrants at the date of issuance was approximately $0.4 million. The fair value of the Series B convertible preferred stock warrant liability was determined using the Black-Scholes option-pricing model. As of June 30, 2020, the various assumptions used in the option-pricing model were time to liquidity of 2.0 to 9.5 years, volatility of 99.9% and risk-free rate of 0.6%. It was recorded at its fair value at inception and is being re-measured at each financial reporting period with any changes in fair value being recognized as a component of other expense, net in the accompanying condensed consolidated statement of operations and comprehensive loss. As of June 30, 2020, the fair value of the Series B convertible preferred stock warrant liability was approximately $0.8 million and was recorded in other non-current liabilities on the condensed consolidated balance sheets.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66" w:right="359" w:bottom="1440" w:gutter="0" w:footer="0" w:header="0"/>
        </w:sectPr>
      </w:pPr>
    </w:p>
    <w:bookmarkStart w:id="16" w:name="page17"/>
    <w:bookmarkEnd w:id="16"/>
    <w:p>
      <w:pPr>
        <w:ind w:right="140" w:firstLine="510"/>
        <w:spacing w:after="0" w:line="277" w:lineRule="auto"/>
        <w:rPr>
          <w:sz w:val="20"/>
          <w:szCs w:val="20"/>
          <w:color w:val="auto"/>
        </w:rPr>
      </w:pPr>
      <w:r>
        <w:rPr>
          <w:rFonts w:ascii="Arial" w:cs="Arial" w:eastAsia="Arial" w:hAnsi="Arial"/>
          <w:sz w:val="18"/>
          <w:szCs w:val="18"/>
          <w:color w:val="auto"/>
        </w:rPr>
        <w:t>The loans under the Loan Agreement are secured by substantially all of the Company’s assets, except the Company’s intellectual property, which is the subject of a negative pledge.</w:t>
      </w:r>
    </w:p>
    <w:p>
      <w:pPr>
        <w:spacing w:after="0" w:line="17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expense, net in the condensed consolidated statement of operations and comprehensive loss. As of June 30, 2020, the fair value of the compound derivative liability was approximately $64,000 and was recorded in other non-current liabilities on the condensed consolidated balance sheets.</w:t>
      </w:r>
    </w:p>
    <w:p>
      <w:pPr>
        <w:spacing w:after="0" w:line="185" w:lineRule="exact"/>
        <w:rPr>
          <w:sz w:val="20"/>
          <w:szCs w:val="20"/>
          <w:color w:val="auto"/>
        </w:rPr>
      </w:pPr>
    </w:p>
    <w:p>
      <w:pPr>
        <w:ind w:right="160" w:firstLine="510"/>
        <w:spacing w:after="0" w:line="286"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the Company’s condensed consolidated balance sheet and together with the final payment are being amortized to interest expense throughout the life of the term loan using the effective interest rate method.</w:t>
      </w:r>
    </w:p>
    <w:p>
      <w:pPr>
        <w:spacing w:after="0" w:line="16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As of June 30, 2020, there were unamortized issuance costs and debt discounts of $0.4 million, which were recorded as a direct deduction from the term loan on the condensed consolidated balance sheet. Interest expense for the term loan was $0.2 million and $0.4 million for the three months and six months ended June 30, 2020, respectively.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future payments of principal and interest as of June 30, 2020 is as follows (in thousands):</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68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20"/>
                <w:szCs w:val="20"/>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2020 (remaining six months)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3,743</w:t>
            </w:r>
          </w:p>
        </w:tc>
        <w:tc>
          <w:tcPr>
            <w:tcW w:w="80" w:type="dxa"/>
            <w:vAlign w:val="bottom"/>
          </w:tcPr>
          <w:p>
            <w:pPr>
              <w:spacing w:after="0"/>
              <w:rPr>
                <w:sz w:val="19"/>
                <w:szCs w:val="19"/>
                <w:color w:val="auto"/>
              </w:rPr>
            </w:pPr>
          </w:p>
        </w:tc>
      </w:tr>
      <w:tr>
        <w:trPr>
          <w:trHeight w:val="229"/>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3,007</w:t>
            </w:r>
          </w:p>
        </w:tc>
        <w:tc>
          <w:tcPr>
            <w:tcW w:w="80" w:type="dxa"/>
            <w:vAlign w:val="bottom"/>
            <w:shd w:val="clear" w:color="auto" w:fill="CFF0FC"/>
          </w:tcPr>
          <w:p>
            <w:pPr>
              <w:spacing w:after="0"/>
              <w:rPr>
                <w:sz w:val="19"/>
                <w:szCs w:val="19"/>
                <w:color w:val="auto"/>
              </w:rPr>
            </w:pPr>
          </w:p>
        </w:tc>
      </w:tr>
      <w:tr>
        <w:trPr>
          <w:trHeight w:val="223"/>
        </w:trPr>
        <w:tc>
          <w:tcPr>
            <w:tcW w:w="68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6,964</w:t>
            </w:r>
          </w:p>
        </w:tc>
        <w:tc>
          <w:tcPr>
            <w:tcW w:w="8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FF0FC"/>
          </w:tcPr>
          <w:p>
            <w:pPr>
              <w:spacing w:after="0"/>
              <w:rPr>
                <w:sz w:val="19"/>
                <w:szCs w:val="19"/>
                <w:color w:val="auto"/>
              </w:rPr>
            </w:pPr>
          </w:p>
        </w:tc>
      </w:tr>
      <w:tr>
        <w:trPr>
          <w:trHeight w:val="229"/>
        </w:trPr>
        <w:tc>
          <w:tcPr>
            <w:tcW w:w="6840" w:type="dxa"/>
            <w:vAlign w:val="bottom"/>
          </w:tcPr>
          <w:p>
            <w:pPr>
              <w:spacing w:after="0"/>
              <w:rPr>
                <w:sz w:val="20"/>
                <w:szCs w:val="20"/>
                <w:color w:val="auto"/>
              </w:rPr>
            </w:pPr>
            <w:r>
              <w:rPr>
                <w:rFonts w:ascii="Arial" w:cs="Arial" w:eastAsia="Arial" w:hAnsi="Arial"/>
                <w:sz w:val="18"/>
                <w:szCs w:val="18"/>
                <w:color w:val="auto"/>
              </w:rPr>
              <w:t>Less: amount representing final payment</w:t>
            </w: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(360)</w:t>
            </w: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Term loan, gross</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Less: unamortized issuance costs and debt discounts</w:t>
            </w:r>
          </w:p>
        </w:tc>
        <w:tc>
          <w:tcPr>
            <w:tcW w:w="1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r>
      <w:tr>
        <w:trPr>
          <w:trHeight w:val="230"/>
        </w:trPr>
        <w:tc>
          <w:tcPr>
            <w:tcW w:w="68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(1,714)</w:t>
            </w:r>
          </w:p>
        </w:tc>
      </w:tr>
      <w:tr>
        <w:trPr>
          <w:trHeight w:val="223"/>
        </w:trPr>
        <w:tc>
          <w:tcPr>
            <w:tcW w:w="6840" w:type="dxa"/>
            <w:vAlign w:val="bottom"/>
          </w:tcPr>
          <w:p>
            <w:pPr>
              <w:spacing w:after="0"/>
              <w:rPr>
                <w:sz w:val="20"/>
                <w:szCs w:val="20"/>
                <w:color w:val="auto"/>
              </w:rPr>
            </w:pPr>
            <w:r>
              <w:rPr>
                <w:rFonts w:ascii="Arial" w:cs="Arial" w:eastAsia="Arial" w:hAnsi="Arial"/>
                <w:sz w:val="18"/>
                <w:szCs w:val="18"/>
                <w:color w:val="auto"/>
              </w:rPr>
              <w:t>Non-current portion of term loan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3,928</w:t>
            </w:r>
          </w:p>
        </w:tc>
        <w:tc>
          <w:tcPr>
            <w:tcW w:w="8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520" w:right="9040" w:hanging="512"/>
        <w:spacing w:after="0" w:line="378" w:lineRule="auto"/>
        <w:tabs>
          <w:tab w:leader="none" w:pos="265"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b w:val="1"/>
          <w:bCs w:val="1"/>
          <w:i w:val="1"/>
          <w:iCs w:val="1"/>
          <w:color w:val="auto"/>
        </w:rPr>
        <w:t>Common Stock</w:t>
      </w:r>
    </w:p>
    <w:p>
      <w:pPr>
        <w:ind w:right="200" w:firstLine="510"/>
        <w:spacing w:after="0" w:line="277" w:lineRule="auto"/>
        <w:rPr>
          <w:sz w:val="20"/>
          <w:szCs w:val="20"/>
          <w:color w:val="auto"/>
        </w:rPr>
      </w:pPr>
      <w:r>
        <w:rPr>
          <w:rFonts w:ascii="Arial" w:cs="Arial" w:eastAsia="Arial" w:hAnsi="Arial"/>
          <w:sz w:val="18"/>
          <w:szCs w:val="18"/>
          <w:color w:val="auto"/>
        </w:rPr>
        <w:t>Common stock reserved for future issuance, on an as if converted basis, as of June 30, 2020 and December 31, 2019, consists of the following and have been adjusted for the 1-for-6.5806 reverse split: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30,</w:t>
            </w: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6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1"/>
              </w:rPr>
              <w:t>Convertible preferred stock issued and outstanding</w:t>
            </w:r>
          </w:p>
        </w:tc>
        <w:tc>
          <w:tcPr>
            <w:tcW w:w="13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21,369,774</w:t>
            </w:r>
          </w:p>
        </w:tc>
        <w:tc>
          <w:tcPr>
            <w:tcW w:w="18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10,313,808</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Stock options issued and outstanding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3,874,815</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1,183,745</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Stock options authorized for future issuance</w:t>
            </w:r>
          </w:p>
        </w:tc>
        <w:tc>
          <w:tcPr>
            <w:tcW w:w="2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111,869</w:t>
            </w: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566,900</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Warrants issued and outstanding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61,292</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61,292</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Warrants authorized for future issuance</w:t>
            </w:r>
          </w:p>
        </w:tc>
        <w:tc>
          <w:tcPr>
            <w:tcW w:w="13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30,646</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gridSpan w:val="2"/>
          </w:tcPr>
          <w:p>
            <w:pPr>
              <w:ind w:left="170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25,417,750</w:t>
            </w:r>
          </w:p>
        </w:tc>
        <w:tc>
          <w:tcPr>
            <w:tcW w:w="18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12,156,391</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360" w:type="dxa"/>
            <w:vAlign w:val="bottom"/>
            <w:vMerge w:val="restart"/>
          </w:tcPr>
          <w:p>
            <w:pPr>
              <w:jc w:val="right"/>
              <w:ind w:right="990"/>
              <w:spacing w:after="0"/>
              <w:rPr>
                <w:sz w:val="20"/>
                <w:szCs w:val="20"/>
                <w:color w:val="auto"/>
              </w:rPr>
            </w:pPr>
            <w:r>
              <w:rPr>
                <w:rFonts w:ascii="Arial" w:cs="Arial" w:eastAsia="Arial" w:hAnsi="Arial"/>
                <w:sz w:val="18"/>
                <w:szCs w:val="18"/>
                <w:color w:val="auto"/>
              </w:rPr>
              <w:t>14</w:t>
            </w: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7" w:name="page18"/>
    <w:bookmarkEnd w:id="17"/>
    <w:p>
      <w:pPr>
        <w:ind w:left="5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As of June 30, 2020 and December 31, 2019, the Company’s convertible preferred stock consisted of the following and have been adjusted for the 1-for-6.5806 reverse split (in thousands, except share amounts):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b w:val="1"/>
                <w:bCs w:val="1"/>
                <w:color w:val="auto"/>
                <w:w w:val="88"/>
              </w:rPr>
              <w:t>June 30, 2020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8"/>
        </w:trPr>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r>
      <w:tr>
        <w:trPr>
          <w:trHeight w:val="230"/>
        </w:trPr>
        <w:tc>
          <w:tcPr>
            <w:tcW w:w="478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Authorized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Issued And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Liquidation</w:t>
            </w:r>
          </w:p>
        </w:tc>
      </w:tr>
      <w:tr>
        <w:trPr>
          <w:trHeight w:val="241"/>
        </w:trPr>
        <w:tc>
          <w:tcPr>
            <w:tcW w:w="47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Proceeds</w:t>
            </w:r>
            <w:r>
              <w:rPr>
                <w:rFonts w:ascii="Arial" w:cs="Arial" w:eastAsia="Arial" w:hAnsi="Arial"/>
                <w:sz w:val="15"/>
                <w:szCs w:val="15"/>
                <w:b w:val="1"/>
                <w:bCs w:val="1"/>
                <w:color w:val="auto"/>
                <w:w w:val="86"/>
              </w:rPr>
              <w:t>(1)</w:t>
            </w: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Preference</w:t>
            </w:r>
          </w:p>
        </w:tc>
      </w:tr>
      <w:tr>
        <w:trPr>
          <w:trHeight w:val="230"/>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Shares designated as:</w:t>
            </w: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9,297,100</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9,297,081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60,933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75,412</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Series B convertible preferred stock</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1,108,675</w:t>
            </w:r>
          </w:p>
        </w:tc>
        <w:tc>
          <w:tcPr>
            <w:tcW w:w="2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1,016,727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10,304</w:t>
            </w:r>
          </w:p>
        </w:tc>
        <w:tc>
          <w:tcPr>
            <w:tcW w:w="100" w:type="dxa"/>
            <w:vAlign w:val="bottom"/>
            <w:shd w:val="clear" w:color="auto" w:fill="CFF0FC"/>
          </w:tcPr>
          <w:p>
            <w:pPr>
              <w:spacing w:after="0"/>
              <w:rPr>
                <w:sz w:val="19"/>
                <w:szCs w:val="19"/>
                <w:color w:val="auto"/>
              </w:rPr>
            </w:pPr>
          </w:p>
        </w:tc>
      </w:tr>
      <w:tr>
        <w:trPr>
          <w:trHeight w:val="229"/>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Series C convertible preferred stock</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11,055,981</w:t>
            </w:r>
          </w:p>
        </w:tc>
        <w:tc>
          <w:tcPr>
            <w:tcW w:w="22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11,055,966</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104,680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107,504</w:t>
            </w:r>
          </w:p>
        </w:tc>
        <w:tc>
          <w:tcPr>
            <w:tcW w:w="100" w:type="dxa"/>
            <w:vAlign w:val="bottom"/>
            <w:tcBorders>
              <w:bottom w:val="single" w:sz="8" w:color="CFF0FC"/>
            </w:tcBorders>
          </w:tcPr>
          <w:p>
            <w:pPr>
              <w:spacing w:after="0"/>
              <w:rPr>
                <w:sz w:val="19"/>
                <w:szCs w:val="19"/>
                <w:color w:val="auto"/>
              </w:rPr>
            </w:pP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21,461,756</w:t>
            </w:r>
          </w:p>
        </w:tc>
        <w:tc>
          <w:tcPr>
            <w:tcW w:w="22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21,369,774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175,043</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193,220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8"/>
                <w:szCs w:val="18"/>
                <w:b w:val="1"/>
                <w:bCs w:val="1"/>
                <w:color w:val="auto"/>
                <w:w w:val="88"/>
              </w:rPr>
              <w:t>December 31, 2019</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4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Aggregate</w:t>
            </w:r>
          </w:p>
        </w:tc>
        <w:tc>
          <w:tcPr>
            <w:tcW w:w="100" w:type="dxa"/>
            <w:vAlign w:val="bottom"/>
          </w:tcPr>
          <w:p>
            <w:pPr>
              <w:spacing w:after="0"/>
              <w:rPr>
                <w:sz w:val="18"/>
                <w:szCs w:val="18"/>
                <w:color w:val="auto"/>
              </w:rPr>
            </w:pPr>
          </w:p>
        </w:tc>
      </w:tr>
      <w:tr>
        <w:trPr>
          <w:trHeight w:val="229"/>
        </w:trPr>
        <w:tc>
          <w:tcPr>
            <w:tcW w:w="478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Authorized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Issued And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Liquidation</w:t>
            </w:r>
          </w:p>
        </w:tc>
      </w:tr>
      <w:tr>
        <w:trPr>
          <w:trHeight w:val="241"/>
        </w:trPr>
        <w:tc>
          <w:tcPr>
            <w:tcW w:w="478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Proceeds</w:t>
            </w:r>
            <w:r>
              <w:rPr>
                <w:rFonts w:ascii="Arial" w:cs="Arial" w:eastAsia="Arial" w:hAnsi="Arial"/>
                <w:sz w:val="15"/>
                <w:szCs w:val="15"/>
                <w:b w:val="1"/>
                <w:bCs w:val="1"/>
                <w:color w:val="auto"/>
                <w:w w:val="86"/>
              </w:rPr>
              <w:t>(1)</w:t>
            </w:r>
          </w:p>
        </w:tc>
        <w:tc>
          <w:tcPr>
            <w:tcW w:w="12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Preference</w:t>
            </w:r>
          </w:p>
        </w:tc>
      </w:tr>
      <w:tr>
        <w:trPr>
          <w:trHeight w:val="229"/>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Shares designated as:</w:t>
            </w:r>
          </w:p>
        </w:tc>
        <w:tc>
          <w:tcPr>
            <w:tcW w:w="11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1120" w:type="dxa"/>
            <w:vAlign w:val="bottom"/>
          </w:tcPr>
          <w:p>
            <w:pPr>
              <w:jc w:val="right"/>
              <w:spacing w:after="0"/>
              <w:rPr>
                <w:sz w:val="20"/>
                <w:szCs w:val="20"/>
                <w:color w:val="auto"/>
              </w:rPr>
            </w:pPr>
            <w:r>
              <w:rPr>
                <w:rFonts w:ascii="Arial" w:cs="Arial" w:eastAsia="Arial" w:hAnsi="Arial"/>
                <w:sz w:val="18"/>
                <w:szCs w:val="18"/>
                <w:color w:val="auto"/>
              </w:rPr>
              <w:t>9,421,633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9,297,081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60,933</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73,571</w:t>
            </w:r>
          </w:p>
        </w:tc>
        <w:tc>
          <w:tcPr>
            <w:tcW w:w="100" w:type="dxa"/>
            <w:vAlign w:val="bottom"/>
          </w:tcPr>
          <w:p>
            <w:pPr>
              <w:spacing w:after="0"/>
              <w:rPr>
                <w:sz w:val="19"/>
                <w:szCs w:val="19"/>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Series B convertible preferred stock</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2,145,370</w:t>
            </w:r>
          </w:p>
        </w:tc>
        <w:tc>
          <w:tcPr>
            <w:tcW w:w="2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1,016,727</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9,430</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10,014</w:t>
            </w:r>
          </w:p>
        </w:tc>
        <w:tc>
          <w:tcPr>
            <w:tcW w:w="100" w:type="dxa"/>
            <w:vAlign w:val="bottom"/>
            <w:shd w:val="clear" w:color="auto" w:fill="CFF0FC"/>
          </w:tcPr>
          <w:p>
            <w:pPr>
              <w:spacing w:after="0"/>
              <w:rPr>
                <w:sz w:val="19"/>
                <w:szCs w:val="19"/>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11,567,003</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10,313,808</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70,363</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83,585</w:t>
            </w:r>
          </w:p>
        </w:tc>
        <w:tc>
          <w:tcPr>
            <w:tcW w:w="100" w:type="dxa"/>
            <w:vAlign w:val="bottom"/>
          </w:tcPr>
          <w:p>
            <w:pPr>
              <w:spacing w:after="0"/>
              <w:rPr>
                <w:sz w:val="19"/>
                <w:szCs w:val="19"/>
                <w:color w:val="auto"/>
              </w:rPr>
            </w:pPr>
          </w:p>
        </w:tc>
      </w:tr>
      <w:tr>
        <w:trPr>
          <w:trHeight w:val="20"/>
        </w:trPr>
        <w:tc>
          <w:tcPr>
            <w:tcW w:w="4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2020 Amended and Restated Equity Incentive Plan</w:t>
      </w:r>
    </w:p>
    <w:p>
      <w:pPr>
        <w:spacing w:after="0" w:line="117"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On April 1, 2020, the board of directors approved a new equity incentive plan, or the 2020 Equity Incentive Plan, that replaced the 2015 Share Award Scheme.</w:t>
      </w:r>
    </w:p>
    <w:p>
      <w:pPr>
        <w:spacing w:after="0" w:line="62" w:lineRule="exact"/>
        <w:rPr>
          <w:sz w:val="20"/>
          <w:szCs w:val="20"/>
          <w:color w:val="auto"/>
        </w:rPr>
      </w:pPr>
    </w:p>
    <w:p>
      <w:pPr>
        <w:ind w:right="840" w:firstLine="510"/>
        <w:spacing w:after="0" w:line="277" w:lineRule="auto"/>
        <w:rPr>
          <w:sz w:val="20"/>
          <w:szCs w:val="20"/>
          <w:color w:val="auto"/>
        </w:rPr>
      </w:pPr>
      <w:r>
        <w:rPr>
          <w:rFonts w:ascii="Arial" w:cs="Arial" w:eastAsia="Arial" w:hAnsi="Arial"/>
          <w:sz w:val="18"/>
          <w:szCs w:val="18"/>
          <w:color w:val="auto"/>
        </w:rPr>
        <w:t>In July 2020, the Company adopted the Amended and Restated 2020 Equity Incentive Plan, or the 2020 Plan. The 2020 Plan replaced the Company’s 2020 Equity Incentive Plan and a total of 7,874,862 shares were reserved under the 2020 Plan.</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Modification</w:t>
      </w:r>
    </w:p>
    <w:p>
      <w:pPr>
        <w:spacing w:after="0" w:line="117"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In connection with the transfer of employees to Tallac Therapeutics, Dr. Hong Wan, the Company’s former Chief Scientific Officer, and eight of the Company’s employees, or Transferred Employees, terminated their employment with the Company effective as of June 30, 2020 and became employees of Tallac Therapeutics effective as of July 1, 2020. The options to purchase shares of the Company’s common stock that were previously granted to the Transferred Employees will continue to vest and be exercisable subject to the Transferred Employees remaining service providers under the original terms of the award. See Note 12 to these condensed consolidated financial statements for additional details. The Company evaluated the change in status from an employee to a consultant in accordance with ASC 718. While the Company concluded that the change in status did not affect the vesting condition, or the classification of the initial awards, the significant reduction in the level of services that the grantees were expected to provide under the original awards as compared to the level of services expected under the Tallac Services Agreement will no longer meet the substantive service condition requirements and therefore the compensation cost for the unvested awards was recognized immediately with no future service requirement. The Company recorded $2.3 million in stock-based compensation expenses related to the modification for the three months period ended June 30, 2020.</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Total stock-based compensation expense recognized in the condensed consolidated statements of operations and comprehensive loss was as follows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w w:val="97"/>
              </w:rPr>
              <w:t>Three Months Ended June 30,</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40" w:type="dxa"/>
            <w:vAlign w:val="bottom"/>
            <w:gridSpan w:val="6"/>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44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tcBorders>
              <w:top w:val="single" w:sz="8" w:color="auto"/>
            </w:tcBorders>
            <w:shd w:val="clear" w:color="auto" w:fill="CFF0FC"/>
          </w:tcPr>
          <w:p>
            <w:pPr>
              <w:jc w:val="right"/>
              <w:ind w:right="63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2,284</w:t>
            </w:r>
          </w:p>
        </w:tc>
        <w:tc>
          <w:tcPr>
            <w:tcW w:w="2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19</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569</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services for related-party revenue</w:t>
            </w: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34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3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2,853</w:t>
            </w:r>
          </w:p>
        </w:tc>
        <w:tc>
          <w:tcPr>
            <w:tcW w:w="2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60</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LICENSE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(Equity) Agreement with The Board of Trustees of the Leland Stanford Junior University</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78"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shares of common stock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June 30, 2020.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85" w:lineRule="exact"/>
        <w:rPr>
          <w:sz w:val="20"/>
          <w:szCs w:val="20"/>
          <w:color w:val="auto"/>
        </w:rPr>
      </w:pPr>
    </w:p>
    <w:p>
      <w:pPr>
        <w:ind w:right="100" w:firstLine="510"/>
        <w:spacing w:after="0" w:line="255" w:lineRule="auto"/>
        <w:rPr>
          <w:sz w:val="20"/>
          <w:szCs w:val="20"/>
          <w:color w:val="auto"/>
        </w:rPr>
      </w:pPr>
      <w:r>
        <w:rPr>
          <w:rFonts w:ascii="Arial" w:cs="Arial" w:eastAsia="Arial" w:hAnsi="Arial"/>
          <w:sz w:val="18"/>
          <w:szCs w:val="18"/>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fails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License Agreement with Selexis SA</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 containing such compound in all fields of use. The rights granted under this agreement include the rights to grant sublicenses to contractors or other collaboration partners, in each case to develop production processes or manufacture licensed product containing ALX148.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firstLine="510"/>
        <w:spacing w:after="0" w:line="254" w:lineRule="auto"/>
        <w:rPr>
          <w:sz w:val="20"/>
          <w:szCs w:val="20"/>
          <w:color w:val="auto"/>
        </w:rPr>
      </w:pPr>
      <w:r>
        <w:rPr>
          <w:rFonts w:ascii="Arial" w:cs="Arial" w:eastAsia="Arial" w:hAnsi="Arial"/>
          <w:sz w:val="18"/>
          <w:szCs w:val="18"/>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95"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Antibody Agreement with Crystal Bioscience Inc. (Now a Subsidiary of Ligand Pharmaceuticals Incorporated)</w:t>
      </w:r>
    </w:p>
    <w:p>
      <w:pPr>
        <w:spacing w:after="0" w:line="11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SIRPα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71"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78" w:lineRule="exact"/>
        <w:rPr>
          <w:sz w:val="20"/>
          <w:szCs w:val="20"/>
          <w:color w:val="auto"/>
        </w:rPr>
      </w:pPr>
    </w:p>
    <w:p>
      <w:pPr>
        <w:ind w:right="840" w:firstLine="510"/>
        <w:spacing w:after="0" w:line="277" w:lineRule="auto"/>
        <w:rPr>
          <w:sz w:val="20"/>
          <w:szCs w:val="20"/>
          <w:color w:val="auto"/>
        </w:rPr>
      </w:pPr>
      <w:r>
        <w:rPr>
          <w:rFonts w:ascii="Arial" w:cs="Arial" w:eastAsia="Arial" w:hAnsi="Arial"/>
          <w:sz w:val="18"/>
          <w:szCs w:val="18"/>
          <w:color w:val="auto"/>
        </w:rPr>
        <w:t>The Company agreed to use commercially reasonable efforts to develop and commercialize licensed products, including meeting defined development milestones by certain specified dates.</w:t>
      </w:r>
    </w:p>
    <w:p>
      <w:pPr>
        <w:spacing w:after="0" w:line="170"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(9) 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In June 2018, the Company entered into a Research and Development Services Agreement, or Tollnine Agreement, with Tollnine, a related-party of the Company, to provide research and development services to Tollnine. The Company’s Chief Executive Officer was also the Chief Executive Officer of Tollnine until April 2020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the Company’s customer, obtains control of promised goods or services, in an amount that reflects the consideration which the Company expects to receive in exchange for those goods or services. The Company recognized related-party revenues of $0.5 million and $1.3 million for the three months ended June 30, 2020 and 2019, respectively, and $1.2 million and $2.3 million for the six months ended June 30, 2020 and 2019, respectively, under the Tollnine Agreement. Effective as of July 1, 2020, the Company terminated the Tollnine Agreement and entered into the Tallac Services Agreement with Tallac Therapeutics. See Note 12 to these condensed consolidated financial statements for additional details.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due from related-party</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of June 30, 2020 and December 31, 2019, the Company had outstanding related-party receivables from Tollnine of $0.5 million and $0.5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 ATTRIBUTABLE TO COMMON STOCKHOLDERS</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attributable to common stockholders (in thousands, except share and per share data):</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3"/>
              </w:rPr>
              <w:t>Three Months Ended June 30,</w:t>
            </w:r>
          </w:p>
        </w:tc>
        <w:tc>
          <w:tcPr>
            <w:tcW w:w="240" w:type="dxa"/>
            <w:vAlign w:val="bottom"/>
          </w:tcPr>
          <w:p>
            <w:pPr>
              <w:spacing w:after="0"/>
              <w:rPr>
                <w:sz w:val="20"/>
                <w:szCs w:val="20"/>
                <w:color w:val="auto"/>
              </w:rPr>
            </w:pPr>
          </w:p>
        </w:tc>
        <w:tc>
          <w:tcPr>
            <w:tcW w:w="276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223"/>
        </w:trPr>
        <w:tc>
          <w:tcPr>
            <w:tcW w:w="40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(11,331)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(4,197)</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(16,785)</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(8,435)</w:t>
            </w: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Less: cumulative preferred dividends allocated to</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stockholders</w:t>
            </w:r>
          </w:p>
        </w:tc>
        <w:tc>
          <w:tcPr>
            <w:tcW w:w="1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(2,641)</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(981)</w:t>
            </w:r>
          </w:p>
        </w:tc>
        <w:tc>
          <w:tcPr>
            <w:tcW w:w="24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(4,624)</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(1,886)</w:t>
            </w:r>
          </w:p>
        </w:tc>
      </w:tr>
      <w:tr>
        <w:trPr>
          <w:trHeight w:val="263"/>
        </w:trPr>
        <w:tc>
          <w:tcPr>
            <w:tcW w:w="4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(5,178)</w:t>
            </w:r>
          </w:p>
        </w:tc>
        <w:tc>
          <w:tcPr>
            <w:tcW w:w="24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(21,409)</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(10,321)</w:t>
            </w:r>
          </w:p>
        </w:tc>
        <w:tc>
          <w:tcPr>
            <w:tcW w:w="120" w:type="dxa"/>
            <w:vAlign w:val="bottom"/>
            <w:tcBorders>
              <w:bottom w:val="single" w:sz="8" w:color="CFF0FC"/>
            </w:tcBorders>
          </w:tcPr>
          <w:p>
            <w:pPr>
              <w:spacing w:after="0"/>
              <w:rPr>
                <w:sz w:val="22"/>
                <w:szCs w:val="22"/>
                <w:color w:val="auto"/>
              </w:rPr>
            </w:pPr>
          </w:p>
        </w:tc>
      </w:tr>
      <w:tr>
        <w:trPr>
          <w:trHeight w:val="21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Weighted-average shares of common stock</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3,164,707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3,087,355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3,157,387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3,047,924</w:t>
            </w:r>
          </w:p>
        </w:tc>
        <w:tc>
          <w:tcPr>
            <w:tcW w:w="120" w:type="dxa"/>
            <w:vAlign w:val="bottom"/>
          </w:tcPr>
          <w:p>
            <w:pPr>
              <w:spacing w:after="0"/>
              <w:rPr>
                <w:sz w:val="20"/>
                <w:szCs w:val="20"/>
                <w:color w:val="auto"/>
              </w:rPr>
            </w:pPr>
          </w:p>
        </w:tc>
      </w:tr>
      <w:tr>
        <w:trPr>
          <w:trHeight w:val="215"/>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attributable to common</w:t>
            </w: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stockholders, basic and diluted</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(4.41)</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(6.78)</w:t>
            </w: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(3.39)</w:t>
            </w:r>
          </w:p>
        </w:tc>
      </w:tr>
      <w:tr>
        <w:trPr>
          <w:trHeight w:val="20"/>
        </w:trPr>
        <w:tc>
          <w:tcPr>
            <w:tcW w:w="40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224"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 following outstanding potentially dilutive securities were excluded from the computation of diluted net loss per share for the periods presented because including them would have been anti-dilutive: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20" w:type="dxa"/>
            <w:vAlign w:val="bottom"/>
            <w:tcBorders>
              <w:bottom w:val="single" w:sz="8" w:color="auto"/>
            </w:tcBorders>
            <w:gridSpan w:val="3"/>
          </w:tcPr>
          <w:p>
            <w:pPr>
              <w:ind w:left="106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12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CFF0FC"/>
            </w:tcBorders>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Convertible preferred stock</w:t>
            </w:r>
          </w:p>
        </w:tc>
        <w:tc>
          <w:tcPr>
            <w:tcW w:w="1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21,369,774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10,313,808</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w w:val="91"/>
              </w:rPr>
              <w:t>Warrants to purchase convertible preferred stock</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61,292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 subject to repurchase</w:t>
            </w:r>
          </w:p>
        </w:tc>
        <w:tc>
          <w:tcPr>
            <w:tcW w:w="2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3,908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72,714</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720" w:type="dxa"/>
            <w:vAlign w:val="bottom"/>
          </w:tcPr>
          <w:p>
            <w:pPr>
              <w:ind w:left="120"/>
              <w:spacing w:after="0"/>
              <w:rPr>
                <w:sz w:val="20"/>
                <w:szCs w:val="20"/>
                <w:color w:val="auto"/>
              </w:rPr>
            </w:pPr>
            <w:r>
              <w:rPr>
                <w:rFonts w:ascii="Arial" w:cs="Arial" w:eastAsia="Arial" w:hAnsi="Arial"/>
                <w:sz w:val="18"/>
                <w:szCs w:val="18"/>
                <w:color w:val="auto"/>
              </w:rPr>
              <w:t>Options issued and outstanding</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3,874,815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924,043</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72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25,309,789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11,310,565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80" w:type="dxa"/>
            <w:vAlign w:val="bottom"/>
            <w:vMerge w:val="restart"/>
          </w:tcPr>
          <w:p>
            <w:pPr>
              <w:jc w:val="right"/>
              <w:ind w:right="890"/>
              <w:spacing w:after="0"/>
              <w:rPr>
                <w:sz w:val="20"/>
                <w:szCs w:val="20"/>
                <w:color w:val="auto"/>
              </w:rPr>
            </w:pPr>
            <w:r>
              <w:rPr>
                <w:rFonts w:ascii="Arial" w:cs="Arial" w:eastAsia="Arial" w:hAnsi="Arial"/>
                <w:sz w:val="18"/>
                <w:szCs w:val="18"/>
                <w:color w:val="auto"/>
              </w:rPr>
              <w:t>18</w:t>
            </w: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7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21" w:name="page22"/>
    <w:bookmarkEnd w:id="21"/>
    <w:p>
      <w:pPr>
        <w:ind w:left="520" w:right="7440" w:hanging="512"/>
        <w:spacing w:after="0" w:line="377" w:lineRule="auto"/>
        <w:tabs>
          <w:tab w:leader="none" w:pos="355"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Guarantees and Indemnifications</w:t>
      </w:r>
    </w:p>
    <w:p>
      <w:pPr>
        <w:spacing w:after="0" w:line="2"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June 30, 2020.</w:t>
      </w:r>
    </w:p>
    <w:p>
      <w:pPr>
        <w:spacing w:after="0" w:line="28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six months ended June 30, 2020 the Company had no pending or threatened litigation.</w:t>
      </w: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Contractual Obligations and Other Commitments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commitments and contractual obligations as of June 30, 2020 (in thousands):</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Manufacturing</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8"/>
              </w:rPr>
              <w:t>Operating lease</w:t>
            </w:r>
          </w:p>
        </w:tc>
        <w:tc>
          <w:tcPr>
            <w:tcW w:w="100" w:type="dxa"/>
            <w:vAlign w:val="bottom"/>
          </w:tcPr>
          <w:p>
            <w:pPr>
              <w:spacing w:after="0"/>
              <w:rPr>
                <w:sz w:val="18"/>
                <w:szCs w:val="18"/>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86"/>
              </w:rPr>
              <w:t>and service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100" w:type="dxa"/>
            <w:vAlign w:val="bottom"/>
          </w:tcPr>
          <w:p>
            <w:pPr>
              <w:spacing w:after="0"/>
              <w:rPr>
                <w:sz w:val="20"/>
                <w:szCs w:val="20"/>
                <w:color w:val="auto"/>
              </w:rPr>
            </w:pPr>
          </w:p>
        </w:tc>
        <w:tc>
          <w:tcPr>
            <w:tcW w:w="154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obligations</w:t>
            </w:r>
            <w:r>
              <w:rPr>
                <w:rFonts w:ascii="Arial" w:cs="Arial" w:eastAsia="Arial" w:hAnsi="Arial"/>
                <w:sz w:val="15"/>
                <w:szCs w:val="15"/>
                <w:b w:val="1"/>
                <w:bCs w:val="1"/>
                <w:color w:val="auto"/>
                <w:w w:val="89"/>
              </w:rPr>
              <w:t>(1)</w:t>
            </w:r>
          </w:p>
        </w:tc>
        <w:tc>
          <w:tcPr>
            <w:tcW w:w="100" w:type="dxa"/>
            <w:vAlign w:val="bottom"/>
          </w:tcPr>
          <w:p>
            <w:pPr>
              <w:spacing w:after="0"/>
              <w:rPr>
                <w:sz w:val="20"/>
                <w:szCs w:val="20"/>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contracts</w:t>
            </w:r>
            <w:r>
              <w:rPr>
                <w:rFonts w:ascii="Arial" w:cs="Arial" w:eastAsia="Arial" w:hAnsi="Arial"/>
                <w:sz w:val="15"/>
                <w:szCs w:val="15"/>
                <w:b w:val="1"/>
                <w:bCs w:val="1"/>
                <w:color w:val="auto"/>
                <w:w w:val="90"/>
              </w:rPr>
              <w:t>(2)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Term loan</w:t>
            </w:r>
            <w:r>
              <w:rPr>
                <w:rFonts w:ascii="Arial" w:cs="Arial" w:eastAsia="Arial" w:hAnsi="Arial"/>
                <w:sz w:val="15"/>
                <w:szCs w:val="15"/>
                <w:b w:val="1"/>
                <w:bCs w:val="1"/>
                <w:color w:val="auto"/>
              </w:rPr>
              <w:t>(3)</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(remaining six months)</w:t>
            </w: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w:t>
            </w: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6,964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00" w:right="20" w:hanging="493"/>
        <w:spacing w:after="0" w:line="271" w:lineRule="auto"/>
        <w:tabs>
          <w:tab w:leader="none" w:pos="100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Payments due for the office and laboratory space in Burlingame, California under a single operating lease agreement that expires in 2023. In July 2020, the Company assigned this lease to Tallac Therapeutics, and the Company received a sublease for such premises from Tallac Therapeutics. See Note 12 to these condensed consolidated financial statements for additional details.</w:t>
      </w:r>
    </w:p>
    <w:p>
      <w:pPr>
        <w:ind w:left="1000" w:right="120" w:hanging="493"/>
        <w:spacing w:after="0" w:line="265" w:lineRule="auto"/>
        <w:tabs>
          <w:tab w:leader="none" w:pos="100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In November 2015, the Company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the Company to certain purchase obligations of approximately $6.1 million. In addition, the Company has commitments with a second drug product manufacturer that commits the Company to certain purchase obligations of approximately $0.3 million. These amounts are based on non-cancellable commitments and forecasts that include estimates of future market demand, quantity discounts and manufacturing efficiencies that may impact timing of purchases.</w:t>
      </w:r>
    </w:p>
    <w:p>
      <w:pPr>
        <w:spacing w:after="0" w:line="1" w:lineRule="exact"/>
        <w:rPr>
          <w:rFonts w:ascii="Arial" w:cs="Arial" w:eastAsia="Arial" w:hAnsi="Arial"/>
          <w:sz w:val="17"/>
          <w:szCs w:val="17"/>
          <w:i w:val="1"/>
          <w:iCs w:val="1"/>
          <w:color w:val="auto"/>
        </w:rPr>
      </w:pPr>
    </w:p>
    <w:p>
      <w:pPr>
        <w:ind w:left="1000" w:right="680" w:hanging="493"/>
        <w:spacing w:after="0" w:line="260" w:lineRule="auto"/>
        <w:tabs>
          <w:tab w:leader="none" w:pos="100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On December 20, 2019, the Company borrowed a loan pursuant to the Loan Agreement. See Note 5 to these condensed consolidated financial statements for additional details.</w:t>
      </w:r>
    </w:p>
    <w:p>
      <w:pPr>
        <w:spacing w:after="0" w:line="185"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i w:val="1"/>
          <w:iCs w:val="1"/>
          <w:color w:val="auto"/>
        </w:rPr>
        <w:t>Facilities</w:t>
      </w:r>
    </w:p>
    <w:p>
      <w:pPr>
        <w:spacing w:after="0" w:line="225"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In 2017, the Company entered into a lease agreement for office space for a period of five years and four months, commencing February 1, 2018 and ending May 31, 2023.</w:t>
      </w:r>
    </w:p>
    <w:p>
      <w:pPr>
        <w:spacing w:after="0" w:line="170"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Minimum rent payments under operating leases are recognized on a straight-line basis over the term of the lease including any periods of free rent. Rent expense for the three months ended June 30, 2020 and 2019 was $0.2 million. Rent expense for the six months ended June 30, 2020 and 2019 was $0.4 million.</w:t>
      </w:r>
    </w:p>
    <w:p>
      <w:pPr>
        <w:spacing w:after="0" w:line="2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Cumulative Dividends</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As of June 30, 2020, there were $17.4 million of accrued cumulative dividends on the Series A, Series B and Series C convertible preferred stock, which are payable upon the occurrence of certain change of control and liquidation events and upon the conversion of such convertible preferred stock. Upon closing of the initial public offering, the accrued cumulative dividends were automatically converted into shares of common stock. See Note 12 to these condensed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Tallac Therapeutics</w:t>
      </w:r>
    </w:p>
    <w:p>
      <w:pPr>
        <w:spacing w:after="0" w:line="117"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of July 1, 2020, the Company terminated the Tollnine Agreement and entered into a series of transactions with Tallac Therapeutics and Dr. Hong Wan as described below.</w:t>
      </w:r>
    </w:p>
    <w:p>
      <w:pPr>
        <w:spacing w:after="0" w:line="58" w:lineRule="exact"/>
        <w:rPr>
          <w:sz w:val="20"/>
          <w:szCs w:val="20"/>
          <w:color w:val="auto"/>
        </w:rPr>
      </w:pPr>
    </w:p>
    <w:p>
      <w:pPr>
        <w:ind w:left="1000" w:right="100" w:hanging="493"/>
        <w:spacing w:after="0" w:line="258"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Entry into the Tallac Services Agreement</w:t>
      </w:r>
      <w:r>
        <w:rPr>
          <w:rFonts w:ascii="Arial" w:cs="Arial" w:eastAsia="Arial" w:hAnsi="Arial"/>
          <w:sz w:val="18"/>
          <w:szCs w:val="18"/>
          <w:color w:val="auto"/>
        </w:rPr>
        <w:t>: The Company entered into a research and development services agreement, or the Tallac</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10.0% of such costs. The Tallac Services Agreement has an initial term of four years and is renewed automatically for additional one year terms thereafter.</w:t>
      </w:r>
    </w:p>
    <w:p>
      <w:pPr>
        <w:spacing w:after="0" w:line="75" w:lineRule="exact"/>
        <w:rPr>
          <w:rFonts w:ascii="Arial" w:cs="Arial" w:eastAsia="Arial" w:hAnsi="Arial"/>
          <w:sz w:val="18"/>
          <w:szCs w:val="18"/>
          <w:color w:val="auto"/>
        </w:rPr>
      </w:pPr>
    </w:p>
    <w:p>
      <w:pPr>
        <w:ind w:left="1000" w:right="60" w:hanging="493"/>
        <w:spacing w:after="0" w:line="291"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Resignation of Dr. Hong Wan and entry into Consulting Agreement</w:t>
      </w:r>
      <w:r>
        <w:rPr>
          <w:rFonts w:ascii="Arial" w:cs="Arial" w:eastAsia="Arial" w:hAnsi="Arial"/>
          <w:sz w:val="16"/>
          <w:szCs w:val="16"/>
          <w:color w:val="auto"/>
        </w:rPr>
        <w:t>: Dr. Hong Wan resigned from her position as the Company’s Chief</w:t>
      </w:r>
      <w:r>
        <w:rPr>
          <w:rFonts w:ascii="Arial" w:cs="Arial" w:eastAsia="Arial" w:hAnsi="Arial"/>
          <w:sz w:val="16"/>
          <w:szCs w:val="16"/>
          <w:b w:val="1"/>
          <w:bCs w:val="1"/>
          <w:color w:val="auto"/>
        </w:rPr>
        <w:t xml:space="preserve"> </w:t>
      </w:r>
      <w:r>
        <w:rPr>
          <w:rFonts w:ascii="Arial" w:cs="Arial" w:eastAsia="Arial" w:hAnsi="Arial"/>
          <w:sz w:val="16"/>
          <w:szCs w:val="16"/>
          <w:color w:val="auto"/>
        </w:rPr>
        <w:t>Scientific Officer and ceased to be the Company’s employee effective as of June 30, 2020. In connection with her resignation, the Company entered into a Consulting Agreement with Dr. Hong Wan effective as of July 1, 2020. Under the Consulting Agreement, Dr. Hong Wan will serve as the Company’s Chief Science Consultant and, among other things, spend approximately 20% of her time performing activities typically performed by a consulting scientific adviser in the biotechnology industry. In exchange for such services, the options to purchase shares of the Company’s common stock that were previously granted to Dr. Hong Wan will continue to vest and be exercisable subject to Dr. Hong Wan remaining a service provider under the Consulting Agreement or the Tallac Services Agreement. The Consulting Agreement has an initial term of four years and is renewed automatically for additional one-year terms thereafter.</w:t>
      </w:r>
    </w:p>
    <w:p>
      <w:pPr>
        <w:spacing w:after="0" w:line="51" w:lineRule="exact"/>
        <w:rPr>
          <w:rFonts w:ascii="Arial" w:cs="Arial" w:eastAsia="Arial" w:hAnsi="Arial"/>
          <w:sz w:val="16"/>
          <w:szCs w:val="16"/>
          <w:color w:val="auto"/>
        </w:rPr>
      </w:pPr>
    </w:p>
    <w:p>
      <w:pPr>
        <w:ind w:left="1000" w:hanging="493"/>
        <w:spacing w:after="0" w:line="258"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Transfer of employees to Tallac Therapeutics</w:t>
      </w:r>
      <w:r>
        <w:rPr>
          <w:rFonts w:ascii="Arial" w:cs="Arial" w:eastAsia="Arial" w:hAnsi="Arial"/>
          <w:sz w:val="18"/>
          <w:szCs w:val="18"/>
          <w:color w:val="auto"/>
        </w:rPr>
        <w:t>: In addition to Dr. Hong Wan, eight of the Company’s employees, or Transferred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also terminated their employment with the Company effective as of June 30, 2020 and became employees of Tallac Therapeutics effective as of July 1, 2020. The options to purchase shares of the Company’s common stock that were previously granted to the Transferred Employees will continue to vest and be exercisable subject to the Transferred Employees remaining service providers under the original terms of their option awards.</w:t>
      </w:r>
    </w:p>
    <w:p>
      <w:pPr>
        <w:spacing w:after="0" w:line="75" w:lineRule="exact"/>
        <w:rPr>
          <w:rFonts w:ascii="Arial" w:cs="Arial" w:eastAsia="Arial" w:hAnsi="Arial"/>
          <w:sz w:val="18"/>
          <w:szCs w:val="18"/>
          <w:color w:val="auto"/>
        </w:rPr>
      </w:pPr>
    </w:p>
    <w:p>
      <w:pPr>
        <w:jc w:val="both"/>
        <w:ind w:left="1000" w:right="40" w:hanging="493"/>
        <w:spacing w:after="0" w:line="261"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Entry into Asset Transfer Agreement</w:t>
      </w:r>
      <w:r>
        <w:rPr>
          <w:rFonts w:ascii="Arial" w:cs="Arial" w:eastAsia="Arial" w:hAnsi="Arial"/>
          <w:sz w:val="18"/>
          <w:szCs w:val="18"/>
          <w:color w:val="auto"/>
        </w:rPr>
        <w:t>: ALX Oncology Inc. entered into an Asset Transfer Agreement with Tallac Therapeutics effective as</w:t>
      </w:r>
      <w:r>
        <w:rPr>
          <w:rFonts w:ascii="Arial" w:cs="Arial" w:eastAsia="Arial" w:hAnsi="Arial"/>
          <w:sz w:val="18"/>
          <w:szCs w:val="18"/>
          <w:b w:val="1"/>
          <w:bCs w:val="1"/>
          <w:color w:val="auto"/>
        </w:rPr>
        <w:t xml:space="preserve"> </w:t>
      </w:r>
      <w:r>
        <w:rPr>
          <w:rFonts w:ascii="Arial" w:cs="Arial" w:eastAsia="Arial" w:hAnsi="Arial"/>
          <w:sz w:val="18"/>
          <w:szCs w:val="18"/>
          <w:color w:val="auto"/>
        </w:rPr>
        <w:t>of July 3, 2020, pursuant to which Tallac Therapeutics purchased certain lab equipment and other assets from ALX Oncology Inc. for a cash consideration of $0.6 million representing the aggregate net book value of such assets. In July 2020, the Company received $0.6 million cash in exchange for the transfer of such assets.</w:t>
      </w:r>
    </w:p>
    <w:p>
      <w:pPr>
        <w:spacing w:after="0" w:line="18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On July 8, 2020, the Company also (i) assigned to Tallac Therapeutics the Company’s lease with respect to the premises located at 866 Malcolm Road, Burlingame, California, and (ii) received a sub-lease for premises from Tallac Therapeutics.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In July 2020, the Company consummated its initial public offering and issued a total of 9,775,000 shares of common stock, which includes the overallotment option of 1,275,000 shares exercised by the underwriters in the initial public offering, at an offering price of $19.00 per share. In aggregate, the Company received net proceeds of approximately $172.7 million, after deducting underwriting discounts and commissions of $13.0 million and before deducting offering-related expenses. In connection with the initial public offering, the following events occurred subsequent to June 30, 2020:</w:t>
      </w:r>
    </w:p>
    <w:p>
      <w:pPr>
        <w:spacing w:after="0" w:line="49" w:lineRule="exact"/>
        <w:rPr>
          <w:sz w:val="20"/>
          <w:szCs w:val="20"/>
          <w:color w:val="auto"/>
        </w:rPr>
      </w:pPr>
    </w:p>
    <w:p>
      <w:pPr>
        <w:ind w:left="1000" w:right="4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July 2020, 21,369,774 outstanding shares of convertible preferred stock and accrued cumulative dividends convertible into 2,564,759 shares automatically converted into an aggregate of 23,934,533 shares of common stock;</w:t>
      </w:r>
    </w:p>
    <w:p>
      <w:pPr>
        <w:spacing w:after="0" w:line="62" w:lineRule="exact"/>
        <w:rPr>
          <w:rFonts w:ascii="Arial" w:cs="Arial" w:eastAsia="Arial" w:hAnsi="Arial"/>
          <w:sz w:val="18"/>
          <w:szCs w:val="18"/>
          <w:color w:val="auto"/>
        </w:rPr>
      </w:pPr>
    </w:p>
    <w:p>
      <w:pPr>
        <w:jc w:val="both"/>
        <w:ind w:left="1000" w:right="20" w:hanging="493"/>
        <w:spacing w:after="0" w:line="286"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July 2020, upon consummation of the Company’s initial public offering, total shares of common stock outstanding were 36,876,479, which includes shares of common stock outstanding as of June 30, 2020, shares of common stock issued in the initial public offering and convertible preferred stock and accrued cumulative dividends converted and reclassified into common stock; and</w:t>
      </w:r>
    </w:p>
    <w:p>
      <w:pPr>
        <w:spacing w:after="0" w:line="57" w:lineRule="exact"/>
        <w:rPr>
          <w:rFonts w:ascii="Arial" w:cs="Arial" w:eastAsia="Arial" w:hAnsi="Arial"/>
          <w:sz w:val="17"/>
          <w:szCs w:val="17"/>
          <w:color w:val="auto"/>
        </w:rPr>
      </w:pPr>
    </w:p>
    <w:p>
      <w:pPr>
        <w:ind w:left="1000" w:right="6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July 2020, the Company’s amended and restated certificate of incorporation became effective, authorizing 1,000,000,000 shares of common stock and 100,000,000 shares of undesignated preferred stock.</w:t>
      </w:r>
    </w:p>
    <w:p>
      <w:pPr>
        <w:spacing w:after="0" w:line="170"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table below shows, on a pro forma basis, the impact of the Company’s initial public offering on certain condensed consolidated balance sheet items as if all of the transactions occurred on June 30, 2020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Pro Forma</w:t>
            </w:r>
          </w:p>
        </w:tc>
        <w:tc>
          <w:tcPr>
            <w:tcW w:w="1700" w:type="dxa"/>
            <w:vAlign w:val="bottom"/>
          </w:tcPr>
          <w:p>
            <w:pPr>
              <w:spacing w:after="0"/>
              <w:rPr>
                <w:sz w:val="19"/>
                <w:szCs w:val="19"/>
                <w:color w:val="auto"/>
              </w:rPr>
            </w:pPr>
          </w:p>
        </w:tc>
      </w:tr>
      <w:tr>
        <w:trPr>
          <w:trHeight w:val="234"/>
        </w:trPr>
        <w:tc>
          <w:tcPr>
            <w:tcW w:w="17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5"/>
              </w:rPr>
              <w:t>June 30, 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June 30, 2020</w:t>
            </w:r>
          </w:p>
        </w:tc>
        <w:tc>
          <w:tcPr>
            <w:tcW w:w="1700" w:type="dxa"/>
            <w:vAlign w:val="bottom"/>
          </w:tcPr>
          <w:p>
            <w:pPr>
              <w:spacing w:after="0"/>
              <w:rPr>
                <w:sz w:val="20"/>
                <w:szCs w:val="20"/>
                <w:color w:val="auto"/>
              </w:rPr>
            </w:pPr>
          </w:p>
        </w:tc>
      </w:tr>
      <w:tr>
        <w:trPr>
          <w:trHeight w:val="223"/>
        </w:trPr>
        <w:tc>
          <w:tcPr>
            <w:tcW w:w="1700" w:type="dxa"/>
            <w:vAlign w:val="bottom"/>
          </w:tcPr>
          <w:p>
            <w:pPr>
              <w:spacing w:after="0"/>
              <w:rPr>
                <w:sz w:val="19"/>
                <w:szCs w:val="19"/>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98,103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270,827</w:t>
            </w:r>
          </w:p>
        </w:tc>
        <w:tc>
          <w:tcPr>
            <w:tcW w:w="80" w:type="dxa"/>
            <w:vAlign w:val="bottom"/>
            <w:tcBorders>
              <w:top w:val="single" w:sz="8" w:color="CFF0FC"/>
            </w:tcBorders>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175,043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Common stock</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351,244</w:t>
            </w:r>
          </w:p>
        </w:tc>
        <w:tc>
          <w:tcPr>
            <w:tcW w:w="80" w:type="dxa"/>
            <w:vAlign w:val="bottom"/>
            <w:shd w:val="clear" w:color="auto" w:fill="CFF0FC"/>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1700" w:type="dxa"/>
            <w:vAlign w:val="bottom"/>
          </w:tcPr>
          <w:p>
            <w:pPr>
              <w:spacing w:after="0"/>
              <w:rPr>
                <w:sz w:val="20"/>
                <w:szCs w:val="20"/>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(84,398)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261,714</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904"/>
        </w:trPr>
        <w:tc>
          <w:tcPr>
            <w:tcW w:w="1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1"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myelodysplastic syndromes, or MDS, and acute myeloid leukemia, or AML, and to continue clinical development for the treatment of solid tumors.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85" w:lineRule="exact"/>
        <w:rPr>
          <w:sz w:val="20"/>
          <w:szCs w:val="20"/>
          <w:color w:val="auto"/>
        </w:rPr>
      </w:pPr>
    </w:p>
    <w:p>
      <w:pPr>
        <w:ind w:right="160" w:firstLine="510"/>
        <w:spacing w:after="0" w:line="291" w:lineRule="auto"/>
        <w:rPr>
          <w:sz w:val="20"/>
          <w:szCs w:val="20"/>
          <w:color w:val="auto"/>
        </w:rPr>
      </w:pPr>
      <w:r>
        <w:rPr>
          <w:rFonts w:ascii="Arial" w:cs="Arial" w:eastAsia="Arial" w:hAnsi="Arial"/>
          <w:sz w:val="16"/>
          <w:szCs w:val="16"/>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an internal reorganization effective as of the same date whereby ALX Oncology Limited became our wholly-owned subsidiary and all of the stockholders, warrant holders and option holders of ALX Oncology Limited became our stockholders, warrant holders and option holders, holding the same number of corresponding shares, warrants and/or options in us as they did in ALX Oncology Limited immediately prior to the internal reorganization. The information included herein are presented as that of ALX Oncology Holdings Inc., unless such information refers to a date prior to April 1, 2020, in which case it will reflect that of our predecessor company.</w:t>
      </w:r>
    </w:p>
    <w:p>
      <w:pPr>
        <w:spacing w:after="0" w:line="166"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Since our founding, we have devoted substantially all of our resources to identifying and developing ALX148, advancing preclinical programs, scaling up manufacturing, conducting clinical trials and providing general and administrative support for these operations. We have no products approved for marketing and we have never received any revenue from drug product sales. From inception through June 30, 2020, we have raised an aggregate of $180.9 million to fund our operations, of which $175.1 million were net proceeds from sales of our convertible preferred stock and $5.8 million were net proceeds from borrowings under a term loan. In July 2020, we consummated our initial public offering, raising net proceeds of $172.7 million, after deducting underwriting discounts and commissions of $13.0 million and before deducting offering-related expenses.</w:t>
      </w:r>
    </w:p>
    <w:p>
      <w:pPr>
        <w:spacing w:after="0" w:line="16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have incurred net losses in each year since inception. Our net losses were $11.3 million and $4.2 million for the three months ended June 30, 2020 and 2019, respectively, and $16.8 million and $8.4 million for the six months ended June 30, 2020 and 2019, respectively. As of June 30, 2020 and December 31, 2019, we had an accumulated deficit of $89.6 million and $72.8 million, respectively. Substantially all of our operating losses are a result of expenses incurred in connection with our research and development programs, primarily ALX148, and from general and administrative expenses associated with our operations.</w:t>
      </w:r>
    </w:p>
    <w:p>
      <w:pPr>
        <w:spacing w:after="0" w:line="188"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62"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advance ALX148 through multiple clinical trials in multiple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pursue regulatory approval of ALX148 in hematological malignancies and solid tumors;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our discovery and preclinical and clinical development efforts;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1000" w:hanging="493"/>
        <w:spacing w:after="0"/>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add operational, financial and management information systems to support ongoing operations as a public company.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Revenue</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Inc. (formerly known as Tollnine, Inc., or Tollnine), or Tallac Therapeutics, which ceased as of July 1, 2020, as further described in Note 12 to our condensed consolidated financial statements appearing elsewhere in this Quarterly Report on Form 10-Q.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ALX148. We may never succeed in obtaining regulatory approval for any of our product candidates.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consist primarily of costs incurred for the development of our lead product candidate, ALX148, which include:</w:t>
      </w:r>
    </w:p>
    <w:p>
      <w:pPr>
        <w:spacing w:after="0" w:line="140" w:lineRule="exact"/>
        <w:rPr>
          <w:sz w:val="20"/>
          <w:szCs w:val="20"/>
          <w:color w:val="auto"/>
        </w:rPr>
      </w:pPr>
    </w:p>
    <w:p>
      <w:pPr>
        <w:ind w:left="1000" w:right="2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incurred in connection with the preclinical and clinical development, including expenses incurred under agreements with contract research organizations or CROs;</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related to production of clinical materials, including fees paid to contract manufacturing organizations or CMOs;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preclinical studies and clinical trials; and</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facilities and other expenses, which include expenses for rent and maintenance of facilities, depreciation and amortization expense and other supplies.</w:t>
      </w:r>
    </w:p>
    <w:p>
      <w:pPr>
        <w:spacing w:after="0" w:line="170" w:lineRule="exact"/>
        <w:rPr>
          <w:sz w:val="20"/>
          <w:szCs w:val="20"/>
          <w:color w:val="auto"/>
        </w:rPr>
      </w:pPr>
    </w:p>
    <w:p>
      <w:pPr>
        <w:jc w:val="both"/>
        <w:ind w:right="60" w:firstLine="510"/>
        <w:spacing w:after="0" w:line="296" w:lineRule="auto"/>
        <w:rPr>
          <w:sz w:val="20"/>
          <w:szCs w:val="20"/>
          <w:color w:val="auto"/>
        </w:rPr>
      </w:pPr>
      <w:r>
        <w:rPr>
          <w:rFonts w:ascii="Arial" w:cs="Arial" w:eastAsia="Arial" w:hAnsi="Arial"/>
          <w:sz w:val="16"/>
          <w:szCs w:val="16"/>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6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Our research and development expenses consist primarily of costs associated with the development of our lead product candidate ALX148 and include external costs, such as fees paid to consultants, central laboratories, contractors, CMOs and CROs in connection with our preclinical and clinical development activities. We allocate expenses, such as employee salaries, benefits, facilities, travel and other miscellaneous expenses, based on an estimated percentage of time worked on each program.</w:t>
      </w:r>
    </w:p>
    <w:p>
      <w:pPr>
        <w:spacing w:after="0" w:line="18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Almost all of our research and development expenses to date related to the clinical development of our lead product candidate, ALX148. 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we will incur expenses related to the preclinical research services that we contract from Tallac Therapeutics, as further described in Note 12 to our condensed consolidated financial statements appearing elsewhere in this Quarterly Report on Form 10-Q.</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ind w:right="280" w:firstLine="510"/>
        <w:spacing w:after="0" w:line="277" w:lineRule="auto"/>
        <w:rPr>
          <w:sz w:val="20"/>
          <w:szCs w:val="20"/>
          <w:color w:val="auto"/>
        </w:rPr>
      </w:pPr>
      <w:r>
        <w:rPr>
          <w:rFonts w:ascii="Arial" w:cs="Arial" w:eastAsia="Arial" w:hAnsi="Arial"/>
          <w:sz w:val="18"/>
          <w:szCs w:val="18"/>
          <w:color w:val="auto"/>
        </w:rPr>
        <w:t>The successful development of our current and future product candidates is highly uncertain. This is due to the numerous risks and uncertainties, including the following:</w:t>
      </w:r>
    </w:p>
    <w:p>
      <w:pPr>
        <w:spacing w:after="0" w:line="62"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regulators or institutional review boards authorizing us or our investigators to commence our clinical trials or in our ability to negotiate agreements with clinical trial sites or CROs;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and location of clinical sites included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and maintaining patent, trade secret and other intellectual property protection and regulatory exclusivity for our product candidates;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contracting with third-party manufacturers for clinical supplies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including, if necessary, litigation;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25"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80" w:firstLine="510"/>
        <w:spacing w:after="0" w:line="286" w:lineRule="auto"/>
        <w:rPr>
          <w:sz w:val="20"/>
          <w:szCs w:val="20"/>
          <w:color w:val="auto"/>
        </w:rPr>
      </w:pPr>
      <w:r>
        <w:rPr>
          <w:rFonts w:ascii="Arial" w:cs="Arial" w:eastAsia="Arial" w:hAnsi="Arial"/>
          <w:sz w:val="17"/>
          <w:szCs w:val="17"/>
          <w:color w:val="auto"/>
        </w:rPr>
        <w:t>General and administrative expenses consist primarily of personnel-related expenses, facilities expenses, depreciation and amortization expenses and professional services expenses, including legal, human resources, audit, accounting and tax-related services. Personnel and related costs consist of salaries, benefits and stock-based compensation. Facilities costs consist of rent and maintenance of facilities.</w:t>
      </w:r>
    </w:p>
    <w:p>
      <w:pPr>
        <w:spacing w:after="0" w:line="165" w:lineRule="exact"/>
        <w:rPr>
          <w:sz w:val="20"/>
          <w:szCs w:val="20"/>
          <w:color w:val="auto"/>
        </w:rPr>
      </w:pPr>
    </w:p>
    <w:p>
      <w:pPr>
        <w:jc w:val="both"/>
        <w:ind w:right="400" w:firstLine="510"/>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as a result of increased headcount, expanded infrastructure and higher consulting, legal, tax and regulatory-related services associated with maintaining compliance with stock exchange listing and Securities and Exchange Commission, or SEC, requirements, audit and investor relations costs, director and officer insurance premiums and other costs associated with being a public company.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 for Related-Party Revenue</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incur costs associated with related-party contract research services including direct labor and associated employee benefits, laboratory supplies and other expenses. These costs are recorded in cost of services for related-party transactions as a component of total operating expenses in the accompanying condensed consolidated statements of operations and comprehensive loss.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 and Net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20" w:type="dxa"/>
            <w:vAlign w:val="bottom"/>
            <w:gridSpan w:val="24"/>
          </w:tcPr>
          <w:p>
            <w:pPr>
              <w:ind w:left="520"/>
              <w:spacing w:after="0"/>
              <w:rPr>
                <w:sz w:val="20"/>
                <w:szCs w:val="20"/>
                <w:color w:val="auto"/>
              </w:rPr>
            </w:pPr>
            <w:r>
              <w:rPr>
                <w:rFonts w:ascii="Arial" w:cs="Arial" w:eastAsia="Arial" w:hAnsi="Arial"/>
                <w:sz w:val="18"/>
                <w:szCs w:val="18"/>
                <w:color w:val="auto"/>
                <w:w w:val="93"/>
              </w:rPr>
              <w:t>The following table summarizes our results of operations for the three and six months ended June 30, 2020 and 2019:</w:t>
            </w: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54"/>
        </w:trPr>
        <w:tc>
          <w:tcPr>
            <w:tcW w:w="2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7"/>
          </w:tcPr>
          <w:p>
            <w:pPr>
              <w:jc w:val="right"/>
              <w:ind w:right="181"/>
              <w:spacing w:after="0"/>
              <w:rPr>
                <w:sz w:val="20"/>
                <w:szCs w:val="20"/>
                <w:color w:val="auto"/>
              </w:rPr>
            </w:pPr>
            <w:r>
              <w:rPr>
                <w:rFonts w:ascii="Arial" w:cs="Arial" w:eastAsia="Arial" w:hAnsi="Arial"/>
                <w:sz w:val="18"/>
                <w:szCs w:val="18"/>
                <w:b w:val="1"/>
                <w:bCs w:val="1"/>
                <w:color w:val="auto"/>
                <w:w w:val="94"/>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3"/>
              </w:rPr>
              <w:t>Six Months Ended</w:t>
            </w: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w w:val="96"/>
              </w:rPr>
              <w:t>Change</w:t>
            </w:r>
          </w:p>
        </w:tc>
        <w:tc>
          <w:tcPr>
            <w:tcW w:w="5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b w:val="1"/>
                <w:bCs w:val="1"/>
                <w:color w:val="auto"/>
                <w:w w:val="93"/>
              </w:rPr>
              <w:t>Change</w:t>
            </w:r>
          </w:p>
        </w:tc>
        <w:tc>
          <w:tcPr>
            <w:tcW w:w="5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37"/>
        </w:trPr>
        <w:tc>
          <w:tcPr>
            <w:tcW w:w="2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2020</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2019</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4"/>
              </w:rPr>
              <w:t>2019</w:t>
            </w: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r>
      <w:tr>
        <w:trPr>
          <w:trHeight w:val="223"/>
        </w:trPr>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0"/>
              </w:rPr>
              <w:t>(in thousands)</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1,295</w:t>
            </w:r>
          </w:p>
        </w:tc>
        <w:tc>
          <w:tcPr>
            <w:tcW w:w="1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(768)</w:t>
            </w:r>
          </w:p>
        </w:tc>
        <w:tc>
          <w:tcPr>
            <w:tcW w:w="2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2,327</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 %</w:t>
            </w:r>
          </w:p>
        </w:tc>
      </w:tr>
      <w:tr>
        <w:trPr>
          <w:trHeight w:val="229"/>
        </w:trPr>
        <w:tc>
          <w:tcPr>
            <w:tcW w:w="280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9"/>
        </w:trPr>
        <w:tc>
          <w:tcPr>
            <w:tcW w:w="2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7,361</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0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3,378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8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Cost of services for related party</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30"/>
        </w:trPr>
        <w:tc>
          <w:tcPr>
            <w:tcW w:w="2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(698)</w:t>
            </w:r>
          </w:p>
        </w:tc>
        <w:tc>
          <w:tcPr>
            <w:tcW w:w="2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(1,040)</w:t>
            </w:r>
          </w:p>
        </w:tc>
        <w:tc>
          <w:tcPr>
            <w:tcW w:w="2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 %</w:t>
            </w:r>
          </w:p>
        </w:tc>
      </w:tr>
      <w:tr>
        <w:trPr>
          <w:trHeight w:val="223"/>
        </w:trPr>
        <w:tc>
          <w:tcPr>
            <w:tcW w:w="2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5,484</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5,830</w:t>
            </w:r>
          </w:p>
        </w:tc>
        <w:tc>
          <w:tcPr>
            <w:tcW w:w="2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17,211</w:t>
            </w: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10,743</w:t>
            </w:r>
          </w:p>
        </w:tc>
        <w:tc>
          <w:tcPr>
            <w:tcW w:w="2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6,468</w:t>
            </w:r>
          </w:p>
        </w:tc>
        <w:tc>
          <w:tcPr>
            <w:tcW w:w="2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(10,787)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(4,189</w:t>
            </w:r>
          </w:p>
        </w:tc>
        <w:tc>
          <w:tcPr>
            <w:tcW w:w="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(6,598)</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(16,029</w:t>
            </w:r>
          </w:p>
        </w:tc>
        <w:tc>
          <w:tcPr>
            <w:tcW w:w="200" w:type="dxa"/>
            <w:vAlign w:val="bottom"/>
            <w:shd w:val="clear" w:color="auto" w:fill="CFF0FC"/>
          </w:tcPr>
          <w:p>
            <w:pPr>
              <w:jc w:val="right"/>
              <w:ind w:right="56"/>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(8,416</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(7,613</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9"/>
                <w:szCs w:val="19"/>
                <w:color w:val="auto"/>
              </w:rPr>
            </w:pP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(305)</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(296)</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20" w:type="dxa"/>
            <w:vAlign w:val="bottom"/>
            <w:shd w:val="clear" w:color="auto" w:fill="CFF0FC"/>
          </w:tcPr>
          <w:p>
            <w:pPr>
              <w:spacing w:after="0"/>
              <w:rPr>
                <w:sz w:val="19"/>
                <w:szCs w:val="19"/>
                <w:color w:val="auto"/>
              </w:rPr>
            </w:pP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(11,311)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(7,122)</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(16,761)</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(8,418)</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(8,343)</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8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(11,331)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(7,134)</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(16,785)</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(8,435)</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(8,350)</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Cumulative dividends allocated to</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30"/>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stockholders</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(2,641)</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(981)</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(1,660)</w:t>
            </w:r>
          </w:p>
        </w:tc>
        <w:tc>
          <w:tcPr>
            <w:tcW w:w="2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color w:val="auto"/>
              </w:rPr>
              <w:t>(4,624)</w:t>
            </w:r>
          </w:p>
        </w:tc>
        <w:tc>
          <w:tcPr>
            <w:tcW w:w="2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(1,886)</w:t>
            </w:r>
          </w:p>
        </w:tc>
        <w:tc>
          <w:tcPr>
            <w:tcW w:w="18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(2,738)</w:t>
            </w:r>
          </w:p>
        </w:tc>
        <w:tc>
          <w:tcPr>
            <w:tcW w:w="2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800" w:type="dxa"/>
            <w:vAlign w:val="bottom"/>
          </w:tcPr>
          <w:p>
            <w:pPr>
              <w:spacing w:after="0"/>
              <w:rPr>
                <w:sz w:val="20"/>
                <w:szCs w:val="20"/>
                <w:color w:val="auto"/>
              </w:rPr>
            </w:pPr>
            <w:r>
              <w:rPr>
                <w:rFonts w:ascii="Arial" w:cs="Arial" w:eastAsia="Arial" w:hAnsi="Arial"/>
                <w:sz w:val="18"/>
                <w:szCs w:val="18"/>
                <w:color w:val="auto"/>
              </w:rPr>
              <w:t>Net loss attributable to common</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stockholders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(13,972)</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(5,178)</w:t>
            </w: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(8,794)</w:t>
            </w:r>
          </w:p>
        </w:tc>
        <w:tc>
          <w:tcPr>
            <w:tcW w:w="2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6"/>
              <w:spacing w:after="0"/>
              <w:rPr>
                <w:sz w:val="20"/>
                <w:szCs w:val="20"/>
                <w:color w:val="auto"/>
              </w:rPr>
            </w:pPr>
            <w:r>
              <w:rPr>
                <w:rFonts w:ascii="Arial" w:cs="Arial" w:eastAsia="Arial" w:hAnsi="Arial"/>
                <w:sz w:val="18"/>
                <w:szCs w:val="18"/>
                <w:color w:val="auto"/>
              </w:rPr>
              <w:t>(21,409)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w w:val="98"/>
              </w:rPr>
              <w:t>(10,321)  $</w:t>
            </w:r>
          </w:p>
        </w:tc>
        <w:tc>
          <w:tcPr>
            <w:tcW w:w="840" w:type="dxa"/>
            <w:vAlign w:val="bottom"/>
            <w:gridSpan w:val="2"/>
          </w:tcPr>
          <w:p>
            <w:pPr>
              <w:jc w:val="right"/>
              <w:ind w:right="61"/>
              <w:spacing w:after="0"/>
              <w:rPr>
                <w:sz w:val="20"/>
                <w:szCs w:val="20"/>
                <w:color w:val="auto"/>
              </w:rPr>
            </w:pPr>
            <w:r>
              <w:rPr>
                <w:rFonts w:ascii="Arial" w:cs="Arial" w:eastAsia="Arial" w:hAnsi="Arial"/>
                <w:sz w:val="18"/>
                <w:szCs w:val="18"/>
                <w:color w:val="auto"/>
              </w:rPr>
              <w:t>(11,088)</w:t>
            </w:r>
          </w:p>
        </w:tc>
        <w:tc>
          <w:tcPr>
            <w:tcW w:w="2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N/M - not meaningful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Three Months Ended June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Related-party revenue for the three months ended June 30, 2020 and 2019, was $0.5 million and $1.3 million, respectively, which was generated solely from payments received for reimbursement of research and development expenses pursuant to the Research and Development Services Agreement with Tallac Therapeutics, or Tollnine Agreement, as further described in Note 9 to our condensed consolidated financial statements appearing elsewhere in this Quarterly Report on Form 10-Q. The decrease of $0.8 million relates to decreased fee-for-service hours provided to Tallac Therapeutics.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research and development expenses incurred for the three months ended June 30, 2020 and 2019:</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2280" w:type="dxa"/>
            <w:vAlign w:val="bottom"/>
            <w:gridSpan w:val="4"/>
          </w:tcPr>
          <w:p>
            <w:pPr>
              <w:jc w:val="right"/>
              <w:ind w:right="38"/>
              <w:spacing w:after="0"/>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4"/>
        </w:trPr>
        <w:tc>
          <w:tcPr>
            <w:tcW w:w="4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538"/>
              <w:spacing w:after="0"/>
              <w:rPr>
                <w:sz w:val="20"/>
                <w:szCs w:val="20"/>
                <w:color w:val="auto"/>
              </w:rPr>
            </w:pPr>
            <w:r>
              <w:rPr>
                <w:rFonts w:ascii="Arial" w:cs="Arial" w:eastAsia="Arial" w:hAnsi="Arial"/>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r>
      <w:tr>
        <w:trPr>
          <w:trHeight w:val="223"/>
        </w:trPr>
        <w:tc>
          <w:tcPr>
            <w:tcW w:w="4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Clinical development costs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4,443</w:t>
            </w:r>
          </w:p>
        </w:tc>
        <w:tc>
          <w:tcPr>
            <w:tcW w:w="1060" w:type="dxa"/>
            <w:vAlign w:val="bottom"/>
            <w:gridSpan w:val="2"/>
            <w:shd w:val="clear" w:color="auto" w:fill="CFF0FC"/>
          </w:tcPr>
          <w:p>
            <w:pPr>
              <w:jc w:val="right"/>
              <w:ind w:right="63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3,058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Personnel and related costs</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855</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2,284</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00" w:type="dxa"/>
            <w:vAlign w:val="bottom"/>
            <w:shd w:val="clear" w:color="auto" w:fill="CFF0FC"/>
          </w:tcPr>
          <w:p>
            <w:pPr>
              <w:spacing w:after="0"/>
              <w:rPr>
                <w:sz w:val="19"/>
                <w:szCs w:val="19"/>
                <w:color w:val="auto"/>
              </w:rPr>
            </w:pPr>
          </w:p>
        </w:tc>
      </w:tr>
      <w:tr>
        <w:trPr>
          <w:trHeight w:val="230"/>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research and development costs</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7,663</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3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3,628</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4,035</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N/M - not meaningful</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ind w:right="20" w:firstLine="510"/>
        <w:spacing w:after="0" w:line="275" w:lineRule="auto"/>
        <w:rPr>
          <w:sz w:val="20"/>
          <w:szCs w:val="20"/>
          <w:color w:val="auto"/>
        </w:rPr>
      </w:pPr>
      <w:r>
        <w:rPr>
          <w:rFonts w:ascii="Arial" w:cs="Arial" w:eastAsia="Arial" w:hAnsi="Arial"/>
          <w:sz w:val="17"/>
          <w:szCs w:val="17"/>
          <w:color w:val="auto"/>
        </w:rPr>
        <w:t>Research and development expenses for the three months ended June 30, 2020 was $7.7 million, compared to $3.6 million for the three months ended June 30, 2019. The increase of $4.0 million was primarily attributable to an increase of $2.3 million in stock-based compensation expense, primarily resulting from additional stock option awards granted in the first half of 2020 and the modification of stock option awards for former employees who transferred to Tallac Therapeutics, increased clinical and development costs of $1.4 million primarily due to increased drug product manufacturing costs, as well as increased personnel-related costs of $0.3 million due to higher headcount.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general and administrative expenses incurred for the three months ended June 30, 2020 and 2019:</w:t>
      </w:r>
    </w:p>
    <w:p>
      <w:pPr>
        <w:spacing w:after="0" w:line="260"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2340" w:type="dxa"/>
            <w:vAlign w:val="bottom"/>
            <w:gridSpan w:val="4"/>
          </w:tcPr>
          <w:p>
            <w:pPr>
              <w:jc w:val="right"/>
              <w:ind w:right="98"/>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4"/>
        </w:trPr>
        <w:tc>
          <w:tcPr>
            <w:tcW w:w="4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598"/>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r>
      <w:tr>
        <w:trPr>
          <w:trHeight w:val="223"/>
        </w:trPr>
        <w:tc>
          <w:tcPr>
            <w:tcW w:w="4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related costs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120" w:type="dxa"/>
            <w:vAlign w:val="bottom"/>
            <w:gridSpan w:val="2"/>
            <w:shd w:val="clear" w:color="auto" w:fill="CFF0FC"/>
          </w:tcPr>
          <w:p>
            <w:pPr>
              <w:jc w:val="right"/>
              <w:ind w:right="698"/>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569</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costs</w:t>
            </w:r>
          </w:p>
        </w:tc>
        <w:tc>
          <w:tcPr>
            <w:tcW w:w="8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1,844</w:t>
            </w:r>
          </w:p>
        </w:tc>
        <w:tc>
          <w:tcPr>
            <w:tcW w:w="2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1,371</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general and administrative expenses</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3,172</w:t>
            </w:r>
          </w:p>
        </w:tc>
        <w:tc>
          <w:tcPr>
            <w:tcW w:w="260" w:type="dxa"/>
            <w:vAlign w:val="bottom"/>
          </w:tcPr>
          <w:p>
            <w:pPr>
              <w:spacing w:after="0"/>
              <w:rPr>
                <w:sz w:val="19"/>
                <w:szCs w:val="19"/>
                <w:color w:val="auto"/>
              </w:rPr>
            </w:pPr>
          </w:p>
        </w:tc>
        <w:tc>
          <w:tcPr>
            <w:tcW w:w="860" w:type="dxa"/>
            <w:vAlign w:val="bottom"/>
            <w:tcBorders>
              <w:bottom w:val="single" w:sz="8" w:color="auto"/>
            </w:tcBorders>
          </w:tcPr>
          <w:p>
            <w:pPr>
              <w:jc w:val="right"/>
              <w:ind w:right="698"/>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N/M - not meaningful</w:t>
      </w:r>
    </w:p>
    <w:p>
      <w:pPr>
        <w:spacing w:after="0" w:line="266"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General and administrative expenses for the three months ended June 30, 2020 was $3.2 million, compared to $0.7 million during the three months ended June 30, 2019. This increase of $2.5 million was primarily attributable to an increase in other general and administrative costs of $1.4 million, which includes higher professional service costs of $1.1 million primarily associated with accounting, legal and recruiting activities and $0.1 million in business development costs. In addition, we incurred increased personnel-related costs of $0.6 million due to higher headcount, as well as higher stock-based compensation expense of $0.6 million in part from the modification of stock option awards for a former employee who transferred to Tallac Therapeutics and additional stock option awards granted in the first half of 2020.</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 for Related-Party Revenue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Cost of services for related-party revenue for the three months ended June 30, 2020 was $0.5 million, compared to $1.2 million during the three months ended June 30, 2019. This decrease of $0.7 million was attributable to decreased fee-for-service hours provided to Tallac Therapeutics as a result of winding down the Tollnine Agreement, which was terminated in July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Comparisons of the Six Months Ended June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Related-Party Revenue</w:t>
      </w:r>
    </w:p>
    <w:p>
      <w:pPr>
        <w:spacing w:after="0" w:line="117"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Related-party revenue for the six months ended June 30, 2020 and 2019, was $1.2 million and $2.3 million, respectively, which was generated solely from payments received for reimbursement of research and development expenses pursuant to the Tollnine Agreement, as further described in Note 9 to our condensed consolidated financial statements appearing elsewhere in this Quarterly Report on Form 10-Q. The decrease of $1.1 million relates to decreased fee-for-service hours provided to Tallac Therapeutics.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incurred for the six months ended June 30, 2020 and 2019:</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8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0"/>
              </w:rPr>
              <w:t>Six Months Ended</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4"/>
        </w:trPr>
        <w:tc>
          <w:tcPr>
            <w:tcW w:w="4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r>
      <w:tr>
        <w:trPr>
          <w:trHeight w:val="223"/>
        </w:trPr>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Clinical and development costs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7,301</w:t>
            </w:r>
          </w:p>
        </w:tc>
        <w:tc>
          <w:tcPr>
            <w:tcW w:w="5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Personnel and related costs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00" w:type="dxa"/>
            <w:vAlign w:val="bottom"/>
            <w:shd w:val="clear" w:color="auto" w:fill="CFF0FC"/>
          </w:tcPr>
          <w:p>
            <w:pPr>
              <w:spacing w:after="0"/>
              <w:rPr>
                <w:sz w:val="19"/>
                <w:szCs w:val="19"/>
                <w:color w:val="auto"/>
              </w:rPr>
            </w:pPr>
          </w:p>
        </w:tc>
      </w:tr>
      <w:tr>
        <w:trPr>
          <w:trHeight w:val="230"/>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research and development costs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expenses</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11,491</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7,361</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4,130</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N/M - not meaningful</w:t>
      </w:r>
    </w:p>
    <w:p>
      <w:pPr>
        <w:spacing w:after="0" w:line="279"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Research and development expenses for the six months ended June 30, 2020 was $11.5 million, compared to $7.4 million for the six months ended June 30, 2019. The increase of $4.1 million was primarily attributable to an increase of $2.3 million in stock-based compensation expense, primarily resulting from additional stock option awards granted in the first half of 2020 and the modification of stock option awards for former employees who transferred to Tallac Therapeutics. In addition, we incurred higher clinical and development costs of $1.2 million primarily due to increased pre-clinical, clinical, and other research costs, as well as increased personnel-related costs of $0.5 million due to higher headcount.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general and administrative expenses incurred for the six months ended June 30, 2020 and 2019:</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2280" w:type="dxa"/>
            <w:vAlign w:val="bottom"/>
            <w:gridSpan w:val="4"/>
          </w:tcPr>
          <w:p>
            <w:pPr>
              <w:jc w:val="center"/>
              <w:ind w:left="330"/>
              <w:spacing w:after="0"/>
              <w:rPr>
                <w:sz w:val="20"/>
                <w:szCs w:val="20"/>
                <w:color w:val="auto"/>
              </w:rPr>
            </w:pPr>
            <w:r>
              <w:rPr>
                <w:rFonts w:ascii="Arial" w:cs="Arial" w:eastAsia="Arial" w:hAnsi="Arial"/>
                <w:sz w:val="18"/>
                <w:szCs w:val="18"/>
                <w:b w:val="1"/>
                <w:bCs w:val="1"/>
                <w:color w:val="auto"/>
                <w:w w:val="90"/>
              </w:rPr>
              <w:t>Six Months Ended</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34"/>
        </w:trPr>
        <w:tc>
          <w:tcPr>
            <w:tcW w:w="42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31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r>
      <w:tr>
        <w:trPr>
          <w:trHeight w:val="223"/>
        </w:trPr>
        <w:tc>
          <w:tcPr>
            <w:tcW w:w="4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r>
      <w:tr>
        <w:trPr>
          <w:trHeight w:val="223"/>
        </w:trPr>
        <w:tc>
          <w:tcPr>
            <w:tcW w:w="4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Personnel and related costs</w:t>
            </w: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1,238</w:t>
            </w:r>
          </w:p>
        </w:tc>
        <w:tc>
          <w:tcPr>
            <w:tcW w:w="106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637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general and administrative costs</w:t>
            </w:r>
          </w:p>
        </w:tc>
        <w:tc>
          <w:tcPr>
            <w:tcW w:w="8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2,770</w:t>
            </w:r>
          </w:p>
        </w:tc>
        <w:tc>
          <w:tcPr>
            <w:tcW w:w="2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general and administrative expenses</w:t>
            </w: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4,645</w:t>
            </w:r>
          </w:p>
        </w:tc>
        <w:tc>
          <w:tcPr>
            <w:tcW w:w="2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1,267</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w:t>
            </w:r>
          </w:p>
        </w:tc>
        <w:tc>
          <w:tcPr>
            <w:tcW w:w="2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N/M - not meaningful</w:t>
      </w:r>
    </w:p>
    <w:p>
      <w:pPr>
        <w:spacing w:after="0" w:line="26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General and administrative expenses for the six months ended June 30, 2020 was $4.6 million, compared to $1.3 million during the six months ended June 30, 2019. This increase of $3.4 million was primarily attributable to an increase in other general and administrative costs of $1.9 million, which includes higher professional service fees of $1.5 million associated with increased accounting, legal and recruiting activities, as well as $0.2 million of business development efforts. In addition, we incurred increased personnel-related costs of $0.8 million due to higher headcount, as well as higher stock-based compensation expense of $0.6 million in part from the modification of stock option awards for a former employee who transferred to Tallac Therapeutics and additional stock option awards granted in the first half of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Services for Related-Party Revenue</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Cost of services for related-party revenue for the six months ended June 30, 2020 was $1.1 million, compared to $2.1 million during the six months ended June 30, 2019. This decrease of $1.0 million was attributable to decreased fee-for-service hours provided to Tallac Therapeutics as a result of winding down the Tollnine Agreement, which was terminated in July 2020.</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Through June 30, 2020, we had received net proceeds of $175.1 million from sales of our common stock and convertible preferred stock and net proceeds of $5.8 million borrowings under our term loan. As of June 30, 2020, we had cash and cash equivalents of $98.1 million. In July 2020, we consummated our initial public offering, raising net proceeds of $172.7 million, after deducting underwriting discounts and commissions of $13.0 million and before deducting offering-related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Silicon Valley Bank and WestRiver Group Loan and Security Agreement</w:t>
      </w:r>
    </w:p>
    <w:p>
      <w:pPr>
        <w:spacing w:after="0" w:line="117"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wholly-owned subsidiaries ALX Oncology Limited, Alexo Therapeutics International and Sirpant Therapeutics, as borrowers, entered into the Loan and Security Agreement, or the Loan Agreement, dated as of December 20, 2019, with Silicon Valley Bank, or SVB, and WestRiver Innovation Lending Fund VIII, LP, or WestRiver, collectively as lenders, and SVB, as administrative agent and collateral agent. As a result of the internal reorganization, in May 2020 the Company entered into a Joinder and First Amendment to the Loan and Security Agreement, or the Joinder Amendment, and Amended and Restated Warrants to Purchase Stock, or the Amended Warrants. The purpose for entering into the Joinder Amendment was to add us, as a new incorporated company, as additional borrower to the Loan Agreement. Concurrently, we modified the Amended Warrants to change the issuer from ALX Oncology Limited to us.</w:t>
      </w:r>
    </w:p>
    <w:p>
      <w:pPr>
        <w:spacing w:after="0" w:line="195" w:lineRule="exact"/>
        <w:rPr>
          <w:sz w:val="20"/>
          <w:szCs w:val="20"/>
          <w:color w:val="auto"/>
        </w:rPr>
      </w:pPr>
    </w:p>
    <w:p>
      <w:pPr>
        <w:ind w:right="340" w:firstLine="510"/>
        <w:spacing w:after="0" w:line="301" w:lineRule="auto"/>
        <w:rPr>
          <w:sz w:val="20"/>
          <w:szCs w:val="20"/>
          <w:color w:val="auto"/>
        </w:rPr>
      </w:pPr>
      <w:r>
        <w:rPr>
          <w:rFonts w:ascii="Arial" w:cs="Arial" w:eastAsia="Arial" w:hAnsi="Arial"/>
          <w:sz w:val="16"/>
          <w:szCs w:val="16"/>
          <w:color w:val="auto"/>
        </w:rPr>
        <w:t>The Loan Agreement provided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our achievement of an equity financing resulting in net cash proceeds in an amount of at least $30.0 million to us. We elected not to draw down on the second tranche, which is no longer available.</w:t>
      </w:r>
    </w:p>
    <w:p>
      <w:pPr>
        <w:spacing w:after="0" w:line="15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loans under the Loan Agreement bear interest at a floating per annum interest rate equal to the greater of 7.0% or 2.0% plus the prime rate as reported in The Wall Street Journal. The Wall Street Journal prime rate was 3.25% as of June 30, 2020. Therefore, the rate applicable to the Company as of June 30, 2020 was 7.0%.</w:t>
      </w:r>
    </w:p>
    <w:p>
      <w:pPr>
        <w:spacing w:after="0" w:line="18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are required to make interest-only payments for the first 12 months after the closing of the Loan Agreement,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88" w:lineRule="exact"/>
        <w:rPr>
          <w:sz w:val="20"/>
          <w:szCs w:val="20"/>
          <w:color w:val="auto"/>
        </w:rPr>
      </w:pPr>
    </w:p>
    <w:p>
      <w:pPr>
        <w:ind w:right="120" w:firstLine="510"/>
        <w:spacing w:after="0" w:line="289" w:lineRule="auto"/>
        <w:rPr>
          <w:sz w:val="20"/>
          <w:szCs w:val="20"/>
          <w:color w:val="auto"/>
        </w:rPr>
      </w:pPr>
      <w:r>
        <w:rPr>
          <w:rFonts w:ascii="Arial" w:cs="Arial" w:eastAsia="Arial" w:hAnsi="Arial"/>
          <w:sz w:val="16"/>
          <w:szCs w:val="16"/>
          <w:color w:val="auto"/>
        </w:rPr>
        <w:t>In conjunction with the Loan Agreement, we issued warrants to purchase 61,292 shares of Series B convertible preferred stock to SVB and WestRiver with an exercise price of $9.4972 per share. Following our initial public offering, these warrants were automatically converted to warrants to purchase 61,292 shares of our common stock at an exercise price of $9.4972 per share. The estimated fair value of the warrants at the date of issuance was approximately $0.4 million. The fair value of the Series B convertible preferred stock warrant liability was determined using the Black-Scholes option-pricing-model. As of June 30, 2020, the various assumptions used in the Black-Scholes option-pricing model were time to liquidity of 2.0 to 9.5 years, volatility of 99.9% and risk-free rate of 0.6%. The warrant liability was recorded at its fair value at inception and is being remeasured at each financial reporting period with any changes in fair value being recognized as a component of other expense, net in the accompanying consolidated statement of operations and comprehensive loss. As of June 30, 2020, the fair value of the Series B convertible preferred stock warrant liabilities was approximately $0.8 million and was recorded in other non-current liabilities on the condensed consolidated balance sheets.</w:t>
      </w:r>
    </w:p>
    <w:p>
      <w:pPr>
        <w:spacing w:after="0" w:line="166"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The loans under the Loan Agreement are secured by substantially all of our assets, except our intellectual property, which is the subject of a negative pledge.</w:t>
      </w:r>
    </w:p>
    <w:p>
      <w:pPr>
        <w:spacing w:after="0" w:line="170" w:lineRule="exact"/>
        <w:rPr>
          <w:sz w:val="20"/>
          <w:szCs w:val="20"/>
          <w:color w:val="auto"/>
        </w:rPr>
      </w:pPr>
    </w:p>
    <w:p>
      <w:pPr>
        <w:ind w:right="120" w:firstLine="510"/>
        <w:spacing w:after="0" w:line="289" w:lineRule="auto"/>
        <w:rPr>
          <w:sz w:val="20"/>
          <w:szCs w:val="20"/>
          <w:color w:val="auto"/>
        </w:rPr>
      </w:pPr>
      <w:r>
        <w:rPr>
          <w:rFonts w:ascii="Arial" w:cs="Arial" w:eastAsia="Arial" w:hAnsi="Arial"/>
          <w:sz w:val="16"/>
          <w:szCs w:val="16"/>
          <w:color w:val="auto"/>
        </w:rPr>
        <w:t>We determined that certain loan features were embedded derivatives requiring bifurcation and separate accounting. Those embedded derivatives were bundled together as a single, compound embedded derivative and then bifurcated and accounted for separately from the host contract. We recorded a term loan compound derivative liability of $51,000, which is marked-to-market at each reporting date. We calculated the fair values of the compound derivative by computing the difference between the fair value of the term loans and the compound derivative using the “with and without” method under the income approach, and the fair value of the term loans without the compound derivative. We calculated the fair values using a probability-weighted discounted cash flow analysis. The key valuation assumptions used consist of the discount rate and the probability of a change in control event. The term loan compound derivative liability is being remeasured at each financial reporting period with any changes in fair value being recognized as a component of other expense, net in the condensed consolidated statements of operations and comprehensive loss. As of June 30, 2020, the fair value of the compound derivative liability was approximately $64,000 and was recorded in other non-current liabilities on the condensed consolidated balance sheets.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ind w:right="60" w:firstLine="510"/>
        <w:spacing w:after="0" w:line="263" w:lineRule="auto"/>
        <w:rPr>
          <w:sz w:val="20"/>
          <w:szCs w:val="20"/>
          <w:color w:val="auto"/>
        </w:rPr>
      </w:pPr>
      <w:r>
        <w:rPr>
          <w:rFonts w:ascii="Arial" w:cs="Arial" w:eastAsia="Arial" w:hAnsi="Arial"/>
          <w:sz w:val="18"/>
          <w:szCs w:val="18"/>
          <w:color w:val="auto"/>
        </w:rPr>
        <w:t>The fair value of Series B convertible preferred stock warrant liability at issuance, fair value of embedded derivatives which were bifurcated and other debt issuance costs have been treated as debt discounts on our consolidated balance sheets and together with the final payment are being amortized to interest expense throughout the life of the term loans using the effective interest rate method.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have incurred losses and negative cash flows from operations since inception and anticipate that we will continue to incur net losses for the foreseeable future. As of June 30, 2020, we had an accumulated deficit of $89.6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53"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outcome of regulatory review of our product candidates;</w:t>
      </w:r>
    </w:p>
    <w:p>
      <w:pPr>
        <w:spacing w:after="0" w:line="117"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establish agreements with third-party manufacturers for clinical supply for our clinical trials and, if any of our product candidates are approved, commercial manufacturing;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 and retention of key research and development personnel;</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efforts to enhance operational, financial and information management systems, and hire additional personnel, including personnel to support development of our product candidates;</w:t>
      </w:r>
    </w:p>
    <w:p>
      <w:pPr>
        <w:spacing w:after="0" w:line="62"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obtain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legal patent costs involved in prosecuting patent applications and enforcing patent claims and other intellectual property claims; and</w:t>
      </w:r>
    </w:p>
    <w:p>
      <w:pPr>
        <w:spacing w:after="0" w:line="128" w:lineRule="exact"/>
        <w:rPr>
          <w:rFonts w:ascii="Arial" w:cs="Arial" w:eastAsia="Arial" w:hAnsi="Arial"/>
          <w:sz w:val="17"/>
          <w:szCs w:val="17"/>
          <w:color w:val="auto"/>
        </w:rPr>
      </w:pPr>
    </w:p>
    <w:p>
      <w:pPr>
        <w:ind w:left="1000" w:right="7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and royalty payments thereunder.</w:t>
      </w:r>
    </w:p>
    <w:p>
      <w:pPr>
        <w:spacing w:after="0" w:line="170"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82"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$172.7 million, after deducting underwriting discounts and commissions of $13.0 million and before deducting offering-related expenses. We believe that the net proceeds from our initial public offering of $172.7 million, together with our existing cash and cash equivalents will enable us to fund our operating expenses and capital expenditure requirements through 2023. We have based these estimates on assumptions that may prove to be wrong, and we could utilize our available capital resources sooner than we expect. Our Loan Agreement includes covenants limiting or restricting our ability to take specific actions, such as incurring additional debt.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sources and uses of cash for each of the periods set forth below:</w:t>
      </w:r>
    </w:p>
    <w:p>
      <w:pPr>
        <w:spacing w:after="0" w:line="248" w:lineRule="exact"/>
        <w:rPr>
          <w:sz w:val="20"/>
          <w:szCs w:val="20"/>
          <w:color w:val="auto"/>
        </w:rPr>
      </w:pPr>
    </w:p>
    <w:tbl>
      <w:tblPr>
        <w:tblLayout w:type="fixed"/>
        <w:tblInd w:w="1700" w:type="dxa"/>
        <w:tblCellMar>
          <w:top w:w="0" w:type="dxa"/>
          <w:left w:w="0" w:type="dxa"/>
          <w:bottom w:w="0" w:type="dxa"/>
          <w:right w:w="0" w:type="dxa"/>
        </w:tblCellMar>
      </w:tblPr>
      <w:tr>
        <w:trPr>
          <w:trHeight w:val="230"/>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(15,126)</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(8,189)</w:t>
            </w: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(415)</w:t>
            </w: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104,222</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9,430</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89,086</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In the six months ended June 30, 2020, cash used in operating activities of $15.1 million was attributable to a net loss of $16.8 million and a change of $2.2 million in our net operating assets and liabilities, partially offset by $3.8 million in non-cash charges. The non-cash charges consisted of stock-based compensation of $3.0 million, change in fair value of Series B convertible preferred stock warrant liability and term loan compound derivative of $0.4 million, depreciation and amortization of $0.2 million and amortization of term loan discount and issuance costs of $0.2 million. The change in operating assets and liabilities was primarily due to a $2.0 million decrease in accounts payable and a $1.1 million increase in prepaid expenses and other current assets, partially offset by a $1.1 million increase in accrued expenses and other current liabilities. This is primarily due to timing of cash payments for clinical-related activities.</w:t>
      </w:r>
    </w:p>
    <w:p>
      <w:pPr>
        <w:spacing w:after="0" w:line="195"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In the six months ended June 30, 2019, cash used in operating activities of $8.2 million was attributable to a net loss of $8.4 million and a change of $0.1 million in our net operating assets and liabilities, partially offset by $0.3 million in non-cash charges. The non-cash charges consisted of stock-based compensation of $0.1 million and depreciation and amortization of $0.2 million. The change in operating assets and liabilities was primarily due to a $0.4 million increase in receivables from a related-party and $0.5 million decrease in accrued expenses and other current liabilities, partially offset by a $0.5 million increase in accounts payable and $0.3 million decrease in prepaid expenses and other current assets.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six months ended June 30, 2020, cash used in investing activities was nominal.</w:t>
      </w:r>
    </w:p>
    <w:p>
      <w:pPr>
        <w:spacing w:after="0" w:line="225"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In the six months ended June 30, 2019, cash used in investing activities was $0.4 million and was related to capital expenditures on the purchase of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In the six months ended June 30, 2020, cash provided by financing activities was $104.2 million, from the sale and issuance of Series C convertible preferred stock with gross proceeds of $105.0 million, partially offset by $0.3 million issuance costs and $0.5 million deferred offering costs for our initial public offering.</w:t>
      </w:r>
    </w:p>
    <w:p>
      <w:pPr>
        <w:spacing w:after="0" w:line="18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In the six months ended June 30, 2019, cash provided by financing activities was $9.4 million, from the sale and issuance of Series B convertible preferred stock with gross proceeds of $9.6 million, partially offset by payment of issuance costs of $0.2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commitments and contractual obligations as of June 30, 2020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center"/>
              <w:ind w:left="830"/>
              <w:spacing w:after="0"/>
              <w:rPr>
                <w:sz w:val="20"/>
                <w:szCs w:val="20"/>
                <w:color w:val="auto"/>
              </w:rPr>
            </w:pPr>
            <w:r>
              <w:rPr>
                <w:rFonts w:ascii="Arial" w:cs="Arial" w:eastAsia="Arial" w:hAnsi="Arial"/>
                <w:sz w:val="18"/>
                <w:szCs w:val="18"/>
                <w:b w:val="1"/>
                <w:bCs w:val="1"/>
                <w:color w:val="auto"/>
                <w:w w:val="89"/>
              </w:rPr>
              <w:t>Payments Due By Period</w:t>
            </w:r>
          </w:p>
        </w:tc>
        <w:tc>
          <w:tcPr>
            <w:tcW w:w="1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5"/>
        </w:trPr>
        <w:tc>
          <w:tcPr>
            <w:tcW w:w="4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line="205" w:lineRule="exact"/>
              <w:rPr>
                <w:sz w:val="20"/>
                <w:szCs w:val="20"/>
                <w:color w:val="auto"/>
              </w:rPr>
            </w:pPr>
            <w:r>
              <w:rPr>
                <w:rFonts w:ascii="Arial" w:cs="Arial" w:eastAsia="Arial" w:hAnsi="Arial"/>
                <w:sz w:val="18"/>
                <w:szCs w:val="18"/>
                <w:b w:val="1"/>
                <w:bCs w:val="1"/>
                <w:color w:val="auto"/>
                <w:w w:val="88"/>
              </w:rPr>
              <w:t>Less Than 1</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More Than 5</w:t>
            </w:r>
          </w:p>
        </w:tc>
        <w:tc>
          <w:tcPr>
            <w:tcW w:w="120" w:type="dxa"/>
            <w:vAlign w:val="bottom"/>
          </w:tcPr>
          <w:p>
            <w:pPr>
              <w:spacing w:after="0"/>
              <w:rPr>
                <w:sz w:val="17"/>
                <w:szCs w:val="17"/>
                <w:color w:val="auto"/>
              </w:rPr>
            </w:pPr>
          </w:p>
        </w:tc>
      </w:tr>
      <w:tr>
        <w:trPr>
          <w:trHeight w:val="234"/>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Year</w:t>
            </w:r>
          </w:p>
        </w:tc>
        <w:tc>
          <w:tcPr>
            <w:tcW w:w="180" w:type="dxa"/>
            <w:vAlign w:val="bottom"/>
          </w:tcPr>
          <w:p>
            <w:pPr>
              <w:spacing w:after="0"/>
              <w:rPr>
                <w:sz w:val="20"/>
                <w:szCs w:val="20"/>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1-3 Years</w:t>
            </w:r>
          </w:p>
        </w:tc>
        <w:tc>
          <w:tcPr>
            <w:tcW w:w="20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3-5 Years</w:t>
            </w:r>
          </w:p>
        </w:tc>
        <w:tc>
          <w:tcPr>
            <w:tcW w:w="100" w:type="dxa"/>
            <w:vAlign w:val="bottom"/>
          </w:tcPr>
          <w:p>
            <w:pPr>
              <w:spacing w:after="0"/>
              <w:rPr>
                <w:sz w:val="20"/>
                <w:szCs w:val="20"/>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Years</w:t>
            </w:r>
          </w:p>
        </w:tc>
      </w:tr>
      <w:tr>
        <w:trPr>
          <w:trHeight w:val="223"/>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Arial" w:cs="Arial" w:eastAsia="Arial" w:hAnsi="Arial"/>
                <w:sz w:val="18"/>
                <w:szCs w:val="18"/>
                <w:color w:val="auto"/>
              </w:rPr>
              <w:t xml:space="preserve">Manufacturing and service contracts </w:t>
            </w:r>
            <w:r>
              <w:rPr>
                <w:rFonts w:ascii="Arial" w:cs="Arial" w:eastAsia="Arial" w:hAnsi="Arial"/>
                <w:sz w:val="15"/>
                <w:szCs w:val="15"/>
                <w:color w:val="auto"/>
              </w:rPr>
              <w:t>(2)</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4,511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ind w:left="940"/>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Term loan </w:t>
            </w:r>
            <w:r>
              <w:rPr>
                <w:rFonts w:ascii="Arial" w:cs="Arial" w:eastAsia="Arial" w:hAnsi="Arial"/>
                <w:sz w:val="15"/>
                <w:szCs w:val="15"/>
                <w:color w:val="auto"/>
              </w:rPr>
              <w:t>(3)</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14,993</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9,748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49"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type w:val="continuous"/>
        </w:sectPr>
      </w:pPr>
    </w:p>
    <w:bookmarkStart w:id="33" w:name="page34"/>
    <w:bookmarkEnd w:id="33"/>
    <w:p>
      <w:pPr>
        <w:jc w:val="both"/>
        <w:ind w:left="1000" w:hanging="493"/>
        <w:spacing w:after="0" w:line="287" w:lineRule="auto"/>
        <w:tabs>
          <w:tab w:leader="none" w:pos="1000" w:val="left"/>
        </w:tabs>
        <w:numPr>
          <w:ilvl w:val="0"/>
          <w:numId w:val="16"/>
        </w:numPr>
        <w:rPr>
          <w:rFonts w:ascii="Arial" w:cs="Arial" w:eastAsia="Arial" w:hAnsi="Arial"/>
          <w:sz w:val="16"/>
          <w:szCs w:val="16"/>
          <w:i w:val="1"/>
          <w:iCs w:val="1"/>
          <w:color w:val="auto"/>
        </w:rPr>
      </w:pPr>
      <w:r>
        <w:rPr>
          <w:rFonts w:ascii="Arial" w:cs="Arial" w:eastAsia="Arial" w:hAnsi="Arial"/>
          <w:sz w:val="16"/>
          <w:szCs w:val="16"/>
          <w:i w:val="1"/>
          <w:iCs w:val="1"/>
          <w:color w:val="auto"/>
        </w:rPr>
        <w:t>Payments due for the office and laboratory space in Burlingame, California under a single operating lease agreement that expires in 2023. In July 2020, we assigned this lease to Tallac Therapeutics, and we received a sublease for such premises from Tallac Therapeutics. See Note 12 to the condensed consolidated financial statements included elsewhere in this Quarterly Report on Form 10-Q for additional details.</w:t>
      </w:r>
    </w:p>
    <w:p>
      <w:pPr>
        <w:spacing w:after="0" w:line="2" w:lineRule="exact"/>
        <w:rPr>
          <w:rFonts w:ascii="Arial" w:cs="Arial" w:eastAsia="Arial" w:hAnsi="Arial"/>
          <w:sz w:val="16"/>
          <w:szCs w:val="16"/>
          <w:i w:val="1"/>
          <w:iCs w:val="1"/>
          <w:color w:val="auto"/>
        </w:rPr>
      </w:pPr>
    </w:p>
    <w:p>
      <w:pPr>
        <w:ind w:left="1000" w:hanging="493"/>
        <w:spacing w:after="0" w:line="250" w:lineRule="auto"/>
        <w:tabs>
          <w:tab w:leader="none" w:pos="100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In November 2015, we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us to certain purchase obligations of approximately $6.1 million. In addition, we have commitments with a second drug product manufacturer that commits us to certain purchase obligations of approximately $0.3 million. These amounts are based on non-cancellable commitments and forecasts that include estimates of future market demand, quantity discounts and manufacturing efficiencies that may impact timing of purchases.</w:t>
      </w:r>
    </w:p>
    <w:p>
      <w:pPr>
        <w:spacing w:after="0" w:line="2" w:lineRule="exact"/>
        <w:rPr>
          <w:rFonts w:ascii="Arial" w:cs="Arial" w:eastAsia="Arial" w:hAnsi="Arial"/>
          <w:sz w:val="18"/>
          <w:szCs w:val="18"/>
          <w:i w:val="1"/>
          <w:iCs w:val="1"/>
          <w:color w:val="auto"/>
        </w:rPr>
      </w:pPr>
    </w:p>
    <w:p>
      <w:pPr>
        <w:ind w:left="1000" w:right="80" w:hanging="493"/>
        <w:spacing w:after="0" w:line="260" w:lineRule="auto"/>
        <w:tabs>
          <w:tab w:leader="none" w:pos="100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On December 20, 2019, we borrowed a loan pursuant to the Loan Agreement. See Note 5 to the condensed consolidated financial statements included elsewhere in this Quarterly Report on Form 10-Q for additional details.</w:t>
      </w:r>
    </w:p>
    <w:p>
      <w:pPr>
        <w:spacing w:after="0" w:line="185"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During the period presented, we did not have, nor do we currently have, any off-balance sheet arrangements, as defined in the rules and regulations of the SEC.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6" w:lineRule="exact"/>
        <w:rPr>
          <w:sz w:val="20"/>
          <w:szCs w:val="20"/>
          <w:color w:val="auto"/>
        </w:rPr>
      </w:pPr>
    </w:p>
    <w:p>
      <w:pPr>
        <w:ind w:right="200" w:firstLine="510"/>
        <w:spacing w:after="0" w:line="275" w:lineRule="auto"/>
        <w:rPr>
          <w:sz w:val="20"/>
          <w:szCs w:val="20"/>
          <w:color w:val="auto"/>
        </w:rPr>
      </w:pPr>
      <w:r>
        <w:rPr>
          <w:rFonts w:ascii="Arial" w:cs="Arial" w:eastAsia="Arial" w:hAnsi="Arial"/>
          <w:sz w:val="17"/>
          <w:szCs w:val="17"/>
          <w:color w:val="auto"/>
        </w:rPr>
        <w:t>Our critical accounting policies are more fully described in the section titled “Management’s Discussion and Analysis of Financial Condition and Results of Operations—Critical Accounting Policies and Significant Judgments and Estimates” in our final prospectus for our initial public offering filed pursuant to Rule 424(b)(4) under the Securities Act with the SEC on July 17, 2020 and in Note 2 to our condensed consolidated financial statements appearing elsewhere in this Quarterly Report on Form 10-Q. During the six months ended June 30, 2020, there were no material changes to our critical accounting policies from those discussed in our final prospectus filed on July 17,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are not expected to have a material impact on our financial position or results of operations upon adoption.</w:t>
      </w:r>
    </w:p>
    <w:p>
      <w:pPr>
        <w:spacing w:after="0" w:line="165"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In February 2016, the FASB issued ASU No. 2016-02 (Topic 842), Leases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us beginning January 1, 2022. Early adoption is permitted. We are currently evaluating the effects of the adoption of this guidance on our condensed consolidated financial statements and related disclosures.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4" w:name="page35"/>
    <w:bookmarkEnd w:id="34"/>
    <w:p>
      <w:pPr>
        <w:ind w:firstLine="510"/>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us beginning January 1, 2022. Early adoption is permitted. We are currently in the process of evaluating the effects of the adoption of this guidance on our condensed consolidated financial statements and do not expect it to have a material impact on our condensed consolidated financial statements.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We are exposed to market risks in the ordinary course of our business. These risks primarily include interest rate sensitivities. As of June 30, 2020, we had cash and cash equivalents of $98.1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Institution Risk</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June 30, 2020, we had $97.9 million in excess of this insured limit.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effect on our financial results.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the reports that we file or submit under the Securities and Exchange Act of 1934 is (1) recorded, processed, summarized, and reported within the time periods specified in the SEC’s rules and forms and (2) accumulated and communicated to our management, including our President and Chief Executive Officer, who is our principal executive officer and our Chief Financial Officer, who is the principal financial officer, to allow timely decisions regarding required disclosure.</w:t>
      </w:r>
    </w:p>
    <w:p>
      <w:pPr>
        <w:spacing w:after="0" w:line="157"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As of June 30, 2020, our management, with the participation of our principal executive officer and principal financial officer, evaluated the effectiveness of our disclosure controls and procedures (as defined in Rules 13a-15(e) and 15d-15(e) under the Securities and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57"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Based upon the evaluation, our Chief Executive Officer and Chief Financial Officer concluded that, as of June 30, 2020, our disclosure controls and procedures were not effective at a reasonable assurance level as a result of the material weakness that existed in our internal control over financial reporting as described below, and which continues to exist as of June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Weakness in Internal Control over Financial Reporting</w:t>
      </w:r>
    </w:p>
    <w:p>
      <w:pPr>
        <w:spacing w:after="0" w:line="11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connection with the audit of our consolidated financial statements as of and for the years ended December 31, 2019 and 2018, we identified material weaknesses in our internal control over financial reporting resulting from a lack of sufficient qualified personnel. For the year ended December 31, 2019, the material weaknesses related to (i) independent reviews of journal entries not being performed prior to posting, (ii) account reconciliations not being performed and independently reviewed on a timely basis and (iii) lack of independent review of technical accounting matters. During the first and second quarters of 2020, we have undertaken specific remediation actions to address the control deficiencies in our financial reporting. We have established more robust processes related to the review of complex accounting transactions, the preparation of account reconciliations and the review of journal entries. These remediation actions included hiring a full time Chief Financial Officer in January 2020 and a Vice President, Finance and Chief Accounting Officer in March 2020, both of whom have extensive experience in developing and implementing internal controls and executing plans to remediate control deficiencies. We added new control activities, modified existing controls, and enhanced the documentation that evidences that controls are performed.</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firstLine="510"/>
        <w:spacing w:after="0" w:line="259" w:lineRule="auto"/>
        <w:rPr>
          <w:sz w:val="20"/>
          <w:szCs w:val="20"/>
          <w:color w:val="auto"/>
        </w:rPr>
      </w:pPr>
      <w:r>
        <w:rPr>
          <w:rFonts w:ascii="Arial" w:cs="Arial" w:eastAsia="Arial" w:hAnsi="Arial"/>
          <w:sz w:val="18"/>
          <w:szCs w:val="18"/>
          <w:color w:val="auto"/>
        </w:rPr>
        <w:t>Due to a transition period established by SEC rules applicable to newly public companies, our management is not required to evaluate the effectiveness of our internal control over financial reporting until after the filing of our Annual Report on Form 10-K for the year ended December 31, 2020. As a result, this Quarterly Report on Form 10-Q does not address whether there have been any changes in our internal control over financial reporting.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operations, cash flows and financial position. Additionally, any such claims, whether or not successful, could damage our reputation and business.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562"/>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including our unaudited condensed consolidated financial statements and the related notes and the section titled “Management’s Discussion and Analysis of Financial Condition and Results of Operations.” The occurrence of any of the events or developments described below could harm our business, financial condition, results of operations growth prospects or stock price.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we expect to continue to incur significant net losses for the foreseeable future.</w:t>
      </w:r>
    </w:p>
    <w:p>
      <w:pPr>
        <w:spacing w:after="0" w:line="140"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We have incurred significant net losses in each reporting period since our inception, have not generated any revenue to date and have financed our operations principally through private placements of our convertible preferred stock. Our net loss was $11.3 million and $4.2 million for the three months ended June 30, 2020 and 2019, respectively, and $16.8 million and $8.4 million for the six months ended June 30, 2020 and 2019, respectively. As of June 30, 2020, we had an accumulated deficit of $89.6 million. We have devoted substantially all of our resources and efforts to research and development. Our lead product candidate, ALX148,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65"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284"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ALX148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U.S. Food and Drug Administration, or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also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ind w:right="200"/>
        <w:spacing w:after="0" w:line="259" w:lineRule="auto"/>
        <w:rPr>
          <w:sz w:val="20"/>
          <w:szCs w:val="20"/>
          <w:color w:val="auto"/>
        </w:rPr>
      </w:pPr>
      <w:r>
        <w:rPr>
          <w:rFonts w:ascii="Arial" w:cs="Arial" w:eastAsia="Arial" w:hAnsi="Arial"/>
          <w:sz w:val="18"/>
          <w:szCs w:val="18"/>
          <w:color w:val="auto"/>
        </w:rPr>
        <w:t>expect to incur additional costs associated with operating as a public company and comply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8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As of June 30, 2020, we had working capital of $92.9 million and cash and cash equivalents of $98.1 million. Based on our current operating plan, we believe that the net proceeds from our initial public offering of $172.7 million, after deducting underwriting discounts and commissions, and before deducting offering-related expenses, together with our existing cash and cash equivalents, will be sufficient to fund our operations through 2023. Our estimate as to how long we expect the net proceeds from our initial public offering of $172.7 million,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77" w:lineRule="exact"/>
        <w:rPr>
          <w:sz w:val="20"/>
          <w:szCs w:val="20"/>
          <w:color w:val="auto"/>
        </w:rPr>
      </w:pPr>
    </w:p>
    <w:p>
      <w:pPr>
        <w:ind w:right="60" w:firstLine="510"/>
        <w:spacing w:after="0" w:line="273" w:lineRule="auto"/>
        <w:rPr>
          <w:sz w:val="20"/>
          <w:szCs w:val="20"/>
          <w:color w:val="auto"/>
        </w:rPr>
      </w:pPr>
      <w:r>
        <w:rPr>
          <w:rFonts w:ascii="Arial" w:cs="Arial" w:eastAsia="Arial" w:hAnsi="Arial"/>
          <w:sz w:val="17"/>
          <w:szCs w:val="17"/>
          <w:color w:val="auto"/>
        </w:rPr>
        <w:t>We plan to use the net proceeds from our initial public offering to advance the clinical development of ALX148,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ALX148 and our other programs will require a significant amount of capital. The net proceeds from our initial public offering of $172.7 million, together with our current cash and cash equivalents on hand, may not be sufficient to fund all of the actions that are necessary to complete the development of ALX148 or our other programs.</w:t>
      </w:r>
    </w:p>
    <w:p>
      <w:pPr>
        <w:spacing w:after="0" w:line="178"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expect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In addition, our Loan Agreement with SVB and WestRiver, or collectively, the Lenders, restricts our ability to incur additional indebtedness without the consent of the Lenders.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5" w:lineRule="exact"/>
        <w:rPr>
          <w:sz w:val="20"/>
          <w:szCs w:val="20"/>
          <w:color w:val="auto"/>
        </w:rPr>
      </w:pPr>
    </w:p>
    <w:p>
      <w:pPr>
        <w:ind w:right="500" w:firstLine="510"/>
        <w:spacing w:after="0" w:line="263" w:lineRule="auto"/>
        <w:rPr>
          <w:sz w:val="20"/>
          <w:szCs w:val="20"/>
          <w:color w:val="auto"/>
        </w:rPr>
      </w:pPr>
      <w:r>
        <w:rPr>
          <w:rFonts w:ascii="Arial" w:cs="Arial" w:eastAsia="Arial" w:hAnsi="Arial"/>
          <w:sz w:val="18"/>
          <w:szCs w:val="18"/>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ALX148.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w:t>
      </w:r>
    </w:p>
    <w:p>
      <w:pPr>
        <w:spacing w:after="0" w:line="192"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ind w:right="440"/>
        <w:spacing w:after="0" w:line="277"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62" w:lineRule="exact"/>
        <w:rPr>
          <w:sz w:val="20"/>
          <w:szCs w:val="20"/>
          <w:color w:val="auto"/>
        </w:rPr>
      </w:pPr>
    </w:p>
    <w:p>
      <w:pPr>
        <w:jc w:val="both"/>
        <w:ind w:right="120" w:firstLine="510"/>
        <w:spacing w:after="0" w:line="301" w:lineRule="auto"/>
        <w:rPr>
          <w:sz w:val="20"/>
          <w:szCs w:val="20"/>
          <w:color w:val="auto"/>
        </w:rPr>
      </w:pPr>
      <w:r>
        <w:rPr>
          <w:rFonts w:ascii="Arial" w:cs="Arial" w:eastAsia="Arial" w:hAnsi="Arial"/>
          <w:sz w:val="16"/>
          <w:szCs w:val="16"/>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49" w:lineRule="exact"/>
        <w:rPr>
          <w:sz w:val="20"/>
          <w:szCs w:val="20"/>
          <w:color w:val="auto"/>
        </w:rPr>
      </w:pPr>
    </w:p>
    <w:p>
      <w:pPr>
        <w:ind w:left="1000" w:right="5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and timely completion of preclinical and clinical development of our lead product candidate, ALX148, and our other future product candidates;</w:t>
      </w:r>
    </w:p>
    <w:p>
      <w:pPr>
        <w:spacing w:after="0" w:line="62"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relationships with CROs and clinical sites for the clinical development of ALX148 and our other future product candidates;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117"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developing an efficient and scalable manufacturing process for ALX148 and any future product candidates, including establishing and maintaining commercially viable supply and manufacturing relationships with third parties to obtain finished products that are appropriately packaged for sale;</w:t>
      </w:r>
    </w:p>
    <w:p>
      <w:pPr>
        <w:spacing w:after="0" w:line="75"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commercial acceptance of ALX148 and any future product candidates as viable treatment options by patients, the medical community and third-party payors;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favorable coverage and adequate reimbursement by third-party payors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identifying, assessing, acquiring and developing new product candidates;</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including our licensed intellectual property;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defending against third-party interference or infringement claims, if any;</w:t>
      </w:r>
    </w:p>
    <w:p>
      <w:pPr>
        <w:spacing w:after="0" w:line="117"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8"/>
          <w:szCs w:val="18"/>
          <w:color w:val="auto"/>
        </w:rPr>
      </w:pPr>
    </w:p>
    <w:p>
      <w:pPr>
        <w:ind w:left="1000" w:right="8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that may be necessary to develop, manufacture or commercialize our product candidate;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ALX148, which is in clinical development and which has not completed a pivotal trial. If we do not obtain regulatory approval for and successfully commercialize ALX148 in one or more indications, or we experience significant delays in doing so, we may never generate any revenue or become profitable.</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ALX148, in our ongoing clinical trials. As a result, our business currently depends heavily on the successful development, regulatory approval and, if approved, commercialization of ALX148 in one or more of these indications, such as myelodysplastic syndromes, or MDS, acute myeloid leukemia, or AML, head and neck squamous cell carcinoma, or HNSCC, or gastric/gastroesophageal junction, or GEJ, carcinoma. We cannot be certain that ALX148 will receive regulatory approval or will be successfully commercialized even if it receives regulatory approval. The research, testing, manufacturing, safety, efficacy and potency, labeling, approval, sale, marketing and distribution of ALX148 is, and will remain, subject to comprehensive regulation by the FDA and similar foreign regulatory authorities. Our failure to timely complete clinical trials, obtain regulatory approval or, if approved, commercialize ALX148 or any of our future product candidates, would materially harm our business, financial condition and results of operations. We are not permitted to market or promote ALX148, or any other product candidate, before we receive marketing approval from the FDA and comparable foreign regulatory authorities, and we may never receive such marketing approvals. If we do not receive marketing approvals for ALX148, we may not be able to continue our operations.</w:t>
      </w:r>
    </w:p>
    <w:p>
      <w:pPr>
        <w:spacing w:after="0" w:line="28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4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64"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ALX148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286"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38"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ind w:right="220" w:firstLine="510"/>
        <w:spacing w:after="0" w:line="277" w:lineRule="auto"/>
        <w:rPr>
          <w:sz w:val="20"/>
          <w:szCs w:val="20"/>
          <w:color w:val="auto"/>
        </w:rPr>
      </w:pPr>
      <w:r>
        <w:rPr>
          <w:rFonts w:ascii="Arial" w:cs="Arial" w:eastAsia="Arial" w:hAnsi="Arial"/>
          <w:sz w:val="18"/>
          <w:szCs w:val="18"/>
          <w:color w:val="auto"/>
        </w:rPr>
        <w:t>We do not know whether our future clinical trials will begin on time or enroll patients on time or whether our ongoing and/or future clinical trials will be completed on schedule or at all. Clinical trials can be delayed for a variety of reasons, including delays related to:</w:t>
      </w:r>
    </w:p>
    <w:p>
      <w:pPr>
        <w:spacing w:after="0" w:line="62"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approval to commence a clinical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institutional review board approval at each clinical trial site;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necessary new clinical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failing in having clinical trial sites or patients comply with trial protocols;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suffering clinical trial sites or patients dropping out of trials;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clinical trials.</w:t>
      </w:r>
    </w:p>
    <w:p>
      <w:pPr>
        <w:spacing w:after="0" w:line="225"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2"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drug development programs;</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subjects dropping out of these clinical trials at a higher rate than anticipated;</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clinical trials due to outbreaks or public health crises, such as the COVID-19 pandemic, that impact both trial site operations and patient selection;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third-party contractors failing to comply with regulatory requirements or meet their contractual obligations to us in a timely manner, or at all;</w:t>
      </w:r>
    </w:p>
    <w:p>
      <w:pPr>
        <w:spacing w:after="0" w:line="140" w:lineRule="exact"/>
        <w:rPr>
          <w:rFonts w:ascii="Arial" w:cs="Arial" w:eastAsia="Arial" w:hAnsi="Arial"/>
          <w:sz w:val="16"/>
          <w:szCs w:val="16"/>
          <w:color w:val="auto"/>
        </w:rPr>
      </w:pPr>
    </w:p>
    <w:p>
      <w:pPr>
        <w:ind w:left="1000" w:right="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are greater than anticipated;</w:t>
      </w:r>
    </w:p>
    <w:p>
      <w:pPr>
        <w:spacing w:after="0" w:line="117" w:lineRule="exact"/>
        <w:rPr>
          <w:rFonts w:ascii="Arial" w:cs="Arial" w:eastAsia="Arial" w:hAnsi="Arial"/>
          <w:sz w:val="18"/>
          <w:szCs w:val="18"/>
          <w:color w:val="auto"/>
        </w:rPr>
      </w:pPr>
    </w:p>
    <w:p>
      <w:pPr>
        <w:ind w:left="1000" w:right="6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225"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84" w:lineRule="exact"/>
        <w:rPr>
          <w:sz w:val="20"/>
          <w:szCs w:val="20"/>
          <w:color w:val="auto"/>
        </w:rPr>
      </w:pPr>
    </w:p>
    <w:p>
      <w:pPr>
        <w:ind w:right="640" w:firstLine="510"/>
        <w:spacing w:after="0" w:line="277" w:lineRule="auto"/>
        <w:rPr>
          <w:sz w:val="20"/>
          <w:szCs w:val="20"/>
          <w:color w:val="auto"/>
        </w:rPr>
      </w:pPr>
      <w:r>
        <w:rPr>
          <w:rFonts w:ascii="Arial" w:cs="Arial" w:eastAsia="Arial" w:hAnsi="Arial"/>
          <w:sz w:val="18"/>
          <w:szCs w:val="18"/>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27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and/or retention of patients in clinical trials, our regulatory submissions or receipt of necessary marketing approvals could be delayed or prevented.</w:t>
      </w:r>
    </w:p>
    <w:p>
      <w:pPr>
        <w:spacing w:after="0" w:line="6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international regulatory authorities. Patient enrollment is a significant factor in the timing of clinical trials. In particular, because certain of our clinical trials of ALX148 are focused on indications with small patient populations, our ability to enroll eligible patients may be limited or may result in slower enrollment than we anticipate. Patient 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may also be affected by other factors, including:</w:t>
      </w:r>
    </w:p>
    <w:p>
      <w:pPr>
        <w:spacing w:after="0" w:line="87"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2" w:name="page43"/>
    <w:bookmarkEnd w:id="42"/>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availability and efficacy or potency of approved drugs for the disease under investigation;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 by us and the clinical trial sites;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proximity of clinical trial sites to prospective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of patients enrolled in clinical trials dropping out before completion; and</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or delay in enrollment of patients due to a variety of reasons, including outbreaks and public health crises, such as the COVID-19 pandemic.</w:t>
      </w:r>
    </w:p>
    <w:p>
      <w:pPr>
        <w:spacing w:after="0" w:line="170"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292"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2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76"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If ALX148 and any of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occurred across each of the trial cohorts in our ALX148 combination clinical trials with pembrolizumab, trastuzumab and rituximab in a heavily pre-treated group of subjects who are typical participants in early stage cancer trials and are often hematologically fragile at baseline. Subjects in our ALX148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patient recruitment or the ability of enrolled subjects to complete the trial or result in potential product liability claims. Any adverse events as a result of ALX148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ind w:right="2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77"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Arch Therapeutics, Bristol Myers Squibb, Gilead Sciences (through its recent acquisition of Forty Seven), I-Mab, Novimmune, OSE Immunotherapeutics, Seattle Genetics, Surface Oncology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4" w:lineRule="exact"/>
        <w:rPr>
          <w:sz w:val="20"/>
          <w:szCs w:val="20"/>
          <w:color w:val="auto"/>
        </w:rPr>
      </w:pPr>
    </w:p>
    <w:p>
      <w:pPr>
        <w:ind w:right="260" w:firstLine="510"/>
        <w:spacing w:after="0" w:line="255" w:lineRule="auto"/>
        <w:rPr>
          <w:sz w:val="20"/>
          <w:szCs w:val="20"/>
          <w:color w:val="auto"/>
        </w:rPr>
      </w:pPr>
      <w:r>
        <w:rPr>
          <w:rFonts w:ascii="Arial" w:cs="Arial" w:eastAsia="Arial" w:hAnsi="Arial"/>
          <w:sz w:val="18"/>
          <w:szCs w:val="18"/>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ALX148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9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7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could see a reduction or elimination of our commercial opportunity if our competitors develop and commercialize products that are safer, more effective,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Even if our product candidates receive regulatory approval, they will be subject to significant post-marketing regulatory requirements and oversight.</w:t>
      </w:r>
    </w:p>
    <w:p>
      <w:pPr>
        <w:spacing w:after="0" w:line="152"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firstLine="510"/>
        <w:spacing w:after="0" w:line="293" w:lineRule="auto"/>
        <w:rPr>
          <w:sz w:val="20"/>
          <w:szCs w:val="20"/>
          <w:color w:val="auto"/>
        </w:rPr>
      </w:pPr>
      <w:r>
        <w:rPr>
          <w:rFonts w:ascii="Arial" w:cs="Arial" w:eastAsia="Arial" w:hAnsi="Arial"/>
          <w:sz w:val="16"/>
          <w:szCs w:val="16"/>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56"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or the rejection of product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our ability to conduct clinical trials, including full or partial clinical holds on ongoing or planned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products, manufacturers or manufacturing process;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civil and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suspension or withdrawal of regulatory approvals;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seizures, detentions or import bans;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or partial suspension of production;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imposition of restrictions on operations, including costly new manufacturing requirements.</w:t>
      </w:r>
    </w:p>
    <w:p>
      <w:pPr>
        <w:spacing w:after="0" w:line="22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occurrence of any of these sanctions, enforcement actions, or penalties described above may inhibit our ability to commercialize our product candidates, even if approved, and generate revenue.</w:t>
      </w:r>
    </w:p>
    <w:p>
      <w:pPr>
        <w:spacing w:after="0" w:line="27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rely on Tallac Therapeutics, a third-party service provider, to conduct substantially all of our preclinical research activities. If Tallac Therapeutics does not successfully carry out its contractual duties or meet expected deadlines, there may be disruptions or delays to our development pipeline and our business could be substantially harmed.</w:t>
      </w:r>
    </w:p>
    <w:p>
      <w:pPr>
        <w:spacing w:after="0" w:line="7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We do not have the ability to independently conduct our preclinical research activities as we rely on a third-party service provider to conduct all of our preclinical research activities. Effective as of July 1, 2020, we transferred all of our preclinical research capabilities and nine of our employees, including our former Chief Scientific Officer, Dr. Hong Wan, to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w:t>
      </w:r>
    </w:p>
    <w:p>
      <w:pPr>
        <w:spacing w:after="0" w:line="176"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their or our preclinical protocols, regulatory requirements or for other reasons, our preclinical research efforts and studies may be extended, delayed or terminated, and there may be disruptions or delays to our development pipeline. As a result, our product candidate research and development efforts may be delayed or harmed, and our costs could increase and our future ability to generate revenues could be delayed.</w:t>
      </w:r>
    </w:p>
    <w:p>
      <w:pPr>
        <w:spacing w:after="0" w:line="176"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preclinical research efforts and studies. If Tallac Therapeutics fails to devote sufficient resources to the research and development of our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5" w:name="page46"/>
    <w:bookmarkEnd w:id="45"/>
    <w:p>
      <w:pPr>
        <w:ind w:firstLine="510"/>
        <w:spacing w:after="0" w:line="254" w:lineRule="auto"/>
        <w:rPr>
          <w:sz w:val="20"/>
          <w:szCs w:val="20"/>
          <w:color w:val="auto"/>
        </w:rPr>
      </w:pPr>
      <w:r>
        <w:rPr>
          <w:rFonts w:ascii="Arial" w:cs="Arial" w:eastAsia="Arial" w:hAnsi="Arial"/>
          <w:sz w:val="18"/>
          <w:szCs w:val="18"/>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or adding additional preclinical research providers will involve additional costs and divert our management’s time and focus. In addition, there is a natural transition period when a new service provider commences work.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on an accelerated timeline and on even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192"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300" w:lineRule="exact"/>
        <w:rPr>
          <w:sz w:val="20"/>
          <w:szCs w:val="20"/>
          <w:color w:val="auto"/>
        </w:rPr>
      </w:pPr>
    </w:p>
    <w:p>
      <w:pPr>
        <w:jc w:val="both"/>
        <w:ind w:right="12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23"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66"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68"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jc w:val="both"/>
        <w:ind w:right="180" w:firstLine="510"/>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modifications in the methods of product candidate manufacturing or formulation may result in additional costs or delay.</w:t>
      </w:r>
    </w:p>
    <w:p>
      <w:pPr>
        <w:spacing w:after="0" w:line="117"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third-party combination drugs may materially and adversely affect demand for our product candidates.</w:t>
      </w:r>
    </w:p>
    <w:p>
      <w:pPr>
        <w:spacing w:after="0" w:line="11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Our product candidates may be administered in combination with drugs of other pharmaceutical companies as one regimen. In addition, we plan to use third-party drugs in our development and clinical trials as controls for our studies, such as our current plans to conduct Phase 2 clinical trial of ALX148 in combination with pembrolizumab for HNSCC and trastuzumab for gastric/GEJ carcinoma. As a result, both the results of our clinical trials and the sales of our drugs may be affected by the availability of these third-party drugs. 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2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63"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patients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8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7" w:name="page48"/>
    <w:bookmarkEnd w:id="47"/>
    <w:p>
      <w:pPr>
        <w:ind w:right="360" w:firstLine="510"/>
        <w:spacing w:after="0" w:line="277" w:lineRule="auto"/>
        <w:rPr>
          <w:sz w:val="20"/>
          <w:szCs w:val="20"/>
          <w:color w:val="auto"/>
        </w:rPr>
      </w:pPr>
      <w:r>
        <w:rPr>
          <w:rFonts w:ascii="Arial" w:cs="Arial" w:eastAsia="Arial" w:hAnsi="Arial"/>
          <w:sz w:val="18"/>
          <w:szCs w:val="18"/>
          <w:color w:val="auto"/>
        </w:rPr>
        <w:t>Our business also may be implicated if any of our CROs violates fraud and abuse or false claims laws and regulations or healthcare privacy and security laws.</w:t>
      </w:r>
    </w:p>
    <w:p>
      <w:pPr>
        <w:spacing w:after="0" w:line="170"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2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6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ALX148 and any other product candidates, if any are approved, will depend on a number of factors, including, among others:</w:t>
      </w:r>
    </w:p>
    <w:p>
      <w:pPr>
        <w:spacing w:after="0" w:line="63" w:lineRule="exact"/>
        <w:rPr>
          <w:sz w:val="20"/>
          <w:szCs w:val="20"/>
          <w:color w:val="auto"/>
        </w:rPr>
      </w:pPr>
    </w:p>
    <w:p>
      <w:pPr>
        <w:ind w:left="1000" w:right="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of ALX148 and our other product candidates to treat cancer or other applicable targeted diseases, as compared with other available drugs, treatments or therapies;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ALX148 and our other product candidates;</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ALX148 or our other product candidates by the FDA or foreign regulatory authorities;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128" w:lineRule="exact"/>
        <w:rPr>
          <w:rFonts w:ascii="Arial" w:cs="Arial" w:eastAsia="Arial" w:hAnsi="Arial"/>
          <w:sz w:val="17"/>
          <w:szCs w:val="17"/>
          <w:color w:val="auto"/>
        </w:rPr>
      </w:pPr>
    </w:p>
    <w:p>
      <w:pPr>
        <w:ind w:left="1000" w:right="6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size of the target patient population and the willingness of the target patient population to try new therapies and of physicians to prescribe these therapies;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strength and effectiveness of marketing and distribution support and timing of market introduction of competitive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and cost-effectiveness in relation to alternative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117"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 and the willingness of patients to pay out-of-pocket in the absence of third-party coverage; and</w:t>
      </w:r>
    </w:p>
    <w:p>
      <w:pPr>
        <w:spacing w:after="0" w:line="62"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likelihood that the FDA or any foreign regulatory authority may impose additional requirements that limit the promotion, advertising, distribution or sales of our product candidates.</w:t>
      </w:r>
    </w:p>
    <w:p>
      <w:pPr>
        <w:spacing w:after="0" w:line="170"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ALX148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8" w:name="page49"/>
    <w:bookmarkEnd w:id="48"/>
    <w:p>
      <w:pPr>
        <w:ind w:right="80" w:firstLine="510"/>
        <w:spacing w:after="0" w:line="277" w:lineRule="auto"/>
        <w:rPr>
          <w:sz w:val="20"/>
          <w:szCs w:val="20"/>
          <w:color w:val="auto"/>
        </w:rPr>
      </w:pPr>
      <w:r>
        <w:rPr>
          <w:rFonts w:ascii="Arial" w:cs="Arial" w:eastAsia="Arial" w:hAnsi="Arial"/>
          <w:sz w:val="18"/>
          <w:szCs w:val="18"/>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2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8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85" w:lineRule="exact"/>
        <w:rPr>
          <w:sz w:val="20"/>
          <w:szCs w:val="20"/>
          <w:color w:val="auto"/>
        </w:rPr>
      </w:pPr>
    </w:p>
    <w:p>
      <w:pPr>
        <w:ind w:right="200" w:firstLine="510"/>
        <w:spacing w:after="0" w:line="271"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opportunities for the product candidates we develop, if approved, may be limited to certain smaller patient subsets.</w:t>
      </w:r>
    </w:p>
    <w:p>
      <w:pPr>
        <w:spacing w:after="0" w:line="117"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2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79" w:lineRule="exact"/>
        <w:rPr>
          <w:sz w:val="20"/>
          <w:szCs w:val="20"/>
          <w:color w:val="auto"/>
        </w:rPr>
      </w:pPr>
    </w:p>
    <w:p>
      <w:pPr>
        <w:ind w:right="200" w:firstLine="510"/>
        <w:spacing w:after="0" w:line="291" w:lineRule="auto"/>
        <w:rPr>
          <w:sz w:val="20"/>
          <w:szCs w:val="20"/>
          <w:color w:val="auto"/>
        </w:rPr>
      </w:pPr>
      <w:r>
        <w:rPr>
          <w:rFonts w:ascii="Arial" w:cs="Arial" w:eastAsia="Arial" w:hAnsi="Arial"/>
          <w:sz w:val="16"/>
          <w:szCs w:val="16"/>
          <w:color w:val="auto"/>
        </w:rPr>
        <w:t>Our lead product candidate, ALX148, is at an early stage of clinical development and not all adverse effects can be predicted or anticipated. Unforeseen side effects from ALX148 or any of our future product candidates may arise at any time during clinical development or, if approved by regulatory authorities, after the approved drug product has been marketed. Any undesirable or unacceptable side effects of ALX148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66"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Even if any of our product candidates receive marketing approval, if we or others later identify undesirable or unacceptable side effects caused by such products:</w:t>
      </w:r>
    </w:p>
    <w:p>
      <w:pPr>
        <w:spacing w:after="0" w:line="62"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contraindication, precaution or field alerts to physicians and pharmacies;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ind w:left="1000" w:right="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limit the patient population who can use the product or conduct additional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23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78"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6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9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69"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obtain and maintain coverage and adequate reimbursement for a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level of taxes that we are required to pay.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38"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57"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the drug from the market or voluntary or mandatory product recalls;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fines, warning letters or holds on clinical trials;</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by the FDA or any other applicable regulatory authority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drug product seizure or detention, or refusal to permit the import or export of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269" w:lineRule="exact"/>
        <w:rPr>
          <w:sz w:val="20"/>
          <w:szCs w:val="20"/>
          <w:color w:val="auto"/>
        </w:rPr>
      </w:pPr>
    </w:p>
    <w:p>
      <w:pPr>
        <w:spacing w:after="0" w:line="340" w:lineRule="auto"/>
        <w:rPr>
          <w:sz w:val="20"/>
          <w:szCs w:val="20"/>
          <w:color w:val="auto"/>
        </w:rPr>
      </w:pPr>
      <w:r>
        <w:rPr>
          <w:rFonts w:ascii="Arial" w:cs="Arial" w:eastAsia="Arial" w:hAnsi="Arial"/>
          <w:sz w:val="15"/>
          <w:szCs w:val="15"/>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23"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right="60"/>
        <w:spacing w:after="0" w:line="255" w:lineRule="auto"/>
        <w:rPr>
          <w:sz w:val="20"/>
          <w:szCs w:val="20"/>
          <w:color w:val="auto"/>
        </w:rPr>
      </w:pPr>
      <w:r>
        <w:rPr>
          <w:rFonts w:ascii="Arial" w:cs="Arial" w:eastAsia="Arial" w:hAnsi="Arial"/>
          <w:sz w:val="18"/>
          <w:szCs w:val="18"/>
          <w:color w:val="auto"/>
        </w:rPr>
        <w:t>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ALX148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Applications for our product candidates could fail to receive regulatory approval for many reasons, including but not limited to the following:</w:t>
      </w:r>
    </w:p>
    <w:p>
      <w:pPr>
        <w:spacing w:after="0" w:line="117"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128" w:lineRule="exact"/>
        <w:rPr>
          <w:rFonts w:ascii="Arial" w:cs="Arial" w:eastAsia="Arial" w:hAnsi="Arial"/>
          <w:sz w:val="17"/>
          <w:szCs w:val="17"/>
          <w:color w:val="auto"/>
        </w:rPr>
      </w:pPr>
    </w:p>
    <w:p>
      <w:pPr>
        <w:ind w:left="1000" w:right="160" w:hanging="493"/>
        <w:spacing w:after="0" w:line="263"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75"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potency and safety in the full population for which we seek approval;</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international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00" w:right="560" w:hanging="493"/>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15" w:lineRule="exact"/>
        <w:rPr>
          <w:rFonts w:ascii="Arial" w:cs="Arial" w:eastAsia="Arial" w:hAnsi="Arial"/>
          <w:sz w:val="16"/>
          <w:szCs w:val="16"/>
          <w:color w:val="auto"/>
        </w:rPr>
      </w:pPr>
    </w:p>
    <w:p>
      <w:pPr>
        <w:ind w:left="1000" w:right="16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international regulatory authorities that a product candidate’s risk-benefit ratio for its proposed indication is acceptable;</w:t>
      </w:r>
    </w:p>
    <w:p>
      <w:pPr>
        <w:spacing w:after="0" w:line="62" w:lineRule="exact"/>
        <w:rPr>
          <w:rFonts w:ascii="Arial" w:cs="Arial" w:eastAsia="Arial" w:hAnsi="Arial"/>
          <w:sz w:val="18"/>
          <w:szCs w:val="18"/>
          <w:color w:val="auto"/>
        </w:rPr>
      </w:pPr>
    </w:p>
    <w:p>
      <w:pPr>
        <w:ind w:left="1000" w:right="920" w:hanging="493"/>
        <w:spacing w:after="0" w:line="342"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15" w:lineRule="exact"/>
        <w:rPr>
          <w:rFonts w:ascii="Arial" w:cs="Arial" w:eastAsia="Arial" w:hAnsi="Arial"/>
          <w:sz w:val="16"/>
          <w:szCs w:val="16"/>
          <w:color w:val="auto"/>
        </w:rPr>
      </w:pPr>
    </w:p>
    <w:p>
      <w:pPr>
        <w:ind w:left="10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international foreign regulatory authorities may significantly change in a manner rendering our clinical data insufficient for approval.</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8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2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 February 2020, the FDA granted Fast Track designations to ALX148 for first-line HNSCC and for second-line treatment of advanced human epidermal growth factor receptor 2, or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ALX148,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3" w:right="379" w:bottom="1440" w:gutter="0" w:footer="0" w:header="0"/>
        </w:sectPr>
      </w:pPr>
    </w:p>
    <w:bookmarkStart w:id="52" w:name="page53"/>
    <w:bookmarkEnd w:id="52"/>
    <w:p>
      <w:pPr>
        <w:ind w:right="380"/>
        <w:spacing w:after="0" w:line="277" w:lineRule="auto"/>
        <w:rPr>
          <w:sz w:val="20"/>
          <w:szCs w:val="20"/>
          <w:color w:val="auto"/>
        </w:rPr>
      </w:pPr>
      <w:r>
        <w:rPr>
          <w:rFonts w:ascii="Arial" w:cs="Arial" w:eastAsia="Arial" w:hAnsi="Arial"/>
          <w:sz w:val="18"/>
          <w:szCs w:val="18"/>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2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6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8"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68"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our drugs, if we obtain regulatory approval;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receive or set a price that we believe is fair for our drugs;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March 2020, the U.S. Supreme Court agreed to hear the case, which is expected to occur in the fall of 2020.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p>
      <w:pPr>
        <w:ind w:right="140" w:firstLine="510"/>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81" w:lineRule="exact"/>
        <w:rPr>
          <w:sz w:val="20"/>
          <w:szCs w:val="20"/>
          <w:color w:val="auto"/>
        </w:rPr>
      </w:pPr>
    </w:p>
    <w:p>
      <w:pPr>
        <w:ind w:firstLine="510"/>
        <w:spacing w:after="0" w:line="267" w:lineRule="auto"/>
        <w:rPr>
          <w:sz w:val="20"/>
          <w:szCs w:val="20"/>
          <w:color w:val="auto"/>
        </w:rPr>
      </w:pPr>
      <w:r>
        <w:rPr>
          <w:rFonts w:ascii="Arial" w:cs="Arial" w:eastAsia="Arial" w:hAnsi="Arial"/>
          <w:sz w:val="17"/>
          <w:szCs w:val="17"/>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Medicare Part D beneficiary monthly out-of-pocket expenses, and place limits on pharmaceutical price increases.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out-of-pocket costs of drug products paid by consumers. The HHS has solicited feedback on some of these measures and, at the same, has implemented others under its existing authority. For example, in May 2019, CMS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they would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88" w:lineRule="exact"/>
        <w:rPr>
          <w:sz w:val="20"/>
          <w:szCs w:val="20"/>
          <w:color w:val="auto"/>
        </w:rPr>
      </w:pPr>
    </w:p>
    <w:p>
      <w:pPr>
        <w:jc w:val="both"/>
        <w:ind w:right="160" w:firstLine="510"/>
        <w:spacing w:after="0" w:line="272"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7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4" w:name="page55"/>
    <w:bookmarkEnd w:id="54"/>
    <w:p>
      <w:pPr>
        <w:ind w:right="120" w:firstLine="510"/>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2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9"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physicians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74" w:lineRule="exact"/>
        <w:rPr>
          <w:sz w:val="20"/>
          <w:szCs w:val="20"/>
          <w:color w:val="auto"/>
        </w:rPr>
      </w:pPr>
    </w:p>
    <w:p>
      <w:pPr>
        <w:ind w:left="1000" w:hanging="493"/>
        <w:spacing w:after="0" w:line="273"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w:t>
      </w:r>
    </w:p>
    <w:p>
      <w:pPr>
        <w:spacing w:after="0" w:line="69" w:lineRule="exact"/>
        <w:rPr>
          <w:rFonts w:ascii="Arial" w:cs="Arial" w:eastAsia="Arial" w:hAnsi="Arial"/>
          <w:sz w:val="17"/>
          <w:szCs w:val="17"/>
          <w:color w:val="auto"/>
        </w:rPr>
      </w:pPr>
    </w:p>
    <w:p>
      <w:pPr>
        <w:ind w:left="1000" w:hanging="493"/>
        <w:spacing w:after="0" w:line="275"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civil and criminal false claims, including the civil False Claims Act, or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68" w:lineRule="exact"/>
        <w:rPr>
          <w:rFonts w:ascii="Arial" w:cs="Arial" w:eastAsia="Arial" w:hAnsi="Arial"/>
          <w:sz w:val="17"/>
          <w:szCs w:val="17"/>
          <w:color w:val="auto"/>
        </w:rPr>
      </w:pPr>
    </w:p>
    <w:p>
      <w:pPr>
        <w:ind w:left="1000" w:right="160" w:hanging="493"/>
        <w:spacing w:after="0" w:line="275"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68" w:lineRule="exact"/>
        <w:rPr>
          <w:rFonts w:ascii="Arial" w:cs="Arial" w:eastAsia="Arial" w:hAnsi="Arial"/>
          <w:sz w:val="17"/>
          <w:szCs w:val="17"/>
          <w:color w:val="auto"/>
        </w:rPr>
      </w:pPr>
    </w:p>
    <w:p>
      <w:pPr>
        <w:ind w:left="1000" w:right="140" w:hanging="493"/>
        <w:spacing w:after="0" w:line="275"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8" w:lineRule="exact"/>
        <w:rPr>
          <w:rFonts w:ascii="Arial" w:cs="Arial" w:eastAsia="Arial" w:hAnsi="Arial"/>
          <w:sz w:val="17"/>
          <w:szCs w:val="17"/>
          <w:color w:val="auto"/>
        </w:rPr>
      </w:pPr>
    </w:p>
    <w:p>
      <w:pPr>
        <w:ind w:left="1000" w:right="20" w:hanging="493"/>
        <w:spacing w:after="0" w:line="291"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6"/>
          <w:szCs w:val="16"/>
          <w:i w:val="1"/>
          <w:iCs w:val="1"/>
          <w:color w:val="auto"/>
        </w:rPr>
        <w:t>i.e.</w:t>
      </w:r>
      <w:r>
        <w:rPr>
          <w:rFonts w:ascii="Arial" w:cs="Arial" w:eastAsia="Arial" w:hAnsi="Arial"/>
          <w:sz w:val="16"/>
          <w:szCs w:val="16"/>
          <w:color w:val="auto"/>
        </w:rPr>
        <w:t>, health plans, healthcare clearinghouses and healthcare providers, as well as their business associates that perform certain services for or on their behalf involving the use or disclosure of individually identifiable health information with respect to safeguarding the privacy, security and transmission of individually identifiable health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left="1000" w:right="5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 Federal Food, Drug and Cosmetic Act prohibits, among other things, the adulteration or misbranding of drugs, biologics and medical devices.</w:t>
      </w:r>
    </w:p>
    <w:p>
      <w:pPr>
        <w:spacing w:after="0" w:line="62" w:lineRule="exact"/>
        <w:rPr>
          <w:rFonts w:ascii="Arial" w:cs="Arial" w:eastAsia="Arial" w:hAnsi="Arial"/>
          <w:sz w:val="18"/>
          <w:szCs w:val="18"/>
          <w:color w:val="auto"/>
        </w:rPr>
      </w:pPr>
    </w:p>
    <w:p>
      <w:pPr>
        <w:ind w:left="1000" w:right="60" w:hanging="493"/>
        <w:spacing w:after="0" w:line="290"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for physicians under the Physician Payments Sunshine Act to physician assistants, nurse practitioners and other mid-level practitioners, with reporting requirements going into effect in 2022 for payments made in 2021.</w:t>
      </w:r>
    </w:p>
    <w:p>
      <w:pPr>
        <w:spacing w:after="0" w:line="57" w:lineRule="exact"/>
        <w:rPr>
          <w:rFonts w:ascii="Arial" w:cs="Arial" w:eastAsia="Arial" w:hAnsi="Arial"/>
          <w:sz w:val="16"/>
          <w:szCs w:val="16"/>
          <w:color w:val="auto"/>
        </w:rPr>
      </w:pPr>
    </w:p>
    <w:p>
      <w:pPr>
        <w:ind w:left="1000" w:right="220" w:hanging="493"/>
        <w:spacing w:after="0" w:line="273"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69" w:lineRule="exact"/>
        <w:rPr>
          <w:rFonts w:ascii="Arial" w:cs="Arial" w:eastAsia="Arial" w:hAnsi="Arial"/>
          <w:sz w:val="17"/>
          <w:szCs w:val="17"/>
          <w:color w:val="auto"/>
        </w:rPr>
      </w:pPr>
    </w:p>
    <w:p>
      <w:pPr>
        <w:ind w:left="1000" w:right="60" w:hanging="493"/>
        <w:spacing w:after="0" w:line="289"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58" w:lineRule="exact"/>
        <w:rPr>
          <w:rFonts w:ascii="Arial" w:cs="Arial" w:eastAsia="Arial" w:hAnsi="Arial"/>
          <w:sz w:val="16"/>
          <w:szCs w:val="16"/>
          <w:color w:val="auto"/>
        </w:rPr>
      </w:pPr>
    </w:p>
    <w:p>
      <w:pPr>
        <w:ind w:left="1000" w:right="28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European and other foreign law equivalents of each of the laws also impose legal requirements, including reporting requirements detailing interactions with and payments to healthcare providers.</w:t>
      </w:r>
    </w:p>
    <w:p>
      <w:pPr>
        <w:spacing w:after="0" w:line="170"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2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ind w:right="160"/>
        <w:spacing w:after="0" w:line="271" w:lineRule="auto"/>
        <w:rPr>
          <w:sz w:val="20"/>
          <w:szCs w:val="20"/>
          <w:color w:val="auto"/>
        </w:rPr>
      </w:pPr>
      <w:r>
        <w:rPr>
          <w:rFonts w:ascii="Arial" w:cs="Arial" w:eastAsia="Arial" w:hAnsi="Arial"/>
          <w:sz w:val="17"/>
          <w:szCs w:val="17"/>
          <w:color w:val="auto"/>
        </w:rPr>
        <w:t>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276"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300"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76"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business activities may be subject to the U.S.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77" w:lineRule="exact"/>
        <w:rPr>
          <w:sz w:val="20"/>
          <w:szCs w:val="20"/>
          <w:color w:val="auto"/>
        </w:rPr>
      </w:pPr>
    </w:p>
    <w:p>
      <w:pPr>
        <w:ind w:right="220" w:firstLine="510"/>
        <w:spacing w:after="0" w:line="254" w:lineRule="auto"/>
        <w:rPr>
          <w:sz w:val="20"/>
          <w:szCs w:val="20"/>
          <w:color w:val="auto"/>
        </w:rPr>
      </w:pPr>
      <w:r>
        <w:rPr>
          <w:rFonts w:ascii="Arial" w:cs="Arial" w:eastAsia="Arial" w:hAnsi="Arial"/>
          <w:sz w:val="18"/>
          <w:szCs w:val="18"/>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7" w:name="page58"/>
    <w:bookmarkEnd w:id="57"/>
    <w:p>
      <w:pPr>
        <w:spacing w:after="0" w:line="271" w:lineRule="auto"/>
        <w:rPr>
          <w:sz w:val="20"/>
          <w:szCs w:val="20"/>
          <w:color w:val="auto"/>
        </w:rPr>
      </w:pPr>
      <w:r>
        <w:rPr>
          <w:rFonts w:ascii="Arial" w:cs="Arial" w:eastAsia="Arial" w:hAnsi="Arial"/>
          <w:sz w:val="17"/>
          <w:szCs w:val="17"/>
          <w:color w:val="auto"/>
        </w:rPr>
        <w:t>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7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62"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186"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As we expand our operations, preclinical studies and clinical trials, the CCPA may increase our compliance costs and potential liability. Other states are beginning to consider and pass similar laws.</w:t>
      </w:r>
    </w:p>
    <w:p>
      <w:pPr>
        <w:spacing w:after="0" w:line="166"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obtain, maintain and enforce patent protection for our product candidates and related technology, our business could be materially harmed.</w:t>
      </w:r>
    </w:p>
    <w:p>
      <w:pPr>
        <w:spacing w:after="0" w:line="62"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8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claims we ultimately get allowed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post-grant review, opposition or derivation proceedings challenging our patent rights or the patent rights of others.</w:t>
      </w:r>
    </w:p>
    <w:p>
      <w:pPr>
        <w:spacing w:after="0" w:line="192"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68"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59" w:name="page60"/>
    <w:bookmarkEnd w:id="59"/>
    <w:p>
      <w:pPr>
        <w:ind w:right="100"/>
        <w:spacing w:after="0" w:line="259" w:lineRule="auto"/>
        <w:rPr>
          <w:sz w:val="20"/>
          <w:szCs w:val="20"/>
          <w:color w:val="auto"/>
        </w:rPr>
      </w:pPr>
      <w:r>
        <w:rPr>
          <w:rFonts w:ascii="Arial" w:cs="Arial" w:eastAsia="Arial" w:hAnsi="Arial"/>
          <w:sz w:val="18"/>
          <w:szCs w:val="18"/>
          <w:color w:val="auto"/>
        </w:rPr>
        <w:t>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87"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9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30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6"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7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Changes in patent laws or patent jurisprudence could diminish the value of patents in general, thereby impairing our ability to protect our product candidates.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77"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60" w:name="page61"/>
    <w:bookmarkEnd w:id="60"/>
    <w:p>
      <w:pPr>
        <w:jc w:val="both"/>
        <w:ind w:right="120" w:firstLine="510"/>
        <w:spacing w:after="0" w:line="285" w:lineRule="auto"/>
        <w:rPr>
          <w:sz w:val="20"/>
          <w:szCs w:val="20"/>
          <w:color w:val="auto"/>
        </w:rPr>
      </w:pPr>
      <w:r>
        <w:rPr>
          <w:rFonts w:ascii="Arial" w:cs="Arial" w:eastAsia="Arial" w:hAnsi="Arial"/>
          <w:sz w:val="16"/>
          <w:szCs w:val="16"/>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6"/>
          <w:szCs w:val="16"/>
          <w:i w:val="1"/>
          <w:iCs w:val="1"/>
          <w:color w:val="auto"/>
        </w:rPr>
        <w:t>e.g.</w:t>
      </w:r>
      <w:r>
        <w:rPr>
          <w:rFonts w:ascii="Arial" w:cs="Arial" w:eastAsia="Arial" w:hAnsi="Arial"/>
          <w:sz w:val="16"/>
          <w:szCs w:val="16"/>
          <w:color w:val="auto"/>
        </w:rPr>
        <w:t xml:space="preserve">, via post-grant reviews or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Accordingly, a third party may attempt to use the USPTO procedures to invalidate our patent claims that would not have been invalidated if first challenged by the third party as a defendant in a district court action.</w:t>
      </w:r>
    </w:p>
    <w:p>
      <w:pPr>
        <w:spacing w:after="0" w:line="185" w:lineRule="exact"/>
        <w:rPr>
          <w:sz w:val="20"/>
          <w:szCs w:val="20"/>
          <w:color w:val="auto"/>
        </w:rPr>
      </w:pPr>
    </w:p>
    <w:p>
      <w:pPr>
        <w:jc w:val="both"/>
        <w:ind w:right="540" w:firstLine="510"/>
        <w:spacing w:after="0" w:line="263" w:lineRule="auto"/>
        <w:rPr>
          <w:sz w:val="20"/>
          <w:szCs w:val="20"/>
          <w:color w:val="auto"/>
        </w:rPr>
      </w:pPr>
      <w:r>
        <w:rPr>
          <w:rFonts w:ascii="Arial" w:cs="Arial" w:eastAsia="Arial" w:hAnsi="Arial"/>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patents covering one or more of our product candidates could be found invalid or unenforceable if challenged.</w:t>
      </w:r>
    </w:p>
    <w:p>
      <w:pPr>
        <w:spacing w:after="0" w:line="117"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1"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9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17"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protection, prosecution, assertion and defense for some of our product candidates may be dependent on third parties.</w:t>
      </w:r>
    </w:p>
    <w:p>
      <w:pPr>
        <w:spacing w:after="0" w:line="117"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ind w:right="68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62"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390"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lawsuits to protect or enforce our patents and trade secrets, which could be expensive, time-consuming and unsuccessful.</w:t>
      </w:r>
    </w:p>
    <w:p>
      <w:pPr>
        <w:spacing w:after="0" w:line="15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85"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right="380" w:firstLine="510"/>
        <w:spacing w:after="0" w:line="277" w:lineRule="auto"/>
        <w:rPr>
          <w:sz w:val="20"/>
          <w:szCs w:val="20"/>
          <w:color w:val="auto"/>
        </w:rPr>
      </w:pPr>
      <w:r>
        <w:rPr>
          <w:rFonts w:ascii="Arial" w:cs="Arial" w:eastAsia="Arial" w:hAnsi="Arial"/>
          <w:sz w:val="18"/>
          <w:szCs w:val="18"/>
          <w:color w:val="auto"/>
        </w:rPr>
        <w:t>The following are examples of litigation and other adversarial proceedings or disputes that we could become a party to involving our patents or patents licensed to us:</w:t>
      </w:r>
    </w:p>
    <w:p>
      <w:pPr>
        <w:spacing w:after="0" w:line="62"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initiate litigation or other proceedings against third parties to enforce our patent and trade secret rights;</w:t>
      </w:r>
    </w:p>
    <w:p>
      <w:pPr>
        <w:spacing w:after="0" w:line="117"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62" w:lineRule="exact"/>
        <w:rPr>
          <w:rFonts w:ascii="Arial" w:cs="Arial" w:eastAsia="Arial" w:hAnsi="Arial"/>
          <w:sz w:val="18"/>
          <w:szCs w:val="18"/>
          <w:color w:val="auto"/>
        </w:rPr>
      </w:pPr>
    </w:p>
    <w:p>
      <w:pPr>
        <w:ind w:left="1000" w:right="100" w:hanging="493"/>
        <w:spacing w:after="0" w:line="286"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57" w:lineRule="exact"/>
        <w:rPr>
          <w:rFonts w:ascii="Arial" w:cs="Arial" w:eastAsia="Arial" w:hAnsi="Arial"/>
          <w:sz w:val="17"/>
          <w:szCs w:val="17"/>
          <w:color w:val="auto"/>
        </w:rPr>
      </w:pPr>
    </w:p>
    <w:p>
      <w:pPr>
        <w:ind w:left="1000" w:right="16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84"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72"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28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62"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 We may become involved in lawsuits to protect or enforce our patents and trade secrets, which could be expensive, time consuming and unsuccessful.”</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i w:val="1"/>
          <w:iCs w:val="1"/>
          <w:color w:val="auto"/>
        </w:rPr>
        <w:t>Our commercial success depends significantly on our ability to operate without infringing the patents and other proprietary rights of third parties.</w:t>
      </w:r>
    </w:p>
    <w:p>
      <w:pPr>
        <w:spacing w:after="0" w:line="140"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8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a revoked European patent (EP 2 429 574) owned by University Health Network, or UHN, and The Hospital for Sick Children that may encompass certain therapies for the treatment of cancer using polypeptides comprising soluble human SIRPα, or a CD47-binding fragment thereof. This revoked patent related to the treatment of cancer with polypeptides comprising soluble human SIRPα, or a CD47-binding fragment thereof. This patent was revoked by the European Patent Office and UHN and The Hospital for Sick Children have appealed the decision. The U.S. counterpart is not yet granted. If UHN and the Hospital for Sick Children win their appeal of the European Patent Office decision revoking their European patent, or if the U.S. counterpart grants them a patent, the resulting patent claims could potentially limit our ability to pursue ALX148 in certain new indications or geographies in the future.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74"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77" w:lineRule="exact"/>
        <w:rPr>
          <w:sz w:val="20"/>
          <w:szCs w:val="20"/>
          <w:color w:val="auto"/>
        </w:rPr>
      </w:pPr>
    </w:p>
    <w:p>
      <w:pPr>
        <w:ind w:right="540" w:firstLine="510"/>
        <w:spacing w:after="0" w:line="311" w:lineRule="auto"/>
        <w:rPr>
          <w:sz w:val="20"/>
          <w:szCs w:val="20"/>
          <w:color w:val="auto"/>
        </w:rPr>
      </w:pPr>
      <w:r>
        <w:rPr>
          <w:rFonts w:ascii="Arial" w:cs="Arial" w:eastAsia="Arial" w:hAnsi="Arial"/>
          <w:sz w:val="16"/>
          <w:szCs w:val="16"/>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17"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38" w:lineRule="exact"/>
        <w:rPr>
          <w:sz w:val="20"/>
          <w:szCs w:val="20"/>
          <w:color w:val="auto"/>
        </w:rPr>
      </w:pPr>
    </w:p>
    <w:p>
      <w:pPr>
        <w:ind w:left="1000" w:right="2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17"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00" w:right="240" w:hanging="493"/>
        <w:spacing w:after="0" w:line="263"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75" w:lineRule="exact"/>
        <w:rPr>
          <w:rFonts w:ascii="Arial" w:cs="Arial" w:eastAsia="Arial" w:hAnsi="Arial"/>
          <w:sz w:val="18"/>
          <w:szCs w:val="18"/>
          <w:color w:val="auto"/>
        </w:rPr>
      </w:pPr>
    </w:p>
    <w:p>
      <w:pPr>
        <w:ind w:left="1000" w:right="720" w:hanging="493"/>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ind w:left="1000" w:right="80" w:hanging="493"/>
        <w:spacing w:after="0" w:line="308" w:lineRule="auto"/>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33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rights to develop and commercialize our product candidates may be subject, in part, to the terms and conditions of agreements with others.</w:t>
      </w:r>
    </w:p>
    <w:p>
      <w:pPr>
        <w:spacing w:after="0" w:line="140"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7"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65"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76"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Moreover, disputes may arise regarding intellectual property subject to a collaboration agreement, including:</w:t>
      </w:r>
    </w:p>
    <w:p>
      <w:pPr>
        <w:spacing w:after="0" w:line="117" w:lineRule="exact"/>
        <w:rPr>
          <w:sz w:val="20"/>
          <w:szCs w:val="20"/>
          <w:color w:val="auto"/>
        </w:rPr>
      </w:pPr>
    </w:p>
    <w:p>
      <w:pPr>
        <w:ind w:left="1000" w:hanging="493"/>
        <w:spacing w:after="0"/>
        <w:tabs>
          <w:tab w:leader="none" w:pos="1000" w:val="left"/>
        </w:tabs>
        <w:numPr>
          <w:ilvl w:val="0"/>
          <w:numId w:val="35"/>
        </w:numPr>
        <w:rPr>
          <w:rFonts w:ascii="Courier New" w:cs="Courier New" w:eastAsia="Courier New" w:hAnsi="Courier New"/>
          <w:sz w:val="18"/>
          <w:szCs w:val="18"/>
          <w:color w:val="auto"/>
        </w:rPr>
      </w:pPr>
      <w:r>
        <w:rPr>
          <w:rFonts w:ascii="Arial" w:cs="Arial" w:eastAsia="Arial" w:hAnsi="Arial"/>
          <w:sz w:val="18"/>
          <w:szCs w:val="18"/>
          <w:color w:val="auto"/>
        </w:rPr>
        <w:t>the scope of the option or license rights granted under the agreement and other interpretation-related issues;</w:t>
      </w:r>
    </w:p>
    <w:p>
      <w:pPr>
        <w:spacing w:after="0" w:line="101" w:lineRule="exact"/>
        <w:rPr>
          <w:rFonts w:ascii="Courier New" w:cs="Courier New" w:eastAsia="Courier New" w:hAnsi="Courier New"/>
          <w:sz w:val="18"/>
          <w:szCs w:val="18"/>
          <w:color w:val="auto"/>
        </w:rPr>
      </w:pPr>
    </w:p>
    <w:p>
      <w:pPr>
        <w:ind w:left="1000" w:right="520" w:hanging="493"/>
        <w:spacing w:after="0" w:line="259" w:lineRule="auto"/>
        <w:tabs>
          <w:tab w:leader="none" w:pos="1000" w:val="left"/>
        </w:tabs>
        <w:numPr>
          <w:ilvl w:val="0"/>
          <w:numId w:val="35"/>
        </w:numPr>
        <w:rPr>
          <w:rFonts w:ascii="Courier New" w:cs="Courier New" w:eastAsia="Courier New" w:hAnsi="Courier New"/>
          <w:sz w:val="18"/>
          <w:szCs w:val="18"/>
          <w:color w:val="auto"/>
        </w:rPr>
      </w:pPr>
      <w:r>
        <w:rPr>
          <w:rFonts w:ascii="Arial" w:cs="Arial" w:eastAsia="Arial" w:hAnsi="Arial"/>
          <w:sz w:val="18"/>
          <w:szCs w:val="18"/>
          <w:color w:val="auto"/>
        </w:rPr>
        <w:t>the extent to which our technology and processes infringe on intellectual property of the collaborator that is not subject to the option or license rights granted under the agreement;</w:t>
      </w:r>
    </w:p>
    <w:p>
      <w:pPr>
        <w:spacing w:after="0" w:line="76" w:lineRule="exact"/>
        <w:rPr>
          <w:rFonts w:ascii="Courier New" w:cs="Courier New" w:eastAsia="Courier New" w:hAnsi="Courier New"/>
          <w:sz w:val="18"/>
          <w:szCs w:val="18"/>
          <w:color w:val="auto"/>
        </w:rPr>
      </w:pPr>
    </w:p>
    <w:p>
      <w:pPr>
        <w:ind w:left="1000" w:hanging="493"/>
        <w:spacing w:after="0"/>
        <w:tabs>
          <w:tab w:leader="none" w:pos="1000" w:val="left"/>
        </w:tabs>
        <w:numPr>
          <w:ilvl w:val="0"/>
          <w:numId w:val="35"/>
        </w:numPr>
        <w:rPr>
          <w:rFonts w:ascii="Courier New" w:cs="Courier New" w:eastAsia="Courier New" w:hAnsi="Courier New"/>
          <w:sz w:val="18"/>
          <w:szCs w:val="18"/>
          <w:color w:val="auto"/>
        </w:rPr>
      </w:pPr>
      <w:r>
        <w:rPr>
          <w:rFonts w:ascii="Arial" w:cs="Arial" w:eastAsia="Arial" w:hAnsi="Arial"/>
          <w:sz w:val="18"/>
          <w:szCs w:val="18"/>
          <w:color w:val="auto"/>
        </w:rPr>
        <w:t>the sublicensing of patent and other rights under our collaborative development relationships;</w:t>
      </w:r>
    </w:p>
    <w:p>
      <w:pPr>
        <w:spacing w:after="0" w:line="101" w:lineRule="exact"/>
        <w:rPr>
          <w:rFonts w:ascii="Courier New" w:cs="Courier New" w:eastAsia="Courier New" w:hAnsi="Courier New"/>
          <w:sz w:val="18"/>
          <w:szCs w:val="18"/>
          <w:color w:val="auto"/>
        </w:rPr>
      </w:pPr>
    </w:p>
    <w:p>
      <w:pPr>
        <w:ind w:left="1000" w:hanging="493"/>
        <w:spacing w:after="0"/>
        <w:tabs>
          <w:tab w:leader="none" w:pos="1000" w:val="left"/>
        </w:tabs>
        <w:numPr>
          <w:ilvl w:val="0"/>
          <w:numId w:val="35"/>
        </w:numPr>
        <w:rPr>
          <w:rFonts w:ascii="Courier New" w:cs="Courier New" w:eastAsia="Courier New" w:hAnsi="Courier New"/>
          <w:sz w:val="18"/>
          <w:szCs w:val="18"/>
          <w:color w:val="auto"/>
        </w:rPr>
      </w:pPr>
      <w:r>
        <w:rPr>
          <w:rFonts w:ascii="Arial" w:cs="Arial" w:eastAsia="Arial" w:hAnsi="Arial"/>
          <w:sz w:val="18"/>
          <w:szCs w:val="18"/>
          <w:color w:val="auto"/>
        </w:rPr>
        <w:t>our diligence obligations under the agreement and what activities satisfy those diligence obligations;</w:t>
      </w:r>
    </w:p>
    <w:p>
      <w:pPr>
        <w:spacing w:after="0" w:line="101" w:lineRule="exact"/>
        <w:rPr>
          <w:rFonts w:ascii="Courier New" w:cs="Courier New" w:eastAsia="Courier New" w:hAnsi="Courier New"/>
          <w:sz w:val="18"/>
          <w:szCs w:val="18"/>
          <w:color w:val="auto"/>
        </w:rPr>
      </w:pPr>
    </w:p>
    <w:p>
      <w:pPr>
        <w:ind w:left="1000" w:right="840" w:hanging="493"/>
        <w:spacing w:after="0" w:line="259" w:lineRule="auto"/>
        <w:tabs>
          <w:tab w:leader="none" w:pos="1000" w:val="left"/>
        </w:tabs>
        <w:numPr>
          <w:ilvl w:val="0"/>
          <w:numId w:val="35"/>
        </w:numPr>
        <w:rPr>
          <w:rFonts w:ascii="Courier New" w:cs="Courier New" w:eastAsia="Courier New" w:hAnsi="Courier New"/>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our collaborators and us and our other partners; and</w:t>
      </w:r>
    </w:p>
    <w:p>
      <w:pPr>
        <w:spacing w:after="0" w:line="76" w:lineRule="exact"/>
        <w:rPr>
          <w:rFonts w:ascii="Courier New" w:cs="Courier New" w:eastAsia="Courier New" w:hAnsi="Courier New"/>
          <w:sz w:val="18"/>
          <w:szCs w:val="18"/>
          <w:color w:val="auto"/>
        </w:rPr>
      </w:pPr>
    </w:p>
    <w:p>
      <w:pPr>
        <w:ind w:left="1000" w:hanging="493"/>
        <w:spacing w:after="0"/>
        <w:tabs>
          <w:tab w:leader="none" w:pos="1000" w:val="left"/>
        </w:tabs>
        <w:numPr>
          <w:ilvl w:val="0"/>
          <w:numId w:val="35"/>
        </w:numPr>
        <w:rPr>
          <w:rFonts w:ascii="Courier New" w:cs="Courier New" w:eastAsia="Courier New" w:hAnsi="Courier New"/>
          <w:sz w:val="18"/>
          <w:szCs w:val="18"/>
          <w:color w:val="auto"/>
        </w:rPr>
      </w:pPr>
      <w:r>
        <w:rPr>
          <w:rFonts w:ascii="Arial" w:cs="Arial" w:eastAsia="Arial" w:hAnsi="Arial"/>
          <w:sz w:val="18"/>
          <w:szCs w:val="18"/>
          <w:color w:val="auto"/>
        </w:rPr>
        <w:t>the priority of invention of patented technology.</w:t>
      </w:r>
    </w:p>
    <w:p>
      <w:pPr>
        <w:spacing w:after="0" w:line="209"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62" w:lineRule="exact"/>
        <w:rPr>
          <w:sz w:val="20"/>
          <w:szCs w:val="20"/>
          <w:color w:val="auto"/>
        </w:rPr>
      </w:pPr>
    </w:p>
    <w:p>
      <w:pPr>
        <w:jc w:val="both"/>
        <w:ind w:right="20" w:firstLine="510"/>
        <w:spacing w:after="0" w:line="259" w:lineRule="auto"/>
        <w:rPr>
          <w:sz w:val="20"/>
          <w:szCs w:val="20"/>
          <w:color w:val="auto"/>
        </w:rPr>
      </w:pPr>
      <w:r>
        <w:rPr>
          <w:rFonts w:ascii="Arial" w:cs="Arial" w:eastAsia="Arial" w:hAnsi="Arial"/>
          <w:sz w:val="18"/>
          <w:szCs w:val="18"/>
          <w:color w:val="auto"/>
        </w:rPr>
        <w:t>As of August 21, 2020, we had 19 employees, including 8 employees engaged in research and development. In order to successfully implement our development and commercialization plans and strategies, and as we transition 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1000" w:hanging="493"/>
        <w:spacing w:after="0"/>
        <w:tabs>
          <w:tab w:leader="none" w:pos="1000" w:val="left"/>
        </w:tabs>
        <w:numPr>
          <w:ilvl w:val="0"/>
          <w:numId w:val="36"/>
        </w:numPr>
        <w:rPr>
          <w:rFonts w:ascii="Courier New" w:cs="Courier New" w:eastAsia="Courier New" w:hAnsi="Courier New"/>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01" w:lineRule="exact"/>
        <w:rPr>
          <w:rFonts w:ascii="Courier New" w:cs="Courier New" w:eastAsia="Courier New" w:hAnsi="Courier New"/>
          <w:sz w:val="18"/>
          <w:szCs w:val="18"/>
          <w:color w:val="auto"/>
        </w:rPr>
      </w:pPr>
    </w:p>
    <w:p>
      <w:pPr>
        <w:ind w:left="1000" w:right="480" w:hanging="493"/>
        <w:spacing w:after="0" w:line="323" w:lineRule="auto"/>
        <w:tabs>
          <w:tab w:leader="none" w:pos="1000" w:val="left"/>
        </w:tabs>
        <w:numPr>
          <w:ilvl w:val="0"/>
          <w:numId w:val="36"/>
        </w:numPr>
        <w:rPr>
          <w:rFonts w:ascii="Courier New" w:cs="Courier New" w:eastAsia="Courier New" w:hAnsi="Courier New"/>
          <w:sz w:val="16"/>
          <w:szCs w:val="16"/>
          <w:color w:val="auto"/>
        </w:rPr>
      </w:pPr>
      <w:r>
        <w:rPr>
          <w:rFonts w:ascii="Arial" w:cs="Arial" w:eastAsia="Arial" w:hAnsi="Arial"/>
          <w:sz w:val="16"/>
          <w:szCs w:val="16"/>
          <w:color w:val="auto"/>
        </w:rPr>
        <w:t>managing our internal development efforts effectively, including the clinical and FDA review process for ALX148 and any other future product candidates, while complying with any contractual obligations to contractors and other third parties we may have; and</w:t>
      </w:r>
    </w:p>
    <w:p>
      <w:pPr>
        <w:spacing w:after="0" w:line="25" w:lineRule="exact"/>
        <w:rPr>
          <w:rFonts w:ascii="Courier New" w:cs="Courier New" w:eastAsia="Courier New" w:hAnsi="Courier New"/>
          <w:sz w:val="16"/>
          <w:szCs w:val="16"/>
          <w:color w:val="auto"/>
        </w:rPr>
      </w:pPr>
    </w:p>
    <w:p>
      <w:pPr>
        <w:ind w:left="1000" w:hanging="493"/>
        <w:spacing w:after="0"/>
        <w:tabs>
          <w:tab w:leader="none" w:pos="1000" w:val="left"/>
        </w:tabs>
        <w:numPr>
          <w:ilvl w:val="0"/>
          <w:numId w:val="36"/>
        </w:numPr>
        <w:rPr>
          <w:rFonts w:ascii="Courier New" w:cs="Courier New" w:eastAsia="Courier New" w:hAnsi="Courier New"/>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09" w:lineRule="exact"/>
        <w:rPr>
          <w:sz w:val="20"/>
          <w:szCs w:val="20"/>
          <w:color w:val="auto"/>
        </w:rPr>
      </w:pPr>
    </w:p>
    <w:p>
      <w:pPr>
        <w:jc w:val="both"/>
        <w:ind w:right="360" w:firstLine="510"/>
        <w:spacing w:after="0" w:line="311" w:lineRule="auto"/>
        <w:rPr>
          <w:sz w:val="20"/>
          <w:szCs w:val="20"/>
          <w:color w:val="auto"/>
        </w:rPr>
      </w:pPr>
      <w:r>
        <w:rPr>
          <w:rFonts w:ascii="Arial" w:cs="Arial" w:eastAsia="Arial" w:hAnsi="Arial"/>
          <w:sz w:val="16"/>
          <w:szCs w:val="16"/>
          <w:color w:val="auto"/>
        </w:rPr>
        <w:t>Our future financial performance and our ability to successfully develop and, if approved, commercialize ALX148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6" w:name="page67"/>
    <w:bookmarkEnd w:id="66"/>
    <w:p>
      <w:pPr>
        <w:ind w:firstLine="510"/>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ALX148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66"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ALX148 and other future product candidates and, accordingly, may not achieve our research, development and commercialization goals.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 candidates are based on a novel technology, which makes it difficult to predict the time and cost of product candidate development.</w:t>
      </w:r>
    </w:p>
    <w:p>
      <w:pPr>
        <w:spacing w:after="0" w:line="140"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ALX148,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62"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5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For example, our former Chief Scientific Officer recently left to become the Chief Executive Officer at Tallac Therapeutics, as described elsewhere in this Quarterly Report.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85"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7" w:name="page68"/>
    <w:bookmarkEnd w:id="67"/>
    <w:p>
      <w:pPr>
        <w:ind w:right="200"/>
        <w:spacing w:after="0" w:line="277" w:lineRule="auto"/>
        <w:rPr>
          <w:sz w:val="20"/>
          <w:szCs w:val="20"/>
          <w:color w:val="auto"/>
        </w:rPr>
      </w:pPr>
      <w:r>
        <w:rPr>
          <w:rFonts w:ascii="Arial" w:cs="Arial" w:eastAsia="Arial" w:hAnsi="Arial"/>
          <w:sz w:val="18"/>
          <w:szCs w:val="18"/>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62"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70" w:lineRule="exact"/>
        <w:rPr>
          <w:sz w:val="20"/>
          <w:szCs w:val="20"/>
          <w:color w:val="auto"/>
        </w:rPr>
      </w:pPr>
    </w:p>
    <w:p>
      <w:pPr>
        <w:ind w:left="1000" w:right="3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rejection or qualification of foreign clinical trial data by the competent authorities of other countries;</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complexities and difficulties in obtaining, maintaining, protecting and enforcing our intellectual property, including as a result of potentially relevant third-party patent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drugs;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exposure to foreign currency exchange rate fluctuations;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political and economic instability, including wars, terrorism and political unrest, boycotts, curtailment of trade and other business restrictions;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natural disasters, outbreaks or public health crises, such as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 and</w:t>
      </w:r>
    </w:p>
    <w:p>
      <w:pPr>
        <w:spacing w:after="0" w:line="117"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Any of these factors could harm our future international expansion and operations and, consequently, our results of operations.</w:t>
      </w:r>
    </w:p>
    <w:p>
      <w:pPr>
        <w:spacing w:after="0" w:line="333"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 w:lineRule="exact"/>
        <w:rPr>
          <w:sz w:val="20"/>
          <w:szCs w:val="20"/>
          <w:color w:val="auto"/>
        </w:rPr>
      </w:pPr>
    </w:p>
    <w:p>
      <w:pPr>
        <w:ind w:right="160" w:firstLine="510"/>
        <w:spacing w:after="0" w:line="254" w:lineRule="auto"/>
        <w:rPr>
          <w:sz w:val="20"/>
          <w:szCs w:val="20"/>
          <w:color w:val="auto"/>
        </w:rPr>
      </w:pPr>
      <w:r>
        <w:rPr>
          <w:rFonts w:ascii="Arial" w:cs="Arial" w:eastAsia="Arial" w:hAnsi="Arial"/>
          <w:sz w:val="18"/>
          <w:szCs w:val="18"/>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9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8" w:name="page69"/>
    <w:bookmarkEnd w:id="68"/>
    <w:p>
      <w:pPr>
        <w:ind w:right="120"/>
        <w:spacing w:after="0" w:line="277" w:lineRule="auto"/>
        <w:rPr>
          <w:sz w:val="20"/>
          <w:szCs w:val="20"/>
          <w:color w:val="auto"/>
        </w:rPr>
      </w:pPr>
      <w:r>
        <w:rPr>
          <w:rFonts w:ascii="Arial" w:cs="Arial" w:eastAsia="Arial" w:hAnsi="Arial"/>
          <w:sz w:val="18"/>
          <w:szCs w:val="18"/>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62"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78"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87"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95"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14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spending on current and future research and development programs, such as ALX148,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1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64"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9" w:name="page70"/>
    <w:bookmarkEnd w:id="69"/>
    <w:p>
      <w:pPr>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9"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In December 2019, COVID-19 was reported to have surfaced in Wuhan, China, resulting in significant disruptions to Chinese manufacturing and travel. Since then, the virus has spread to numerous other countries, including the United States, resulting in the World Health Organization characterizing COVID-19 as a pandemic. The extent to which the COVID-19 pandemic impacts our business will depend on future developments, which are highly uncertain and cannot be predicted,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to spread around the globe, we could experience other disruptions that could severely impact our business, current and planned clinical trials and preclinical research, including:</w:t>
      </w:r>
    </w:p>
    <w:p>
      <w:pPr>
        <w:spacing w:after="0" w:line="84"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subjects in our ongoing clinical trial of ALX148 and our future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62"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75" w:lineRule="exact"/>
        <w:rPr>
          <w:rFonts w:ascii="Arial" w:cs="Arial" w:eastAsia="Arial" w:hAnsi="Arial"/>
          <w:sz w:val="18"/>
          <w:szCs w:val="18"/>
          <w:color w:val="auto"/>
        </w:rPr>
      </w:pPr>
    </w:p>
    <w:p>
      <w:pPr>
        <w:jc w:val="both"/>
        <w:ind w:left="1000" w:right="120" w:hanging="493"/>
        <w:spacing w:after="0" w:line="286"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57" w:lineRule="exact"/>
        <w:rPr>
          <w:rFonts w:ascii="Arial" w:cs="Arial" w:eastAsia="Arial" w:hAnsi="Arial"/>
          <w:sz w:val="17"/>
          <w:szCs w:val="17"/>
          <w:color w:val="auto"/>
        </w:rPr>
      </w:pPr>
    </w:p>
    <w:p>
      <w:pPr>
        <w:ind w:left="1000" w:right="6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other domestic or foreign regulatory authorities, which may impact review and approval timelines;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clinical trials and preclinical research;</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interruptions or delays to our development pipeline;</w:t>
      </w:r>
    </w:p>
    <w:p>
      <w:pPr>
        <w:spacing w:after="0" w:line="117"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furlough of government or contractor personnel;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of the United States.</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are still assessing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For example, on March 16, 2020, San Mateo County, where our headquarters are located, issued a “shelter-in-place” order, effective March 17, 2020, and on March 19, 2020, the Executive Department of the State of California issued Executive Order N-33-20, ordering all individuals in the State of California to stay home or at their place of residence except as needed to maintain continuity of operations of the federal critical infrastructure sectors. Although San Mateo County and the State of California subsequently took steps toward reopening businesses, the State of California recently placed San Mateo County on its monitoring list due to an increase in the rate of COVID-19 cases in the county, reversing the reopening of many workplaces. Our primary operations are located in Burlingame, California. As a result of such county and California state orders, the majority of our employees are currently telecommuting, which may impact certain of our operations over the near term and long term.</w:t>
      </w:r>
    </w:p>
    <w:p>
      <w:pPr>
        <w:spacing w:after="0" w:line="185"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0" w:name="page71"/>
    <w:bookmarkEnd w:id="70"/>
    <w:p>
      <w:pPr>
        <w:ind w:right="120"/>
        <w:spacing w:after="0" w:line="272" w:lineRule="auto"/>
        <w:rPr>
          <w:sz w:val="20"/>
          <w:szCs w:val="20"/>
          <w:color w:val="auto"/>
        </w:rPr>
      </w:pPr>
      <w:r>
        <w:rPr>
          <w:rFonts w:ascii="Arial" w:cs="Arial" w:eastAsia="Arial" w:hAnsi="Arial"/>
          <w:sz w:val="17"/>
          <w:szCs w:val="17"/>
          <w:color w:val="auto"/>
        </w:rPr>
        <w:t>a clinical trial as a result of the pandemic must be adequately documented and justified. For example, in March 2020, the FDA issued a guidance on conducting clinical trials during the pandemic, which describe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7"/>
          <w:szCs w:val="17"/>
          <w:i w:val="1"/>
          <w:iCs w:val="1"/>
          <w:color w:val="auto"/>
        </w:rPr>
        <w:t>e.g.</w:t>
      </w:r>
      <w:r>
        <w:rPr>
          <w:rFonts w:ascii="Arial" w:cs="Arial" w:eastAsia="Arial" w:hAnsi="Arial"/>
          <w:sz w:val="17"/>
          <w:szCs w:val="17"/>
          <w:color w:val="auto"/>
        </w:rPr>
        <w:t>, participant discontinuation from investigational product and/or study, alternative procedures used to collect critical safety and/or efficacy data) on the safety and efficacy results reported for the trial.</w:t>
      </w:r>
    </w:p>
    <w:p>
      <w:pPr>
        <w:spacing w:after="0" w:line="17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The global outbreak of COVID-19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84"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section and in this “Risk Factors” section.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disruptions and delays or incur financial damages as a result of system failures or security breaches.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 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w:t>
      </w:r>
    </w:p>
    <w:p>
      <w:pPr>
        <w:spacing w:after="0" w:line="185"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9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79"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may seek to enter into collaborations, licenses and other similar arrangements for the development or commercialization of our product candidates, due to capital costs required to develop or commercialize the product candidate in such markets.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64"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78"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spacing w:after="0" w:line="289" w:lineRule="auto"/>
        <w:rPr>
          <w:sz w:val="20"/>
          <w:szCs w:val="20"/>
          <w:color w:val="auto"/>
        </w:rPr>
      </w:pPr>
      <w:r>
        <w:rPr>
          <w:rFonts w:ascii="Arial" w:cs="Arial" w:eastAsia="Arial" w:hAnsi="Arial"/>
          <w:sz w:val="16"/>
          <w:szCs w:val="16"/>
          <w:color w:val="auto"/>
        </w:rPr>
        <w:t>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6"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acquire businesses or assets and we may not realize the benefits of such acquisitions.</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87"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Also, the anticipated benefit of any joint venture or acquisition may not materialize or such joint venture or acquisition may be prohibited. The Loan Agreement which governs our term loan limits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269" w:lineRule="exact"/>
        <w:rPr>
          <w:sz w:val="20"/>
          <w:szCs w:val="20"/>
          <w:color w:val="auto"/>
        </w:rPr>
      </w:pPr>
    </w:p>
    <w:p>
      <w:pPr>
        <w:ind w:right="200"/>
        <w:spacing w:after="0" w:line="375" w:lineRule="auto"/>
        <w:rPr>
          <w:sz w:val="20"/>
          <w:szCs w:val="20"/>
          <w:color w:val="auto"/>
        </w:rPr>
      </w:pPr>
      <w:r>
        <w:rPr>
          <w:rFonts w:ascii="Arial" w:cs="Arial" w:eastAsia="Arial" w:hAnsi="Arial"/>
          <w:sz w:val="15"/>
          <w:szCs w:val="15"/>
          <w:b w:val="1"/>
          <w:bCs w:val="1"/>
          <w:i w:val="1"/>
          <w:iCs w:val="1"/>
          <w:color w:val="auto"/>
        </w:rPr>
        <w:t>The terms of our Loan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 The $6.0 million in term loans under the Loan Agreement bear interest at a floating per annum interest rate equal to the greater of 7.0% or 2.0% plus the prime rate as reported in The Wall Street Journal. We are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2" w:name="page73"/>
    <w:bookmarkEnd w:id="72"/>
    <w:p>
      <w:pPr>
        <w:ind w:right="60" w:firstLine="510"/>
        <w:spacing w:after="0" w:line="255" w:lineRule="auto"/>
        <w:rPr>
          <w:sz w:val="20"/>
          <w:szCs w:val="20"/>
          <w:color w:val="auto"/>
        </w:rPr>
      </w:pPr>
      <w:r>
        <w:rPr>
          <w:rFonts w:ascii="Arial" w:cs="Arial" w:eastAsia="Arial" w:hAnsi="Arial"/>
          <w:sz w:val="18"/>
          <w:szCs w:val="18"/>
          <w:color w:val="auto"/>
        </w:rPr>
        <w:t>The Loan Agreement contains customary affirmative and negative covenants, indemnification provisions and events of default. The affirmative covenants include, among others, covenants requiring us and our subsidiaries to maintain legal existence and good standing, deliver certain financial reports, keep inventory in good and marketable condition, timely file tax returns and reports, maintain insurance, maintain operating accounts and maintain certain intellectual property rights. The negative covenants include, among others, restrictions on transferring or licensing our assets, changing our business, engaging in mergers or acquisitions, incurring additional indebtedness, paying dividends or making other distributions and creating other liens on our assets, in each case subject to customary exceptions.</w:t>
      </w:r>
    </w:p>
    <w:p>
      <w:pPr>
        <w:spacing w:after="0" w:line="192"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Lenders could declare a default under the Loan Agreement upon the occurrence of any event that the Lenders interpret as a material adverse change as defined under the Loan Agreement,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subsequent shifts in our stock ownership, some of which are outside our control. As of December 31, 2019, we had net operating loss carryforwards for U.S. state income tax purposes of approximately $30.9 million, and our ability to utilize those net operating loss carryforwards could be limited by an “ownership change” as described above, which could result in increased tax liability to our company.</w:t>
      </w:r>
    </w:p>
    <w:p>
      <w:pPr>
        <w:spacing w:after="0" w:line="177"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As of December 31, 2019, we had Irish net operating loss carryforwards of approximately $4.0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subsequent movements in our share ownership, some of which are outside of our control.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sustained for our common stock.</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The trading price of our common stock may be highly volatile and subject to wide fluctuations in response to various factors, some of which are beyond our control. In addition to those discussed in this “Risk Factors” section and elsewhere in this Quarterly Report on Form 10-Q, these factors include:</w:t>
      </w:r>
    </w:p>
    <w:p>
      <w:pPr>
        <w:spacing w:after="0" w:line="76"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and timing of our preclinical studies and clinical trials and studies and trials of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issues in manufacturing our product candidates or any future approved products;</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or enforcement in the United States and foreign countries with respect to our product candidates or our competitors’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our growth and development relative to our competitors;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introduction of new product candidates or technological innovations by us or our competitors;</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by us, our future strategic partners or our competitors of significant acquisitions, strategic partnerships, joint ventures or capital commitments;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estimates or recommendations by securities analysts, if any cover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public concern over our product candidates or any future approved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future sales of our common stock by us, our insiders or our other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expiration of market stand-off or lock-up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 in the United States or overseas;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failure of any of our product candidates, if approved, to achieve commercial success;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economic and other external factors such as macroeconomic, disasters, crises or health matters, including the impact of the COVID-19 pandemic;</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period-to-period fluctuations in our financial condition and results of operations, including the timing of payment or receipt of any future milestone or other payments under commercialization or licensing agreements;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overall fluctuations in U.S. equity markets, general market conditions and market conditions for biotechnology stocks;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factors that may be unanticipated or out of our control.</w:t>
      </w:r>
    </w:p>
    <w:p>
      <w:pPr>
        <w:spacing w:after="0" w:line="225"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auto"/>
        </w:rPr>
        <w:t>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17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4" w:name="page75"/>
    <w:bookmarkEnd w:id="74"/>
    <w:p>
      <w:pPr>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88"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18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62" w:lineRule="exact"/>
        <w:rPr>
          <w:sz w:val="20"/>
          <w:szCs w:val="20"/>
          <w:color w:val="auto"/>
        </w:rPr>
      </w:pPr>
    </w:p>
    <w:p>
      <w:pPr>
        <w:ind w:left="1000" w:right="3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enroll subjects in clinical trials and the timing of enrollment;</w:t>
      </w:r>
    </w:p>
    <w:p>
      <w:pPr>
        <w:spacing w:after="0" w:line="117" w:lineRule="exact"/>
        <w:rPr>
          <w:rFonts w:ascii="Arial" w:cs="Arial" w:eastAsia="Arial" w:hAnsi="Arial"/>
          <w:sz w:val="18"/>
          <w:szCs w:val="18"/>
          <w:color w:val="auto"/>
        </w:rPr>
      </w:pPr>
    </w:p>
    <w:p>
      <w:pPr>
        <w:ind w:left="1000" w:right="100" w:hanging="493"/>
        <w:spacing w:after="0" w:line="263"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timing and outcomes of clinical trials for ALX148, and any of our other product candidates, or competing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1000" w:right="8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ALX148 and any of our other product candidates, and changes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delays in regulatory review or approval of ALX148 or any of our other product candidates;</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level of demand for ALX148 and any of our other product candidates, if approved, which may fluctuate significantly and be difficult to predict;</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ALX148 and any of our other product candidates;</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commercialize ALX148 and any of our other product candidates, if approved, inside and outside of the United States, either independently or working with third parties;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COVID-19 pandemic;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75" w:name="page76"/>
    <w:bookmarkEnd w:id="75"/>
    <w:p>
      <w:pPr>
        <w:ind w:firstLine="510"/>
        <w:spacing w:after="0" w:line="293" w:lineRule="auto"/>
        <w:rPr>
          <w:sz w:val="20"/>
          <w:szCs w:val="20"/>
          <w:color w:val="auto"/>
        </w:rPr>
      </w:pPr>
      <w:r>
        <w:rPr>
          <w:rFonts w:ascii="Arial" w:cs="Arial" w:eastAsia="Arial" w:hAnsi="Arial"/>
          <w:sz w:val="16"/>
          <w:szCs w:val="16"/>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w:t>
      </w:r>
    </w:p>
    <w:p>
      <w:pPr>
        <w:spacing w:after="0" w:line="184"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color w:val="auto"/>
        </w:rPr>
        <w:t>As of August 21, 2020, we had 36,967,320 shares of our common stock outstanding. Of these shares, only the shares sold in our initial public offering by us (other than the Company directed shares purchased in our initial public offering by an officer of the Company) are currently freely tradable without restriction in the public market. The remaining 27,198,320 shares are currently prohibited without the permission of the underwriters or otherwise restricted under securities laws, market standoff agreements entered into by our stockholders with us or lock-up agreements entered into by our directors, officers and stockholders with the underwriters. However, subject to applicable securities law restrictions and excluding shares of restricted stock that will remain unvested, these shares will be able to be sold in the public market beginning January 13, 2021 which is the 180</w:t>
      </w:r>
      <w:r>
        <w:rPr>
          <w:rFonts w:ascii="Arial" w:cs="Arial" w:eastAsia="Arial" w:hAnsi="Arial"/>
          <w:sz w:val="13"/>
          <w:szCs w:val="13"/>
          <w:color w:val="auto"/>
        </w:rPr>
        <w:t>th</w:t>
      </w:r>
      <w:r>
        <w:rPr>
          <w:rFonts w:ascii="Arial" w:cs="Arial" w:eastAsia="Arial" w:hAnsi="Arial"/>
          <w:sz w:val="16"/>
          <w:szCs w:val="16"/>
          <w:color w:val="auto"/>
        </w:rPr>
        <w:t xml:space="preserve"> day after the date of our initial public offering.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66"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In addition, on July 17, 2020, we filed a registration statement on Form S-8 to register 3,563,962 shares of our common stock reserved for future issuance under our equity compensation plans. As a result, shares registered under this registration statement on Form S-8 will be available for sale in the public market subject to the satisfaction of applicable vesting arrangements and the exercise of such options, the lock-up arrangements described above and, in the case of our affiliates, the restrictions of Rule 144.</w:t>
      </w:r>
    </w:p>
    <w:p>
      <w:pPr>
        <w:spacing w:after="0" w:line="18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Moreover, holders of an aggregate of 24,429,399 shares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188"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In connection with our initial public offering, our executive officers, directors and the holders of substantially all of our capital stock and securities convertible into or exchangeable for our capital stock entered into market stand-off agreements with us and lock-up agreements with the underwriters under which they have agreed, subject to specific exceptions, not to sell, directly or indirectly, any shares of common stock without the permission of Jefferies LLC, Credit Suisse Securities (USA) LLC and Piper Sandler &amp; Co. for a period of 180 days following the date of the initial public offering. We refer to such period as the lock-up period. When the lock-up period expires, we and our securityholders subject to a lock-up agreement or market stand-off agreement will be able to sell our shares in the public market. In addition, the underwriters may, in their sole discretion, release all or some portion of the shares subject to lock-up agreements at any time and for any reason. Sales of a substantial number of such shares upon expiration of the lock-up and 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2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i w:val="1"/>
          <w:iCs w:val="1"/>
          <w:color w:val="auto"/>
        </w:rPr>
        <w:t>We have incurred and will continue to incur significant increased costs and management resources as a result of operating as a public company.</w:t>
      </w:r>
    </w:p>
    <w:p>
      <w:pPr>
        <w:spacing w:after="0" w:line="140"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We have incurred and will continue to incur significant legal, accounting, compliance and other expenses as a public company and these expenses may increase even more after we are no longer an “emerging growth company.” Our management and other personnel need to devote a substantial amount of time and incur significant expense in connection with compliance initiatives. For example, as a public company, we must adopt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161"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In addition, we anticipate implementing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77"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our initial public offering, we increased our directors’ and officers’ insurance coverage, which substantially increased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38"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although, if we have more than $1.07 billion in annual revenue, if the market value of our common stock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condensed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29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of August 21, 2020, our executive officers, directors, holders of 5% or more of our capital stock and their respective affiliates beneficially owned approximately 61.7% of our outstanding voting stock.</w:t>
      </w:r>
    </w:p>
    <w:p>
      <w:pPr>
        <w:spacing w:after="0" w:line="170" w:lineRule="exact"/>
        <w:rPr>
          <w:sz w:val="20"/>
          <w:szCs w:val="20"/>
          <w:color w:val="auto"/>
        </w:rPr>
      </w:pPr>
    </w:p>
    <w:p>
      <w:pPr>
        <w:ind w:right="320" w:firstLine="510"/>
        <w:spacing w:after="0" w:line="259" w:lineRule="auto"/>
        <w:rPr>
          <w:sz w:val="20"/>
          <w:szCs w:val="20"/>
          <w:color w:val="auto"/>
        </w:rPr>
      </w:pPr>
      <w:r>
        <w:rPr>
          <w:rFonts w:ascii="Arial" w:cs="Arial" w:eastAsia="Arial" w:hAnsi="Arial"/>
          <w:sz w:val="18"/>
          <w:szCs w:val="18"/>
          <w:color w:val="auto"/>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7" w:name="page78"/>
    <w:bookmarkEnd w:id="77"/>
    <w:p>
      <w:pPr>
        <w:jc w:val="both"/>
        <w:ind w:right="60"/>
        <w:spacing w:after="0" w:line="286" w:lineRule="auto"/>
        <w:rPr>
          <w:sz w:val="20"/>
          <w:szCs w:val="20"/>
          <w:color w:val="auto"/>
        </w:rPr>
      </w:pPr>
      <w:r>
        <w:rPr>
          <w:rFonts w:ascii="Arial" w:cs="Arial" w:eastAsia="Arial" w:hAnsi="Arial"/>
          <w:sz w:val="17"/>
          <w:szCs w:val="17"/>
          <w:color w:val="auto"/>
        </w:rPr>
        <w:t>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share appreciation for any return on their investment.</w:t>
      </w:r>
    </w:p>
    <w:p>
      <w:pPr>
        <w:spacing w:after="0" w:line="140"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substantial rights.</w:t>
      </w:r>
    </w:p>
    <w:p>
      <w:pPr>
        <w:spacing w:after="0" w:line="129"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29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38" w:lineRule="exact"/>
        <w:rPr>
          <w:sz w:val="20"/>
          <w:szCs w:val="20"/>
          <w:color w:val="auto"/>
        </w:rPr>
      </w:pPr>
    </w:p>
    <w:p>
      <w:pPr>
        <w:ind w:right="100" w:firstLine="510"/>
        <w:spacing w:after="0" w:line="279" w:lineRule="auto"/>
        <w:rPr>
          <w:sz w:val="20"/>
          <w:szCs w:val="20"/>
          <w:color w:val="auto"/>
        </w:rPr>
      </w:pPr>
      <w:r>
        <w:rPr>
          <w:rFonts w:ascii="Arial" w:cs="Arial" w:eastAsia="Arial" w:hAnsi="Arial"/>
          <w:sz w:val="17"/>
          <w:szCs w:val="17"/>
          <w:color w:val="auto"/>
        </w:rPr>
        <w:t>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63"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that our directors may only be removed for cause;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eliminate cumulative voting in the election of directors;</w:t>
      </w:r>
    </w:p>
    <w:p>
      <w:pPr>
        <w:spacing w:after="0" w:line="117" w:lineRule="exact"/>
        <w:rPr>
          <w:rFonts w:ascii="Arial" w:cs="Arial" w:eastAsia="Arial" w:hAnsi="Arial"/>
          <w:sz w:val="18"/>
          <w:szCs w:val="18"/>
          <w:color w:val="auto"/>
        </w:rPr>
      </w:pPr>
    </w:p>
    <w:p>
      <w:pPr>
        <w:ind w:left="1000" w:right="62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convertible preferred stock and determine the price and other terms of those shares, including preferences and voting rights, without stockholder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or newly created directorship;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permit stockholders to only take actions at a duly called annual or special meeting and not by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prohibit stockholders from calling a special meeting of stockholders;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 and</w:t>
      </w:r>
    </w:p>
    <w:p>
      <w:pPr>
        <w:spacing w:after="0" w:line="117"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 the affirmative vote of at least 66 2/3% or more of the outstanding shares of common stock to amend many of the provisions described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8" w:name="page79"/>
    <w:bookmarkEnd w:id="78"/>
    <w:p>
      <w:pPr>
        <w:ind w:firstLine="510"/>
        <w:spacing w:after="0" w:line="259" w:lineRule="auto"/>
        <w:rPr>
          <w:sz w:val="20"/>
          <w:szCs w:val="20"/>
          <w:color w:val="auto"/>
        </w:rPr>
      </w:pPr>
      <w:r>
        <w:rPr>
          <w:rFonts w:ascii="Arial" w:cs="Arial" w:eastAsia="Arial" w:hAnsi="Arial"/>
          <w:sz w:val="18"/>
          <w:szCs w:val="18"/>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8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68" w:lineRule="exact"/>
        <w:rPr>
          <w:sz w:val="20"/>
          <w:szCs w:val="20"/>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derivative action or proceeding brought on behalf of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w:t>
      </w:r>
    </w:p>
    <w:p>
      <w:pPr>
        <w:spacing w:after="0" w:line="117"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7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70"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27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identified material weaknesses in our internal control over financial reporting. If our remediation measures are not effective, we may not be able to report our financial condition or results of operations accurately or on a timely basis.</w:t>
      </w:r>
    </w:p>
    <w:p>
      <w:pPr>
        <w:spacing w:after="0" w:line="62"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To date, we have never conducted a review of our internal control for the purpose of providing the reports required by SOX. During our review and testing, we may identify deficiencies and be unable to remediate them before we must provide the required reports. 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in December 31, 2019, (i) and (ii) remained unremediated.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During the first and second quarters of 2020, we have undertaken specific remediation actions to address the control deficiencies in our financial reporting. We have established more robust processes related to the review of complex accounting transactions, preparation of account reconciliations and review of journal entries which are outlined elsewhere in this Quarterly Report.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79" w:name="page80"/>
    <w:bookmarkEnd w:id="79"/>
    <w:p>
      <w:pPr>
        <w:ind w:right="20" w:firstLine="510"/>
        <w:spacing w:after="0" w:line="271" w:lineRule="auto"/>
        <w:rPr>
          <w:sz w:val="20"/>
          <w:szCs w:val="20"/>
          <w:color w:val="auto"/>
        </w:rPr>
      </w:pPr>
      <w:r>
        <w:rPr>
          <w:rFonts w:ascii="Arial" w:cs="Arial" w:eastAsia="Arial" w:hAnsi="Arial"/>
          <w:sz w:val="17"/>
          <w:szCs w:val="17"/>
          <w:color w:val="auto"/>
        </w:rPr>
        <w:t>While we have begun taking measures and plan to continue to take measures to design and implement an effective control environment, we cannot assure you that the measures we have taken to date, and are continuing to implement, will be sufficient to remediate or prevent future material weaknesses. 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28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62"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404(a) of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we are in the process of remedying. However, our efforts to remediate previous material weaknesses may not be effective or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166"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In connection with our evaluation of our internal controls over financial reporting, we expect to upgrade our finance and accounting systems and team. If we are unable to accomplish these objectives in a timely and effective manner, our ability to comply with the financial reporting requirements and other rules that apply to reporting companies could be adversely impacted. Any failure to maintain effective internal control over financial reporting could have a material adverse effect on our business, financial condition and results of operations and the trading price of our common stock.</w:t>
      </w:r>
    </w:p>
    <w:p>
      <w:pPr>
        <w:spacing w:after="0" w:line="157" w:lineRule="exact"/>
        <w:rPr>
          <w:sz w:val="20"/>
          <w:szCs w:val="20"/>
          <w:color w:val="auto"/>
        </w:rPr>
      </w:pPr>
    </w:p>
    <w:p>
      <w:pPr>
        <w:ind w:right="140" w:firstLine="510"/>
        <w:spacing w:after="0" w:line="254" w:lineRule="auto"/>
        <w:rPr>
          <w:sz w:val="20"/>
          <w:szCs w:val="20"/>
          <w:color w:val="auto"/>
        </w:rPr>
      </w:pPr>
      <w:r>
        <w:rPr>
          <w:rFonts w:ascii="Arial" w:cs="Arial" w:eastAsia="Arial" w:hAnsi="Arial"/>
          <w:sz w:val="18"/>
          <w:szCs w:val="18"/>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95"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76"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ind w:right="140"/>
        <w:spacing w:after="0" w:line="277" w:lineRule="auto"/>
        <w:rPr>
          <w:sz w:val="20"/>
          <w:szCs w:val="20"/>
          <w:color w:val="auto"/>
        </w:rPr>
      </w:pPr>
      <w:r>
        <w:rPr>
          <w:rFonts w:ascii="Arial" w:cs="Arial" w:eastAsia="Arial" w:hAnsi="Arial"/>
          <w:sz w:val="18"/>
          <w:szCs w:val="18"/>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62" w:lineRule="exact"/>
        <w:rPr>
          <w:sz w:val="20"/>
          <w:szCs w:val="20"/>
          <w:color w:val="auto"/>
        </w:rPr>
      </w:pPr>
    </w:p>
    <w:p>
      <w:pPr>
        <w:ind w:right="120" w:firstLine="510"/>
        <w:spacing w:after="0" w:line="253" w:lineRule="auto"/>
        <w:rPr>
          <w:sz w:val="20"/>
          <w:szCs w:val="20"/>
          <w:color w:val="auto"/>
        </w:rPr>
      </w:pPr>
      <w:r>
        <w:rPr>
          <w:rFonts w:ascii="Arial" w:cs="Arial" w:eastAsia="Arial" w:hAnsi="Arial"/>
          <w:sz w:val="18"/>
          <w:szCs w:val="18"/>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jc w:val="both"/>
        <w:ind w:right="40" w:firstLine="510"/>
        <w:spacing w:after="0" w:line="28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following list sets forth information as to all securities we have sold during the quarter ended June 30, 2020, which were not registered under the Securities Act.</w:t>
      </w:r>
    </w:p>
    <w:p>
      <w:pPr>
        <w:spacing w:after="0" w:line="62" w:lineRule="exact"/>
        <w:rPr>
          <w:sz w:val="20"/>
          <w:szCs w:val="20"/>
          <w:color w:val="auto"/>
        </w:rPr>
      </w:pPr>
    </w:p>
    <w:p>
      <w:pPr>
        <w:ind w:left="1000" w:right="1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granted stock options to purchase an aggregate of 673,943 shares of our common stock at a weighted-average exercise price of $4.96 per share to certain employees, consultants and directors under our 2020 Equity Incentive Plan.</w:t>
      </w:r>
    </w:p>
    <w:p>
      <w:pPr>
        <w:spacing w:after="0" w:line="170"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We deemed the grants of stock options described in paragraph (1) as exempt from registration under the Securities Act in reliance on Rule 701 of the Securities Act as offers and sales of securities under compensatory benefit plans and contracts relating to compensation in compliance with Rule 701. Each of the recipients of securities in any transaction exempt from registration received the securities under our 2020 Equity Incentive Plan, represented their intention to acquire the securities for investment only and not with view to or for sale in connection with any distribution thereof and either received or had adequate access, through employment, business or other relationships, to information about us.</w:t>
      </w:r>
    </w:p>
    <w:p>
      <w:pPr>
        <w:spacing w:after="0" w:line="176"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All certificates representing the securities issued in the transactions described above in this Item 1 included appropriate legends setting forth that the securities had not been offered or sold pursuant to a registration statement and describing the applicable restrictions on transfer of the securities. There were no underwriters employed in connection with any of the transactions set forth above in this Item 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In July 2020, we consummated the sale of 9,775,000 shares of common stock, which includes the additional overallotment of 1,275,000 shares exercised by the underwriters in the initial public offering, to the public at an initial public offering price of $19.00 per share. The aggregate offering price for shares sold in our initial public offering was $185.7 million. The offer and sale of the shares in the initial public offering was registered under the Securities Act pursuant to registration statements on Form S-1 (File No. 333- 239490), which was filed with the SEC on June 26, 2020 and amended subsequently and declared effective on July 16, 2020, and Form S-1MEF, which was filed with the SEC on July 16, 2020 and became effective on July 16, 2020. The underwriters of the offering were Jefferies LLC, Credit Suisse Securities (USA) LLC, Piper Sandler &amp; Co. and Cantor Fitzgerald &amp; Co.</w:t>
      </w:r>
    </w:p>
    <w:p>
      <w:pPr>
        <w:spacing w:after="0" w:line="164"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We received approximately $169.0 million in net proceeds after deducting underwriting discounts and commissions of approximately $13.0 million and offering-related expenses estimated to be approximately $3.7 million. No offering expenses were paid directly or indirectly to any of our directors or officers (or their associates) or persons owning ten percent or more of any class of our equity securities or to any other affiliates.</w:t>
      </w:r>
    </w:p>
    <w:p>
      <w:pPr>
        <w:spacing w:after="0" w:line="165"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To date, we have not yet used the net proceeds from our initial public offering. We invested the funds received in money market funds in accordance with our investment policy. None of such payments were direct or indirect payments to any of our directors or officers (or their associates), to persons owning ten percent or more of our common stock or to any other affiliates. There has been no material change in the planned use of proceeds from our initial public offering as described in our final prospectus filed with the SEC on July 21, 2020 pursuant to Rule 424(b)(4).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14"/>
          </w:tcPr>
          <w:p>
            <w:pPr>
              <w:ind w:left="1240"/>
              <w:spacing w:after="0"/>
              <w:rPr>
                <w:sz w:val="20"/>
                <w:szCs w:val="20"/>
                <w:color w:val="auto"/>
              </w:rPr>
            </w:pPr>
            <w:r>
              <w:rPr>
                <w:rFonts w:ascii="Arial" w:cs="Arial" w:eastAsia="Arial" w:hAnsi="Arial"/>
                <w:sz w:val="18"/>
                <w:szCs w:val="18"/>
                <w:b w:val="1"/>
                <w:bCs w:val="1"/>
                <w:color w:val="auto"/>
                <w:w w:val="91"/>
              </w:rPr>
              <w:t>Item 6. Exhibits.</w:t>
            </w:r>
          </w:p>
        </w:tc>
        <w:tc>
          <w:tcPr>
            <w:tcW w:w="1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60" w:type="dxa"/>
            <w:vAlign w:val="bottom"/>
            <w:gridSpan w:val="2"/>
          </w:tcPr>
          <w:p>
            <w:pPr>
              <w:ind w:left="280"/>
              <w:spacing w:after="0"/>
              <w:rPr>
                <w:sz w:val="20"/>
                <w:szCs w:val="20"/>
                <w:color w:val="auto"/>
              </w:rPr>
            </w:pPr>
            <w:r>
              <w:rPr>
                <w:rFonts w:ascii="Arial" w:cs="Arial" w:eastAsia="Arial" w:hAnsi="Arial"/>
                <w:sz w:val="18"/>
                <w:szCs w:val="18"/>
                <w:b w:val="1"/>
                <w:bCs w:val="1"/>
                <w:color w:val="auto"/>
                <w:w w:val="94"/>
              </w:rPr>
              <w:t>Incorporated by Reference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1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16"/>
          </w:tcPr>
          <w:p>
            <w:pPr>
              <w:ind w:left="120"/>
              <w:spacing w:after="0"/>
              <w:rPr>
                <w:sz w:val="20"/>
                <w:szCs w:val="20"/>
                <w:color w:val="auto"/>
              </w:rPr>
            </w:pPr>
            <w:r>
              <w:rPr>
                <w:rFonts w:ascii="Arial" w:cs="Arial" w:eastAsia="Arial" w:hAnsi="Arial"/>
                <w:sz w:val="18"/>
                <w:szCs w:val="18"/>
                <w:b w:val="1"/>
                <w:bCs w:val="1"/>
                <w:color w:val="auto"/>
              </w:rPr>
              <w:t>Description</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File No.</w:t>
            </w: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Exhibit</w:t>
            </w:r>
          </w:p>
        </w:tc>
        <w:tc>
          <w:tcPr>
            <w:tcW w:w="13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Filing Date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3.1</w:t>
            </w:r>
          </w:p>
        </w:tc>
        <w:tc>
          <w:tcPr>
            <w:tcW w:w="5240" w:type="dxa"/>
            <w:vAlign w:val="bottom"/>
            <w:tcBorders>
              <w:bottom w:val="single" w:sz="8" w:color="auto"/>
            </w:tcBorders>
            <w:gridSpan w:val="20"/>
          </w:tcPr>
          <w:p>
            <w:pPr>
              <w:spacing w:after="0"/>
              <w:rPr>
                <w:rFonts w:ascii="Arial" w:cs="Arial" w:eastAsia="Arial" w:hAnsi="Arial"/>
                <w:sz w:val="18"/>
                <w:szCs w:val="18"/>
                <w:color w:val="0000EE"/>
                <w:w w:val="95"/>
              </w:rPr>
            </w:pPr>
            <w:hyperlink r:id="rId107">
              <w:r>
                <w:rPr>
                  <w:rFonts w:ascii="Arial" w:cs="Arial" w:eastAsia="Arial" w:hAnsi="Arial"/>
                  <w:sz w:val="18"/>
                  <w:szCs w:val="18"/>
                  <w:u w:val="single" w:color="auto"/>
                  <w:color w:val="0000EE"/>
                  <w:w w:val="95"/>
                </w:rPr>
                <w:t>Amended and Restated Certificate of Incorporation of the Registrant</w:t>
              </w:r>
              <w:r>
                <w:rPr>
                  <w:rFonts w:ascii="Arial" w:cs="Arial" w:eastAsia="Arial" w:hAnsi="Arial"/>
                  <w:sz w:val="18"/>
                  <w:szCs w:val="18"/>
                  <w:color w:val="0000EE"/>
                  <w:w w:val="95"/>
                </w:rPr>
                <w:t>.</w:t>
              </w:r>
            </w:hyperlink>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001-39386</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3.1</w:t>
            </w: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July 21, 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3.2</w:t>
            </w:r>
          </w:p>
        </w:tc>
        <w:tc>
          <w:tcPr>
            <w:tcW w:w="5240" w:type="dxa"/>
            <w:vAlign w:val="bottom"/>
            <w:tcBorders>
              <w:bottom w:val="single" w:sz="8" w:color="auto"/>
            </w:tcBorders>
            <w:gridSpan w:val="20"/>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Amended and Restated Bylaws of the Registrant.</w:t>
              </w:r>
            </w:hyperlink>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001-39386</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3.2</w:t>
            </w: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July 21, 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gridSpan w:val="2"/>
          </w:tcPr>
          <w:p>
            <w:pPr>
              <w:spacing w:after="0" w:line="182" w:lineRule="exact"/>
              <w:rPr>
                <w:sz w:val="20"/>
                <w:szCs w:val="20"/>
                <w:color w:val="auto"/>
              </w:rPr>
            </w:pPr>
            <w:r>
              <w:rPr>
                <w:rFonts w:ascii="Arial" w:cs="Arial" w:eastAsia="Arial" w:hAnsi="Arial"/>
                <w:sz w:val="18"/>
                <w:szCs w:val="18"/>
                <w:color w:val="auto"/>
              </w:rPr>
              <w:t>4.1</w:t>
            </w:r>
          </w:p>
        </w:tc>
        <w:tc>
          <w:tcPr>
            <w:tcW w:w="4600" w:type="dxa"/>
            <w:vAlign w:val="bottom"/>
            <w:tcBorders>
              <w:bottom w:val="single" w:sz="8" w:color="0000EE"/>
            </w:tcBorders>
            <w:gridSpan w:val="9"/>
          </w:tcPr>
          <w:p>
            <w:pPr>
              <w:spacing w:after="0" w:line="182" w:lineRule="exact"/>
              <w:rPr>
                <w:rFonts w:ascii="Arial" w:cs="Arial" w:eastAsia="Arial" w:hAnsi="Arial"/>
                <w:sz w:val="18"/>
                <w:szCs w:val="18"/>
                <w:color w:val="0000EE"/>
                <w:w w:val="89"/>
              </w:rPr>
            </w:pPr>
            <w:hyperlink r:id="rId109">
              <w:r>
                <w:rPr>
                  <w:rFonts w:ascii="Arial" w:cs="Arial" w:eastAsia="Arial" w:hAnsi="Arial"/>
                  <w:sz w:val="18"/>
                  <w:szCs w:val="18"/>
                  <w:color w:val="0000EE"/>
                  <w:w w:val="89"/>
                </w:rPr>
                <w:t>Amended and Restated Investors’ Rights Agreement among the</w:t>
              </w:r>
            </w:hyperlink>
          </w:p>
        </w:tc>
        <w:tc>
          <w:tcPr>
            <w:tcW w:w="640" w:type="dxa"/>
            <w:vAlign w:val="bottom"/>
            <w:gridSpan w:val="11"/>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85"/>
              </w:rPr>
              <w:t>S-1</w:t>
            </w:r>
          </w:p>
        </w:tc>
        <w:tc>
          <w:tcPr>
            <w:tcW w:w="1140" w:type="dxa"/>
            <w:vAlign w:val="bottom"/>
          </w:tcPr>
          <w:p>
            <w:pPr>
              <w:ind w:left="40"/>
              <w:spacing w:after="0" w:line="182" w:lineRule="exact"/>
              <w:rPr>
                <w:sz w:val="20"/>
                <w:szCs w:val="20"/>
                <w:color w:val="auto"/>
              </w:rPr>
            </w:pPr>
            <w:r>
              <w:rPr>
                <w:rFonts w:ascii="Arial" w:cs="Arial" w:eastAsia="Arial" w:hAnsi="Arial"/>
                <w:sz w:val="18"/>
                <w:szCs w:val="18"/>
                <w:color w:val="auto"/>
              </w:rPr>
              <w:t>333-239490</w:t>
            </w:r>
          </w:p>
        </w:tc>
        <w:tc>
          <w:tcPr>
            <w:tcW w:w="1320" w:type="dxa"/>
            <w:vAlign w:val="bottom"/>
          </w:tcPr>
          <w:p>
            <w:pPr>
              <w:ind w:left="180"/>
              <w:spacing w:after="0" w:line="182" w:lineRule="exact"/>
              <w:rPr>
                <w:sz w:val="20"/>
                <w:szCs w:val="20"/>
                <w:color w:val="auto"/>
              </w:rPr>
            </w:pPr>
            <w:r>
              <w:rPr>
                <w:rFonts w:ascii="Arial" w:cs="Arial" w:eastAsia="Arial" w:hAnsi="Arial"/>
                <w:sz w:val="18"/>
                <w:szCs w:val="18"/>
                <w:color w:val="auto"/>
              </w:rPr>
              <w:t>4.1</w:t>
            </w:r>
          </w:p>
        </w:tc>
        <w:tc>
          <w:tcPr>
            <w:tcW w:w="1380" w:type="dxa"/>
            <w:vAlign w:val="bottom"/>
          </w:tcPr>
          <w:p>
            <w:pPr>
              <w:ind w:left="120"/>
              <w:spacing w:after="0" w:line="182" w:lineRule="exact"/>
              <w:rPr>
                <w:sz w:val="20"/>
                <w:szCs w:val="20"/>
                <w:color w:val="auto"/>
              </w:rPr>
            </w:pPr>
            <w:r>
              <w:rPr>
                <w:rFonts w:ascii="Arial" w:cs="Arial" w:eastAsia="Arial" w:hAnsi="Arial"/>
                <w:sz w:val="18"/>
                <w:szCs w:val="18"/>
                <w:color w:val="auto"/>
              </w:rPr>
              <w:t>June 26,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20"/>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Registrant and certain of its stockholders, dated April 1, 2020.</w:t>
              </w:r>
            </w:hyperlink>
          </w:p>
        </w:tc>
        <w:tc>
          <w:tcPr>
            <w:tcW w:w="1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4.2</w:t>
            </w:r>
          </w:p>
        </w:tc>
        <w:tc>
          <w:tcPr>
            <w:tcW w:w="5240" w:type="dxa"/>
            <w:vAlign w:val="bottom"/>
            <w:tcBorders>
              <w:bottom w:val="single" w:sz="8" w:color="auto"/>
            </w:tcBorders>
            <w:gridSpan w:val="20"/>
          </w:tcPr>
          <w:p>
            <w:pPr>
              <w:spacing w:after="0"/>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Specimen common stock certificate of the Registrant.</w:t>
              </w:r>
            </w:hyperlink>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333-239490</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4.2</w:t>
            </w: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June 26, 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4.3</w:t>
            </w:r>
          </w:p>
        </w:tc>
        <w:tc>
          <w:tcPr>
            <w:tcW w:w="5240" w:type="dxa"/>
            <w:vAlign w:val="bottom"/>
            <w:tcBorders>
              <w:bottom w:val="single" w:sz="8" w:color="auto"/>
            </w:tcBorders>
            <w:gridSpan w:val="20"/>
          </w:tcPr>
          <w:p>
            <w:pPr>
              <w:spacing w:after="0"/>
              <w:rPr>
                <w:rFonts w:ascii="Arial" w:cs="Arial" w:eastAsia="Arial" w:hAnsi="Arial"/>
                <w:sz w:val="18"/>
                <w:szCs w:val="18"/>
                <w:u w:val="single" w:color="auto"/>
                <w:color w:val="0000EE"/>
              </w:rPr>
            </w:pPr>
            <w:hyperlink r:id="rId111">
              <w:r>
                <w:rPr>
                  <w:rFonts w:ascii="Arial" w:cs="Arial" w:eastAsia="Arial" w:hAnsi="Arial"/>
                  <w:sz w:val="18"/>
                  <w:szCs w:val="18"/>
                  <w:u w:val="single" w:color="auto"/>
                  <w:color w:val="0000EE"/>
                </w:rPr>
                <w:t>Form of Amended and Restated Warrant to Purchase Stock.</w:t>
              </w:r>
            </w:hyperlink>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S-1</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333-239490</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4.3</w:t>
            </w: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June 26, 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gridSpan w:val="2"/>
          </w:tcPr>
          <w:p>
            <w:pPr>
              <w:spacing w:after="0" w:line="182" w:lineRule="exact"/>
              <w:rPr>
                <w:sz w:val="20"/>
                <w:szCs w:val="20"/>
                <w:color w:val="auto"/>
              </w:rPr>
            </w:pPr>
            <w:r>
              <w:rPr>
                <w:rFonts w:ascii="Arial" w:cs="Arial" w:eastAsia="Arial" w:hAnsi="Arial"/>
                <w:sz w:val="18"/>
                <w:szCs w:val="18"/>
                <w:color w:val="auto"/>
              </w:rPr>
              <w:t>10.1+</w:t>
            </w:r>
          </w:p>
        </w:tc>
        <w:tc>
          <w:tcPr>
            <w:tcW w:w="5020" w:type="dxa"/>
            <w:vAlign w:val="bottom"/>
            <w:tcBorders>
              <w:bottom w:val="single" w:sz="8" w:color="0000EE"/>
            </w:tcBorders>
            <w:gridSpan w:val="18"/>
          </w:tcPr>
          <w:p>
            <w:pPr>
              <w:spacing w:after="0" w:line="182" w:lineRule="exact"/>
              <w:rPr>
                <w:rFonts w:ascii="Arial" w:cs="Arial" w:eastAsia="Arial" w:hAnsi="Arial"/>
                <w:sz w:val="18"/>
                <w:szCs w:val="18"/>
                <w:color w:val="0000EE"/>
                <w:w w:val="90"/>
              </w:rPr>
            </w:pPr>
            <w:hyperlink r:id="rId112">
              <w:r>
                <w:rPr>
                  <w:rFonts w:ascii="Arial" w:cs="Arial" w:eastAsia="Arial" w:hAnsi="Arial"/>
                  <w:sz w:val="18"/>
                  <w:szCs w:val="18"/>
                  <w:color w:val="0000EE"/>
                  <w:w w:val="90"/>
                </w:rPr>
                <w:t>Form of Indemnification Agreement between the Registrant and each</w:t>
              </w:r>
            </w:hyperlink>
          </w:p>
        </w:tc>
        <w:tc>
          <w:tcPr>
            <w:tcW w:w="220" w:type="dxa"/>
            <w:vAlign w:val="bottom"/>
            <w:gridSpan w:val="2"/>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85"/>
              </w:rPr>
              <w:t>S-1</w:t>
            </w:r>
          </w:p>
        </w:tc>
        <w:tc>
          <w:tcPr>
            <w:tcW w:w="1140" w:type="dxa"/>
            <w:vAlign w:val="bottom"/>
          </w:tcPr>
          <w:p>
            <w:pPr>
              <w:ind w:left="40"/>
              <w:spacing w:after="0" w:line="182" w:lineRule="exact"/>
              <w:rPr>
                <w:sz w:val="20"/>
                <w:szCs w:val="20"/>
                <w:color w:val="auto"/>
              </w:rPr>
            </w:pPr>
            <w:r>
              <w:rPr>
                <w:rFonts w:ascii="Arial" w:cs="Arial" w:eastAsia="Arial" w:hAnsi="Arial"/>
                <w:sz w:val="18"/>
                <w:szCs w:val="18"/>
                <w:color w:val="auto"/>
              </w:rPr>
              <w:t>333-239490</w:t>
            </w:r>
          </w:p>
        </w:tc>
        <w:tc>
          <w:tcPr>
            <w:tcW w:w="1320" w:type="dxa"/>
            <w:vAlign w:val="bottom"/>
          </w:tcPr>
          <w:p>
            <w:pPr>
              <w:ind w:left="180"/>
              <w:spacing w:after="0" w:line="182" w:lineRule="exact"/>
              <w:rPr>
                <w:sz w:val="20"/>
                <w:szCs w:val="20"/>
                <w:color w:val="auto"/>
              </w:rPr>
            </w:pPr>
            <w:r>
              <w:rPr>
                <w:rFonts w:ascii="Arial" w:cs="Arial" w:eastAsia="Arial" w:hAnsi="Arial"/>
                <w:sz w:val="18"/>
                <w:szCs w:val="18"/>
                <w:color w:val="auto"/>
              </w:rPr>
              <w:t>10.1</w:t>
            </w:r>
          </w:p>
        </w:tc>
        <w:tc>
          <w:tcPr>
            <w:tcW w:w="1380" w:type="dxa"/>
            <w:vAlign w:val="bottom"/>
          </w:tcPr>
          <w:p>
            <w:pPr>
              <w:ind w:left="120"/>
              <w:spacing w:after="0" w:line="182" w:lineRule="exact"/>
              <w:rPr>
                <w:sz w:val="20"/>
                <w:szCs w:val="20"/>
                <w:color w:val="auto"/>
              </w:rPr>
            </w:pPr>
            <w:r>
              <w:rPr>
                <w:rFonts w:ascii="Arial" w:cs="Arial" w:eastAsia="Arial" w:hAnsi="Arial"/>
                <w:sz w:val="18"/>
                <w:szCs w:val="18"/>
                <w:color w:val="auto"/>
              </w:rPr>
              <w:t>June 26,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40" w:type="dxa"/>
            <w:vAlign w:val="bottom"/>
            <w:gridSpan w:val="20"/>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of its directors and executive officers.</w:t>
              </w:r>
            </w:hyperlink>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top w:val="single" w:sz="8" w:color="0000EE"/>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10.2+</w:t>
            </w:r>
          </w:p>
        </w:tc>
        <w:tc>
          <w:tcPr>
            <w:tcW w:w="5240" w:type="dxa"/>
            <w:vAlign w:val="bottom"/>
            <w:gridSpan w:val="20"/>
          </w:tcPr>
          <w:p>
            <w:pPr>
              <w:spacing w:after="0" w:line="182" w:lineRule="exact"/>
              <w:rPr>
                <w:rFonts w:ascii="Arial" w:cs="Arial" w:eastAsia="Arial" w:hAnsi="Arial"/>
                <w:sz w:val="18"/>
                <w:szCs w:val="18"/>
                <w:color w:val="0000EE"/>
              </w:rPr>
            </w:pPr>
            <w:hyperlink r:id="rId113">
              <w:r>
                <w:rPr>
                  <w:rFonts w:ascii="Arial" w:cs="Arial" w:eastAsia="Arial" w:hAnsi="Arial"/>
                  <w:sz w:val="18"/>
                  <w:szCs w:val="18"/>
                  <w:color w:val="0000EE"/>
                </w:rPr>
                <w:t>Amended and Restated 2020 Equity Incentive Plan and forms of</w:t>
              </w:r>
            </w:hyperlink>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7"/>
              </w:rPr>
              <w:t>S-1/A</w:t>
            </w:r>
          </w:p>
        </w:tc>
        <w:tc>
          <w:tcPr>
            <w:tcW w:w="1140" w:type="dxa"/>
            <w:vAlign w:val="bottom"/>
          </w:tcPr>
          <w:p>
            <w:pPr>
              <w:ind w:left="40"/>
              <w:spacing w:after="0" w:line="182" w:lineRule="exact"/>
              <w:rPr>
                <w:sz w:val="20"/>
                <w:szCs w:val="20"/>
                <w:color w:val="auto"/>
              </w:rPr>
            </w:pPr>
            <w:r>
              <w:rPr>
                <w:rFonts w:ascii="Arial" w:cs="Arial" w:eastAsia="Arial" w:hAnsi="Arial"/>
                <w:sz w:val="18"/>
                <w:szCs w:val="18"/>
                <w:color w:val="auto"/>
              </w:rPr>
              <w:t>333-239490</w:t>
            </w:r>
          </w:p>
        </w:tc>
        <w:tc>
          <w:tcPr>
            <w:tcW w:w="1320" w:type="dxa"/>
            <w:vAlign w:val="bottom"/>
          </w:tcPr>
          <w:p>
            <w:pPr>
              <w:ind w:left="180"/>
              <w:spacing w:after="0" w:line="182" w:lineRule="exact"/>
              <w:rPr>
                <w:sz w:val="20"/>
                <w:szCs w:val="20"/>
                <w:color w:val="auto"/>
              </w:rPr>
            </w:pPr>
            <w:r>
              <w:rPr>
                <w:rFonts w:ascii="Arial" w:cs="Arial" w:eastAsia="Arial" w:hAnsi="Arial"/>
                <w:sz w:val="18"/>
                <w:szCs w:val="18"/>
                <w:color w:val="auto"/>
              </w:rPr>
              <w:t>10.2</w:t>
            </w:r>
          </w:p>
        </w:tc>
        <w:tc>
          <w:tcPr>
            <w:tcW w:w="1380" w:type="dxa"/>
            <w:vAlign w:val="bottom"/>
          </w:tcPr>
          <w:p>
            <w:pPr>
              <w:ind w:left="120"/>
              <w:spacing w:after="0" w:line="182" w:lineRule="exact"/>
              <w:rPr>
                <w:sz w:val="20"/>
                <w:szCs w:val="20"/>
                <w:color w:val="auto"/>
              </w:rPr>
            </w:pPr>
            <w:r>
              <w:rPr>
                <w:rFonts w:ascii="Arial" w:cs="Arial" w:eastAsia="Arial" w:hAnsi="Arial"/>
                <w:sz w:val="18"/>
                <w:szCs w:val="18"/>
                <w:color w:val="auto"/>
              </w:rPr>
              <w:t>July 13,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agreements thereunder.</w:t>
              </w:r>
            </w:hyperlink>
          </w:p>
        </w:tc>
        <w:tc>
          <w:tcPr>
            <w:tcW w:w="600" w:type="dxa"/>
            <w:vAlign w:val="bottom"/>
            <w:gridSpan w:val="10"/>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10.3+</w:t>
            </w:r>
          </w:p>
        </w:tc>
        <w:tc>
          <w:tcPr>
            <w:tcW w:w="5240" w:type="dxa"/>
            <w:vAlign w:val="bottom"/>
            <w:tcBorders>
              <w:bottom w:val="single" w:sz="8" w:color="auto"/>
            </w:tcBorders>
            <w:gridSpan w:val="20"/>
          </w:tcPr>
          <w:p>
            <w:pPr>
              <w:spacing w:after="0"/>
              <w:rPr>
                <w:rFonts w:ascii="Arial" w:cs="Arial" w:eastAsia="Arial" w:hAnsi="Arial"/>
                <w:sz w:val="18"/>
                <w:szCs w:val="18"/>
                <w:u w:val="single" w:color="auto"/>
                <w:color w:val="0000EE"/>
              </w:rPr>
            </w:pPr>
            <w:hyperlink r:id="rId114">
              <w:r>
                <w:rPr>
                  <w:rFonts w:ascii="Arial" w:cs="Arial" w:eastAsia="Arial" w:hAnsi="Arial"/>
                  <w:sz w:val="18"/>
                  <w:szCs w:val="18"/>
                  <w:u w:val="single" w:color="auto"/>
                  <w:color w:val="0000EE"/>
                </w:rPr>
                <w:t>2020 Employee Stock Purchase Plan.</w:t>
              </w:r>
            </w:hyperlink>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S-1/A</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333-239490</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10.3</w:t>
            </w: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July 13, 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gridSpan w:val="2"/>
          </w:tcPr>
          <w:p>
            <w:pPr>
              <w:spacing w:after="0" w:line="182" w:lineRule="exact"/>
              <w:rPr>
                <w:sz w:val="20"/>
                <w:szCs w:val="20"/>
                <w:color w:val="auto"/>
              </w:rPr>
            </w:pPr>
            <w:r>
              <w:rPr>
                <w:rFonts w:ascii="Arial" w:cs="Arial" w:eastAsia="Arial" w:hAnsi="Arial"/>
                <w:sz w:val="18"/>
                <w:szCs w:val="18"/>
                <w:color w:val="auto"/>
              </w:rPr>
              <w:t>10.4+</w:t>
            </w:r>
          </w:p>
        </w:tc>
        <w:tc>
          <w:tcPr>
            <w:tcW w:w="4840" w:type="dxa"/>
            <w:vAlign w:val="bottom"/>
            <w:tcBorders>
              <w:bottom w:val="single" w:sz="8" w:color="0000EE"/>
            </w:tcBorders>
            <w:gridSpan w:val="14"/>
          </w:tcPr>
          <w:p>
            <w:pPr>
              <w:spacing w:after="0" w:line="182"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Confirmatory Offer Letter between the Registrant and Jaume Pons,</w:t>
              </w:r>
            </w:hyperlink>
          </w:p>
        </w:tc>
        <w:tc>
          <w:tcPr>
            <w:tcW w:w="400" w:type="dxa"/>
            <w:vAlign w:val="bottom"/>
            <w:gridSpan w:val="6"/>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7"/>
              </w:rPr>
              <w:t>S-1/A</w:t>
            </w:r>
          </w:p>
        </w:tc>
        <w:tc>
          <w:tcPr>
            <w:tcW w:w="1140" w:type="dxa"/>
            <w:vAlign w:val="bottom"/>
          </w:tcPr>
          <w:p>
            <w:pPr>
              <w:ind w:left="40"/>
              <w:spacing w:after="0" w:line="182" w:lineRule="exact"/>
              <w:rPr>
                <w:sz w:val="20"/>
                <w:szCs w:val="20"/>
                <w:color w:val="auto"/>
              </w:rPr>
            </w:pPr>
            <w:r>
              <w:rPr>
                <w:rFonts w:ascii="Arial" w:cs="Arial" w:eastAsia="Arial" w:hAnsi="Arial"/>
                <w:sz w:val="18"/>
                <w:szCs w:val="18"/>
                <w:color w:val="auto"/>
              </w:rPr>
              <w:t>333-239490</w:t>
            </w:r>
          </w:p>
        </w:tc>
        <w:tc>
          <w:tcPr>
            <w:tcW w:w="1320" w:type="dxa"/>
            <w:vAlign w:val="bottom"/>
          </w:tcPr>
          <w:p>
            <w:pPr>
              <w:ind w:left="180"/>
              <w:spacing w:after="0" w:line="182" w:lineRule="exact"/>
              <w:rPr>
                <w:sz w:val="20"/>
                <w:szCs w:val="20"/>
                <w:color w:val="auto"/>
              </w:rPr>
            </w:pPr>
            <w:r>
              <w:rPr>
                <w:rFonts w:ascii="Arial" w:cs="Arial" w:eastAsia="Arial" w:hAnsi="Arial"/>
                <w:sz w:val="18"/>
                <w:szCs w:val="18"/>
                <w:color w:val="auto"/>
              </w:rPr>
              <w:t>10.4</w:t>
            </w:r>
          </w:p>
        </w:tc>
        <w:tc>
          <w:tcPr>
            <w:tcW w:w="1380" w:type="dxa"/>
            <w:vAlign w:val="bottom"/>
          </w:tcPr>
          <w:p>
            <w:pPr>
              <w:ind w:left="120"/>
              <w:spacing w:after="0" w:line="182" w:lineRule="exact"/>
              <w:rPr>
                <w:sz w:val="20"/>
                <w:szCs w:val="20"/>
                <w:color w:val="auto"/>
              </w:rPr>
            </w:pPr>
            <w:r>
              <w:rPr>
                <w:rFonts w:ascii="Arial" w:cs="Arial" w:eastAsia="Arial" w:hAnsi="Arial"/>
                <w:sz w:val="18"/>
                <w:szCs w:val="18"/>
                <w:color w:val="auto"/>
              </w:rPr>
              <w:t>July 13,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40" w:type="dxa"/>
            <w:vAlign w:val="bottom"/>
            <w:gridSpan w:val="20"/>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Ph.D., effective as of July 9, 2020.</w:t>
              </w:r>
            </w:hyperlink>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top w:val="single" w:sz="8" w:color="0000EE"/>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10.5+</w:t>
            </w:r>
          </w:p>
        </w:tc>
        <w:tc>
          <w:tcPr>
            <w:tcW w:w="4960" w:type="dxa"/>
            <w:vAlign w:val="bottom"/>
            <w:tcBorders>
              <w:bottom w:val="single" w:sz="8" w:color="0000EE"/>
            </w:tcBorders>
            <w:gridSpan w:val="16"/>
          </w:tcPr>
          <w:p>
            <w:pPr>
              <w:spacing w:after="0" w:line="182"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Confirmatory Offer Letter between the Registrant and Nathan Caffo,</w:t>
              </w:r>
            </w:hyperlink>
          </w:p>
        </w:tc>
        <w:tc>
          <w:tcPr>
            <w:tcW w:w="280" w:type="dxa"/>
            <w:vAlign w:val="bottom"/>
            <w:gridSpan w:val="4"/>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7"/>
              </w:rPr>
              <w:t>S-1/A</w:t>
            </w:r>
          </w:p>
        </w:tc>
        <w:tc>
          <w:tcPr>
            <w:tcW w:w="1140" w:type="dxa"/>
            <w:vAlign w:val="bottom"/>
          </w:tcPr>
          <w:p>
            <w:pPr>
              <w:ind w:left="40"/>
              <w:spacing w:after="0" w:line="182" w:lineRule="exact"/>
              <w:rPr>
                <w:sz w:val="20"/>
                <w:szCs w:val="20"/>
                <w:color w:val="auto"/>
              </w:rPr>
            </w:pPr>
            <w:r>
              <w:rPr>
                <w:rFonts w:ascii="Arial" w:cs="Arial" w:eastAsia="Arial" w:hAnsi="Arial"/>
                <w:sz w:val="18"/>
                <w:szCs w:val="18"/>
                <w:color w:val="auto"/>
              </w:rPr>
              <w:t>333-239490</w:t>
            </w:r>
          </w:p>
        </w:tc>
        <w:tc>
          <w:tcPr>
            <w:tcW w:w="1320" w:type="dxa"/>
            <w:vAlign w:val="bottom"/>
          </w:tcPr>
          <w:p>
            <w:pPr>
              <w:ind w:left="180"/>
              <w:spacing w:after="0" w:line="182" w:lineRule="exact"/>
              <w:rPr>
                <w:sz w:val="20"/>
                <w:szCs w:val="20"/>
                <w:color w:val="auto"/>
              </w:rPr>
            </w:pPr>
            <w:r>
              <w:rPr>
                <w:rFonts w:ascii="Arial" w:cs="Arial" w:eastAsia="Arial" w:hAnsi="Arial"/>
                <w:sz w:val="18"/>
                <w:szCs w:val="18"/>
                <w:color w:val="auto"/>
              </w:rPr>
              <w:t>10.5</w:t>
            </w:r>
          </w:p>
        </w:tc>
        <w:tc>
          <w:tcPr>
            <w:tcW w:w="1380" w:type="dxa"/>
            <w:vAlign w:val="bottom"/>
          </w:tcPr>
          <w:p>
            <w:pPr>
              <w:ind w:left="120"/>
              <w:spacing w:after="0" w:line="182" w:lineRule="exact"/>
              <w:rPr>
                <w:sz w:val="20"/>
                <w:szCs w:val="20"/>
                <w:color w:val="auto"/>
              </w:rPr>
            </w:pPr>
            <w:r>
              <w:rPr>
                <w:rFonts w:ascii="Arial" w:cs="Arial" w:eastAsia="Arial" w:hAnsi="Arial"/>
                <w:sz w:val="18"/>
                <w:szCs w:val="18"/>
                <w:color w:val="auto"/>
              </w:rPr>
              <w:t>July 13,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40" w:type="dxa"/>
            <w:vAlign w:val="bottom"/>
            <w:gridSpan w:val="20"/>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effective as of July 9, 2020.</w:t>
              </w:r>
            </w:hyperlink>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10.6+</w:t>
            </w:r>
          </w:p>
        </w:tc>
        <w:tc>
          <w:tcPr>
            <w:tcW w:w="4880" w:type="dxa"/>
            <w:vAlign w:val="bottom"/>
            <w:tcBorders>
              <w:bottom w:val="single" w:sz="8" w:color="0000EE"/>
            </w:tcBorders>
            <w:gridSpan w:val="15"/>
          </w:tcPr>
          <w:p>
            <w:pPr>
              <w:spacing w:after="0" w:line="182"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Confirmatory Offer Letter between the Registrant and Peter Garcia,</w:t>
              </w:r>
            </w:hyperlink>
          </w:p>
        </w:tc>
        <w:tc>
          <w:tcPr>
            <w:tcW w:w="360" w:type="dxa"/>
            <w:vAlign w:val="bottom"/>
            <w:gridSpan w:val="5"/>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7"/>
              </w:rPr>
              <w:t>S-1/A</w:t>
            </w:r>
          </w:p>
        </w:tc>
        <w:tc>
          <w:tcPr>
            <w:tcW w:w="1140" w:type="dxa"/>
            <w:vAlign w:val="bottom"/>
          </w:tcPr>
          <w:p>
            <w:pPr>
              <w:ind w:left="40"/>
              <w:spacing w:after="0" w:line="182" w:lineRule="exact"/>
              <w:rPr>
                <w:sz w:val="20"/>
                <w:szCs w:val="20"/>
                <w:color w:val="auto"/>
              </w:rPr>
            </w:pPr>
            <w:r>
              <w:rPr>
                <w:rFonts w:ascii="Arial" w:cs="Arial" w:eastAsia="Arial" w:hAnsi="Arial"/>
                <w:sz w:val="18"/>
                <w:szCs w:val="18"/>
                <w:color w:val="auto"/>
              </w:rPr>
              <w:t>333-239490</w:t>
            </w:r>
          </w:p>
        </w:tc>
        <w:tc>
          <w:tcPr>
            <w:tcW w:w="1320" w:type="dxa"/>
            <w:vAlign w:val="bottom"/>
          </w:tcPr>
          <w:p>
            <w:pPr>
              <w:ind w:left="180"/>
              <w:spacing w:after="0" w:line="182" w:lineRule="exact"/>
              <w:rPr>
                <w:sz w:val="20"/>
                <w:szCs w:val="20"/>
                <w:color w:val="auto"/>
              </w:rPr>
            </w:pPr>
            <w:r>
              <w:rPr>
                <w:rFonts w:ascii="Arial" w:cs="Arial" w:eastAsia="Arial" w:hAnsi="Arial"/>
                <w:sz w:val="18"/>
                <w:szCs w:val="18"/>
                <w:color w:val="auto"/>
              </w:rPr>
              <w:t>10.6</w:t>
            </w:r>
          </w:p>
        </w:tc>
        <w:tc>
          <w:tcPr>
            <w:tcW w:w="1380" w:type="dxa"/>
            <w:vAlign w:val="bottom"/>
          </w:tcPr>
          <w:p>
            <w:pPr>
              <w:ind w:left="120"/>
              <w:spacing w:after="0" w:line="182" w:lineRule="exact"/>
              <w:rPr>
                <w:sz w:val="20"/>
                <w:szCs w:val="20"/>
                <w:color w:val="auto"/>
              </w:rPr>
            </w:pPr>
            <w:r>
              <w:rPr>
                <w:rFonts w:ascii="Arial" w:cs="Arial" w:eastAsia="Arial" w:hAnsi="Arial"/>
                <w:sz w:val="18"/>
                <w:szCs w:val="18"/>
                <w:color w:val="auto"/>
              </w:rPr>
              <w:t>July 13,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40" w:type="dxa"/>
            <w:vAlign w:val="bottom"/>
            <w:gridSpan w:val="20"/>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effective as of July 9, 2020.</w:t>
              </w:r>
            </w:hyperlink>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10.7+</w:t>
            </w:r>
          </w:p>
        </w:tc>
        <w:tc>
          <w:tcPr>
            <w:tcW w:w="5080" w:type="dxa"/>
            <w:vAlign w:val="bottom"/>
            <w:tcBorders>
              <w:bottom w:val="single" w:sz="8" w:color="0000EE"/>
            </w:tcBorders>
            <w:gridSpan w:val="19"/>
          </w:tcPr>
          <w:p>
            <w:pPr>
              <w:spacing w:after="0" w:line="182"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Confirmatory Offer Letter between the Registrant and Steffen Pietzke,</w:t>
              </w:r>
            </w:hyperlink>
          </w:p>
        </w:tc>
        <w:tc>
          <w:tcPr>
            <w:tcW w:w="16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7"/>
              </w:rPr>
              <w:t>S-1/A</w:t>
            </w:r>
          </w:p>
        </w:tc>
        <w:tc>
          <w:tcPr>
            <w:tcW w:w="1140" w:type="dxa"/>
            <w:vAlign w:val="bottom"/>
          </w:tcPr>
          <w:p>
            <w:pPr>
              <w:ind w:left="40"/>
              <w:spacing w:after="0" w:line="182" w:lineRule="exact"/>
              <w:rPr>
                <w:sz w:val="20"/>
                <w:szCs w:val="20"/>
                <w:color w:val="auto"/>
              </w:rPr>
            </w:pPr>
            <w:r>
              <w:rPr>
                <w:rFonts w:ascii="Arial" w:cs="Arial" w:eastAsia="Arial" w:hAnsi="Arial"/>
                <w:sz w:val="18"/>
                <w:szCs w:val="18"/>
                <w:color w:val="auto"/>
              </w:rPr>
              <w:t>333-239490</w:t>
            </w:r>
          </w:p>
        </w:tc>
        <w:tc>
          <w:tcPr>
            <w:tcW w:w="1320" w:type="dxa"/>
            <w:vAlign w:val="bottom"/>
          </w:tcPr>
          <w:p>
            <w:pPr>
              <w:ind w:left="180"/>
              <w:spacing w:after="0" w:line="182" w:lineRule="exact"/>
              <w:rPr>
                <w:sz w:val="20"/>
                <w:szCs w:val="20"/>
                <w:color w:val="auto"/>
              </w:rPr>
            </w:pPr>
            <w:r>
              <w:rPr>
                <w:rFonts w:ascii="Arial" w:cs="Arial" w:eastAsia="Arial" w:hAnsi="Arial"/>
                <w:sz w:val="18"/>
                <w:szCs w:val="18"/>
                <w:color w:val="auto"/>
              </w:rPr>
              <w:t>10.7</w:t>
            </w:r>
          </w:p>
        </w:tc>
        <w:tc>
          <w:tcPr>
            <w:tcW w:w="1380" w:type="dxa"/>
            <w:vAlign w:val="bottom"/>
          </w:tcPr>
          <w:p>
            <w:pPr>
              <w:ind w:left="120"/>
              <w:spacing w:after="0" w:line="182" w:lineRule="exact"/>
              <w:rPr>
                <w:sz w:val="20"/>
                <w:szCs w:val="20"/>
                <w:color w:val="auto"/>
              </w:rPr>
            </w:pPr>
            <w:r>
              <w:rPr>
                <w:rFonts w:ascii="Arial" w:cs="Arial" w:eastAsia="Arial" w:hAnsi="Arial"/>
                <w:sz w:val="18"/>
                <w:szCs w:val="18"/>
                <w:color w:val="auto"/>
              </w:rPr>
              <w:t>July 13,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40" w:type="dxa"/>
            <w:vAlign w:val="bottom"/>
            <w:gridSpan w:val="20"/>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effective as of July 9, 2020.</w:t>
              </w:r>
            </w:hyperlink>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top w:val="single" w:sz="8" w:color="0000EE"/>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10.8+</w:t>
            </w:r>
          </w:p>
        </w:tc>
        <w:tc>
          <w:tcPr>
            <w:tcW w:w="4440" w:type="dxa"/>
            <w:vAlign w:val="bottom"/>
            <w:tcBorders>
              <w:bottom w:val="single" w:sz="8" w:color="0000EE"/>
            </w:tcBorders>
            <w:gridSpan w:val="7"/>
          </w:tcPr>
          <w:p>
            <w:pPr>
              <w:spacing w:after="0" w:line="182"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Confirmatory Offer Letter between the Registrant and Sophia</w:t>
              </w:r>
            </w:hyperlink>
          </w:p>
        </w:tc>
        <w:tc>
          <w:tcPr>
            <w:tcW w:w="800" w:type="dxa"/>
            <w:vAlign w:val="bottom"/>
            <w:gridSpan w:val="13"/>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7"/>
              </w:rPr>
              <w:t>S-1/A</w:t>
            </w:r>
          </w:p>
        </w:tc>
        <w:tc>
          <w:tcPr>
            <w:tcW w:w="1140" w:type="dxa"/>
            <w:vAlign w:val="bottom"/>
          </w:tcPr>
          <w:p>
            <w:pPr>
              <w:ind w:left="40"/>
              <w:spacing w:after="0" w:line="182" w:lineRule="exact"/>
              <w:rPr>
                <w:sz w:val="20"/>
                <w:szCs w:val="20"/>
                <w:color w:val="auto"/>
              </w:rPr>
            </w:pPr>
            <w:r>
              <w:rPr>
                <w:rFonts w:ascii="Arial" w:cs="Arial" w:eastAsia="Arial" w:hAnsi="Arial"/>
                <w:sz w:val="18"/>
                <w:szCs w:val="18"/>
                <w:color w:val="auto"/>
              </w:rPr>
              <w:t>333-239490</w:t>
            </w:r>
          </w:p>
        </w:tc>
        <w:tc>
          <w:tcPr>
            <w:tcW w:w="1320" w:type="dxa"/>
            <w:vAlign w:val="bottom"/>
          </w:tcPr>
          <w:p>
            <w:pPr>
              <w:ind w:left="180"/>
              <w:spacing w:after="0" w:line="182" w:lineRule="exact"/>
              <w:rPr>
                <w:sz w:val="20"/>
                <w:szCs w:val="20"/>
                <w:color w:val="auto"/>
              </w:rPr>
            </w:pPr>
            <w:r>
              <w:rPr>
                <w:rFonts w:ascii="Arial" w:cs="Arial" w:eastAsia="Arial" w:hAnsi="Arial"/>
                <w:sz w:val="18"/>
                <w:szCs w:val="18"/>
                <w:color w:val="auto"/>
              </w:rPr>
              <w:t>10.8</w:t>
            </w:r>
          </w:p>
        </w:tc>
        <w:tc>
          <w:tcPr>
            <w:tcW w:w="1380" w:type="dxa"/>
            <w:vAlign w:val="bottom"/>
          </w:tcPr>
          <w:p>
            <w:pPr>
              <w:ind w:left="120"/>
              <w:spacing w:after="0" w:line="182" w:lineRule="exact"/>
              <w:rPr>
                <w:sz w:val="20"/>
                <w:szCs w:val="20"/>
                <w:color w:val="auto"/>
              </w:rPr>
            </w:pPr>
            <w:r>
              <w:rPr>
                <w:rFonts w:ascii="Arial" w:cs="Arial" w:eastAsia="Arial" w:hAnsi="Arial"/>
                <w:sz w:val="18"/>
                <w:szCs w:val="18"/>
                <w:color w:val="auto"/>
              </w:rPr>
              <w:t>July 13,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20"/>
          </w:tcPr>
          <w:p>
            <w:pPr>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Randolph, M.D., Ph.D., effective as of July 9, 2020.</w:t>
              </w:r>
            </w:hyperlink>
          </w:p>
        </w:tc>
        <w:tc>
          <w:tcPr>
            <w:tcW w:w="1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10.9+</w:t>
            </w:r>
          </w:p>
        </w:tc>
        <w:tc>
          <w:tcPr>
            <w:tcW w:w="5240" w:type="dxa"/>
            <w:vAlign w:val="bottom"/>
            <w:tcBorders>
              <w:bottom w:val="single" w:sz="8" w:color="auto"/>
            </w:tcBorders>
            <w:gridSpan w:val="20"/>
          </w:tcPr>
          <w:p>
            <w:pPr>
              <w:spacing w:after="0"/>
              <w:rPr>
                <w:rFonts w:ascii="Arial" w:cs="Arial" w:eastAsia="Arial" w:hAnsi="Arial"/>
                <w:sz w:val="18"/>
                <w:szCs w:val="18"/>
                <w:color w:val="0000EE"/>
              </w:rPr>
            </w:pPr>
            <w:hyperlink r:id="rId120">
              <w:r>
                <w:rPr>
                  <w:rFonts w:ascii="Arial" w:cs="Arial" w:eastAsia="Arial" w:hAnsi="Arial"/>
                  <w:sz w:val="18"/>
                  <w:szCs w:val="18"/>
                  <w:u w:val="single" w:color="auto"/>
                  <w:color w:val="0000EE"/>
                </w:rPr>
                <w:t>Executive Incentive Compensation Plan</w:t>
              </w:r>
              <w:r>
                <w:rPr>
                  <w:rFonts w:ascii="Arial" w:cs="Arial" w:eastAsia="Arial" w:hAnsi="Arial"/>
                  <w:sz w:val="18"/>
                  <w:szCs w:val="18"/>
                  <w:color w:val="0000EE"/>
                </w:rPr>
                <w:t>.</w:t>
              </w:r>
            </w:hyperlink>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S-1/A</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333-239490</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10.9</w:t>
            </w: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July 13, 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10.10+</w:t>
            </w:r>
          </w:p>
        </w:tc>
        <w:tc>
          <w:tcPr>
            <w:tcW w:w="5240" w:type="dxa"/>
            <w:vAlign w:val="bottom"/>
            <w:tcBorders>
              <w:bottom w:val="single" w:sz="8" w:color="auto"/>
            </w:tcBorders>
            <w:gridSpan w:val="20"/>
          </w:tcPr>
          <w:p>
            <w:pPr>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Outside Director Compensation Policy.</w:t>
              </w:r>
            </w:hyperlink>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S-1/A</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333-239490</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10.10</w:t>
            </w: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July 13, 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10.11+</w:t>
            </w:r>
          </w:p>
        </w:tc>
        <w:tc>
          <w:tcPr>
            <w:tcW w:w="5240" w:type="dxa"/>
            <w:vAlign w:val="bottom"/>
            <w:tcBorders>
              <w:bottom w:val="single" w:sz="8" w:color="auto"/>
            </w:tcBorders>
            <w:gridSpan w:val="20"/>
          </w:tcPr>
          <w:p>
            <w:pPr>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Form of Change in Control and Severance Agreement.</w:t>
              </w:r>
            </w:hyperlink>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S-1/A</w:t>
            </w: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333-239490</w:t>
            </w:r>
          </w:p>
        </w:tc>
        <w:tc>
          <w:tcPr>
            <w:tcW w:w="13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10.11</w:t>
            </w:r>
          </w:p>
        </w:tc>
        <w:tc>
          <w:tcPr>
            <w:tcW w:w="13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July 13, 2020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0" w:type="dxa"/>
            <w:vAlign w:val="bottom"/>
            <w:gridSpan w:val="2"/>
          </w:tcPr>
          <w:p>
            <w:pPr>
              <w:spacing w:after="0" w:line="182" w:lineRule="exact"/>
              <w:rPr>
                <w:sz w:val="20"/>
                <w:szCs w:val="20"/>
                <w:color w:val="auto"/>
              </w:rPr>
            </w:pPr>
            <w:r>
              <w:rPr>
                <w:rFonts w:ascii="Arial" w:cs="Arial" w:eastAsia="Arial" w:hAnsi="Arial"/>
                <w:sz w:val="18"/>
                <w:szCs w:val="18"/>
                <w:color w:val="auto"/>
              </w:rPr>
              <w:t>10.13</w:t>
            </w:r>
          </w:p>
        </w:tc>
        <w:tc>
          <w:tcPr>
            <w:tcW w:w="5080" w:type="dxa"/>
            <w:vAlign w:val="bottom"/>
            <w:tcBorders>
              <w:bottom w:val="single" w:sz="8" w:color="0000EE"/>
            </w:tcBorders>
            <w:gridSpan w:val="19"/>
          </w:tcPr>
          <w:p>
            <w:pPr>
              <w:spacing w:after="0" w:line="182" w:lineRule="exact"/>
              <w:rPr>
                <w:rFonts w:ascii="Arial" w:cs="Arial" w:eastAsia="Arial" w:hAnsi="Arial"/>
                <w:sz w:val="18"/>
                <w:szCs w:val="18"/>
                <w:color w:val="0000EE"/>
                <w:w w:val="89"/>
              </w:rPr>
            </w:pPr>
            <w:hyperlink r:id="rId123">
              <w:r>
                <w:rPr>
                  <w:rFonts w:ascii="Arial" w:cs="Arial" w:eastAsia="Arial" w:hAnsi="Arial"/>
                  <w:sz w:val="18"/>
                  <w:szCs w:val="18"/>
                  <w:color w:val="0000EE"/>
                  <w:w w:val="89"/>
                </w:rPr>
                <w:t>Loan and Security Agreement, dated as of December 20, 2019, among</w:t>
              </w:r>
            </w:hyperlink>
          </w:p>
        </w:tc>
        <w:tc>
          <w:tcPr>
            <w:tcW w:w="160" w:type="dxa"/>
            <w:vAlign w:val="bottom"/>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85"/>
              </w:rPr>
              <w:t>S-1</w:t>
            </w:r>
          </w:p>
        </w:tc>
        <w:tc>
          <w:tcPr>
            <w:tcW w:w="1140" w:type="dxa"/>
            <w:vAlign w:val="bottom"/>
          </w:tcPr>
          <w:p>
            <w:pPr>
              <w:ind w:left="40"/>
              <w:spacing w:after="0" w:line="182" w:lineRule="exact"/>
              <w:rPr>
                <w:sz w:val="20"/>
                <w:szCs w:val="20"/>
                <w:color w:val="auto"/>
              </w:rPr>
            </w:pPr>
            <w:r>
              <w:rPr>
                <w:rFonts w:ascii="Arial" w:cs="Arial" w:eastAsia="Arial" w:hAnsi="Arial"/>
                <w:sz w:val="18"/>
                <w:szCs w:val="18"/>
                <w:color w:val="auto"/>
              </w:rPr>
              <w:t>333-239490</w:t>
            </w:r>
          </w:p>
        </w:tc>
        <w:tc>
          <w:tcPr>
            <w:tcW w:w="1320" w:type="dxa"/>
            <w:vAlign w:val="bottom"/>
          </w:tcPr>
          <w:p>
            <w:pPr>
              <w:ind w:left="180"/>
              <w:spacing w:after="0" w:line="182" w:lineRule="exact"/>
              <w:rPr>
                <w:sz w:val="20"/>
                <w:szCs w:val="20"/>
                <w:color w:val="auto"/>
              </w:rPr>
            </w:pPr>
            <w:r>
              <w:rPr>
                <w:rFonts w:ascii="Arial" w:cs="Arial" w:eastAsia="Arial" w:hAnsi="Arial"/>
                <w:sz w:val="18"/>
                <w:szCs w:val="18"/>
                <w:color w:val="auto"/>
              </w:rPr>
              <w:t>10.13</w:t>
            </w:r>
          </w:p>
        </w:tc>
        <w:tc>
          <w:tcPr>
            <w:tcW w:w="1380" w:type="dxa"/>
            <w:vAlign w:val="bottom"/>
          </w:tcPr>
          <w:p>
            <w:pPr>
              <w:ind w:left="120"/>
              <w:spacing w:after="0" w:line="182" w:lineRule="exact"/>
              <w:rPr>
                <w:sz w:val="20"/>
                <w:szCs w:val="20"/>
                <w:color w:val="auto"/>
              </w:rPr>
            </w:pPr>
            <w:r>
              <w:rPr>
                <w:rFonts w:ascii="Arial" w:cs="Arial" w:eastAsia="Arial" w:hAnsi="Arial"/>
                <w:sz w:val="18"/>
                <w:szCs w:val="18"/>
                <w:color w:val="auto"/>
              </w:rPr>
              <w:t>June 26,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40" w:type="dxa"/>
            <w:vAlign w:val="bottom"/>
            <w:gridSpan w:val="20"/>
          </w:tcPr>
          <w:p>
            <w:pPr>
              <w:spacing w:after="0" w:line="196" w:lineRule="exact"/>
              <w:rPr>
                <w:rFonts w:ascii="Arial" w:cs="Arial" w:eastAsia="Arial" w:hAnsi="Arial"/>
                <w:sz w:val="18"/>
                <w:szCs w:val="18"/>
                <w:color w:val="0000EE"/>
              </w:rPr>
            </w:pPr>
            <w:hyperlink r:id="rId123">
              <w:r>
                <w:rPr>
                  <w:rFonts w:ascii="Arial" w:cs="Arial" w:eastAsia="Arial" w:hAnsi="Arial"/>
                  <w:sz w:val="18"/>
                  <w:szCs w:val="18"/>
                  <w:color w:val="0000EE"/>
                </w:rPr>
                <w:t>the Registrant, certain of its affiliates, Silicon Valley Bank and</w:t>
              </w:r>
            </w:hyperlink>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700" w:type="dxa"/>
            <w:vAlign w:val="bottom"/>
            <w:gridSpan w:val="5"/>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WestRiver Innovation Lending Fund VIII, L.P., as amended by the</w:t>
              </w:r>
            </w:hyperlink>
          </w:p>
        </w:tc>
        <w:tc>
          <w:tcPr>
            <w:tcW w:w="440" w:type="dxa"/>
            <w:vAlign w:val="bottom"/>
            <w:gridSpan w:val="8"/>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240" w:type="dxa"/>
            <w:vAlign w:val="bottom"/>
            <w:gridSpan w:val="20"/>
          </w:tcPr>
          <w:p>
            <w:pPr>
              <w:spacing w:after="0"/>
              <w:rPr>
                <w:rFonts w:ascii="Arial" w:cs="Arial" w:eastAsia="Arial" w:hAnsi="Arial"/>
                <w:sz w:val="18"/>
                <w:szCs w:val="18"/>
                <w:u w:val="single" w:color="auto"/>
                <w:color w:val="0000EE"/>
                <w:w w:val="99"/>
              </w:rPr>
            </w:pPr>
            <w:hyperlink r:id="rId123">
              <w:r>
                <w:rPr>
                  <w:rFonts w:ascii="Arial" w:cs="Arial" w:eastAsia="Arial" w:hAnsi="Arial"/>
                  <w:sz w:val="18"/>
                  <w:szCs w:val="18"/>
                  <w:u w:val="single" w:color="auto"/>
                  <w:color w:val="0000EE"/>
                  <w:w w:val="99"/>
                </w:rPr>
                <w:t>Joinder and First Amendment to Loan and Security Agreement on</w:t>
              </w:r>
            </w:hyperlink>
          </w:p>
        </w:tc>
        <w:tc>
          <w:tcPr>
            <w:tcW w:w="1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20"/>
          </w:tcPr>
          <w:p>
            <w:pPr>
              <w:spacing w:after="0"/>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May 21, 2020.</w:t>
              </w:r>
            </w:hyperlink>
          </w:p>
        </w:tc>
        <w:tc>
          <w:tcPr>
            <w:tcW w:w="1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10.15</w:t>
            </w:r>
          </w:p>
        </w:tc>
        <w:tc>
          <w:tcPr>
            <w:tcW w:w="5000" w:type="dxa"/>
            <w:vAlign w:val="bottom"/>
            <w:tcBorders>
              <w:bottom w:val="single" w:sz="8" w:color="0000EE"/>
            </w:tcBorders>
            <w:gridSpan w:val="17"/>
          </w:tcPr>
          <w:p>
            <w:pPr>
              <w:spacing w:after="0" w:line="182" w:lineRule="exact"/>
              <w:rPr>
                <w:rFonts w:ascii="Arial" w:cs="Arial" w:eastAsia="Arial" w:hAnsi="Arial"/>
                <w:sz w:val="18"/>
                <w:szCs w:val="18"/>
                <w:color w:val="0000EE"/>
                <w:w w:val="88"/>
              </w:rPr>
            </w:pPr>
            <w:hyperlink r:id="rId124">
              <w:r>
                <w:rPr>
                  <w:rFonts w:ascii="Arial" w:cs="Arial" w:eastAsia="Arial" w:hAnsi="Arial"/>
                  <w:sz w:val="18"/>
                  <w:szCs w:val="18"/>
                  <w:color w:val="0000EE"/>
                  <w:w w:val="88"/>
                </w:rPr>
                <w:t>Research and Development Services Agreement, dated as of June 25,</w:t>
              </w:r>
            </w:hyperlink>
          </w:p>
        </w:tc>
        <w:tc>
          <w:tcPr>
            <w:tcW w:w="240" w:type="dxa"/>
            <w:vAlign w:val="bottom"/>
            <w:gridSpan w:val="3"/>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85"/>
              </w:rPr>
              <w:t>S-1</w:t>
            </w:r>
          </w:p>
        </w:tc>
        <w:tc>
          <w:tcPr>
            <w:tcW w:w="1140" w:type="dxa"/>
            <w:vAlign w:val="bottom"/>
          </w:tcPr>
          <w:p>
            <w:pPr>
              <w:ind w:left="40"/>
              <w:spacing w:after="0" w:line="182" w:lineRule="exact"/>
              <w:rPr>
                <w:sz w:val="20"/>
                <w:szCs w:val="20"/>
                <w:color w:val="auto"/>
              </w:rPr>
            </w:pPr>
            <w:r>
              <w:rPr>
                <w:rFonts w:ascii="Arial" w:cs="Arial" w:eastAsia="Arial" w:hAnsi="Arial"/>
                <w:sz w:val="18"/>
                <w:szCs w:val="18"/>
                <w:color w:val="auto"/>
              </w:rPr>
              <w:t>333-239490</w:t>
            </w:r>
          </w:p>
        </w:tc>
        <w:tc>
          <w:tcPr>
            <w:tcW w:w="1320" w:type="dxa"/>
            <w:vAlign w:val="bottom"/>
          </w:tcPr>
          <w:p>
            <w:pPr>
              <w:ind w:left="180"/>
              <w:spacing w:after="0" w:line="182" w:lineRule="exact"/>
              <w:rPr>
                <w:sz w:val="20"/>
                <w:szCs w:val="20"/>
                <w:color w:val="auto"/>
              </w:rPr>
            </w:pPr>
            <w:r>
              <w:rPr>
                <w:rFonts w:ascii="Arial" w:cs="Arial" w:eastAsia="Arial" w:hAnsi="Arial"/>
                <w:sz w:val="18"/>
                <w:szCs w:val="18"/>
                <w:color w:val="auto"/>
              </w:rPr>
              <w:t>10.15</w:t>
            </w:r>
          </w:p>
        </w:tc>
        <w:tc>
          <w:tcPr>
            <w:tcW w:w="1380" w:type="dxa"/>
            <w:vAlign w:val="bottom"/>
          </w:tcPr>
          <w:p>
            <w:pPr>
              <w:ind w:left="120"/>
              <w:spacing w:after="0" w:line="182" w:lineRule="exact"/>
              <w:rPr>
                <w:sz w:val="20"/>
                <w:szCs w:val="20"/>
                <w:color w:val="auto"/>
              </w:rPr>
            </w:pPr>
            <w:r>
              <w:rPr>
                <w:rFonts w:ascii="Arial" w:cs="Arial" w:eastAsia="Arial" w:hAnsi="Arial"/>
                <w:sz w:val="18"/>
                <w:szCs w:val="18"/>
                <w:color w:val="auto"/>
              </w:rPr>
              <w:t>June 26, 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40" w:type="dxa"/>
            <w:vAlign w:val="bottom"/>
            <w:gridSpan w:val="20"/>
          </w:tcPr>
          <w:p>
            <w:pPr>
              <w:spacing w:after="0" w:line="196" w:lineRule="exact"/>
              <w:rPr>
                <w:rFonts w:ascii="Arial" w:cs="Arial" w:eastAsia="Arial" w:hAnsi="Arial"/>
                <w:sz w:val="18"/>
                <w:szCs w:val="18"/>
                <w:color w:val="0000EE"/>
                <w:w w:val="95"/>
              </w:rPr>
            </w:pPr>
            <w:hyperlink r:id="rId124">
              <w:r>
                <w:rPr>
                  <w:rFonts w:ascii="Arial" w:cs="Arial" w:eastAsia="Arial" w:hAnsi="Arial"/>
                  <w:sz w:val="18"/>
                  <w:szCs w:val="18"/>
                  <w:color w:val="0000EE"/>
                  <w:w w:val="95"/>
                </w:rPr>
                <w:t>2020, between the Registrant and Tallac Therapeutics, Inc. (formerly</w:t>
              </w:r>
            </w:hyperlink>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9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known as Tollnine, Inc.).</w:t>
              </w:r>
            </w:hyperlink>
          </w:p>
        </w:tc>
        <w:tc>
          <w:tcPr>
            <w:tcW w:w="280" w:type="dxa"/>
            <w:vAlign w:val="bottom"/>
            <w:gridSpan w:val="4"/>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2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4820" w:type="dxa"/>
            <w:vAlign w:val="bottom"/>
            <w:tcBorders>
              <w:bottom w:val="single" w:sz="8" w:color="0000EE"/>
            </w:tcBorders>
            <w:gridSpan w:val="13"/>
          </w:tcPr>
          <w:p>
            <w:pPr>
              <w:spacing w:after="0" w:line="182"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Certification of Principal Executive Officer Pursuant to Rules 13a-</w:t>
              </w:r>
            </w:hyperlink>
          </w:p>
        </w:tc>
        <w:tc>
          <w:tcPr>
            <w:tcW w:w="420" w:type="dxa"/>
            <w:vAlign w:val="bottom"/>
            <w:gridSpan w:val="7"/>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2"/>
              </w:rPr>
              <w:t>Filed herewith</w:t>
            </w: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14(a) and 15d-14(a) under the Securities Exchange Act of 1934, as</w:t>
              </w:r>
            </w:hyperlink>
          </w:p>
        </w:tc>
        <w:tc>
          <w:tcPr>
            <w:tcW w:w="42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20"/>
          </w:tcPr>
          <w:p>
            <w:pPr>
              <w:spacing w:after="0"/>
              <w:rPr>
                <w:rFonts w:ascii="Arial" w:cs="Arial" w:eastAsia="Arial" w:hAnsi="Arial"/>
                <w:sz w:val="18"/>
                <w:szCs w:val="18"/>
                <w:u w:val="single" w:color="auto"/>
                <w:color w:val="0000EE"/>
                <w:w w:val="95"/>
              </w:rPr>
            </w:pPr>
            <w:hyperlink w:anchor="page86">
              <w:r>
                <w:rPr>
                  <w:rFonts w:ascii="Arial" w:cs="Arial" w:eastAsia="Arial" w:hAnsi="Arial"/>
                  <w:sz w:val="18"/>
                  <w:szCs w:val="18"/>
                  <w:u w:val="single" w:color="auto"/>
                  <w:color w:val="0000EE"/>
                  <w:w w:val="95"/>
                </w:rPr>
                <w:t>Adopted Pursuant to Section 302 of the Sarbanes-Oxley Act of 2002.</w:t>
              </w:r>
            </w:hyperlink>
          </w:p>
        </w:tc>
        <w:tc>
          <w:tcPr>
            <w:tcW w:w="1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5240" w:type="dxa"/>
            <w:vAlign w:val="bottom"/>
            <w:gridSpan w:val="20"/>
          </w:tcPr>
          <w:p>
            <w:pPr>
              <w:spacing w:after="0" w:line="182" w:lineRule="exact"/>
              <w:rPr>
                <w:rFonts w:ascii="Arial" w:cs="Arial" w:eastAsia="Arial" w:hAnsi="Arial"/>
                <w:sz w:val="18"/>
                <w:szCs w:val="18"/>
                <w:color w:val="0000EE"/>
              </w:rPr>
            </w:pPr>
            <w:hyperlink w:anchor="page87">
              <w:r>
                <w:rPr>
                  <w:rFonts w:ascii="Arial" w:cs="Arial" w:eastAsia="Arial" w:hAnsi="Arial"/>
                  <w:sz w:val="18"/>
                  <w:szCs w:val="18"/>
                  <w:color w:val="0000EE"/>
                </w:rPr>
                <w:t>Certification of Principal Financial Officer Pursuant to Rules 13a-</w:t>
              </w:r>
            </w:hyperlink>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92"/>
              </w:rPr>
              <w:t>Filed herewith</w:t>
            </w: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340" w:type="dxa"/>
            <w:vAlign w:val="bottom"/>
            <w:tcBorders>
              <w:right w:val="single" w:sz="8" w:color="0000EE"/>
            </w:tcBorders>
            <w:gridSpan w:val="10"/>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14(a) and 15d-14(a) under the Securities Exchange Act of 1934, as</w:t>
              </w:r>
            </w:hyperlink>
          </w:p>
        </w:tc>
        <w:tc>
          <w:tcPr>
            <w:tcW w:w="42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240" w:type="dxa"/>
            <w:vAlign w:val="bottom"/>
            <w:tcBorders>
              <w:bottom w:val="single" w:sz="8" w:color="auto"/>
            </w:tcBorders>
            <w:gridSpan w:val="20"/>
          </w:tcPr>
          <w:p>
            <w:pPr>
              <w:spacing w:after="0"/>
              <w:rPr>
                <w:rFonts w:ascii="Arial" w:cs="Arial" w:eastAsia="Arial" w:hAnsi="Arial"/>
                <w:sz w:val="18"/>
                <w:szCs w:val="18"/>
                <w:u w:val="single" w:color="auto"/>
                <w:color w:val="0000EE"/>
                <w:w w:val="95"/>
              </w:rPr>
            </w:pPr>
            <w:hyperlink w:anchor="page87">
              <w:r>
                <w:rPr>
                  <w:rFonts w:ascii="Arial" w:cs="Arial" w:eastAsia="Arial" w:hAnsi="Arial"/>
                  <w:sz w:val="18"/>
                  <w:szCs w:val="18"/>
                  <w:u w:val="single" w:color="auto"/>
                  <w:color w:val="0000EE"/>
                  <w:w w:val="95"/>
                </w:rPr>
                <w:t>Adopted Pursuant to Section 302 of the Sarbanes-Oxley Act of 2002.</w:t>
              </w:r>
            </w:hyperlink>
          </w:p>
        </w:tc>
        <w:tc>
          <w:tcPr>
            <w:tcW w:w="1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5240" w:type="dxa"/>
            <w:vAlign w:val="bottom"/>
            <w:gridSpan w:val="20"/>
          </w:tcPr>
          <w:p>
            <w:pPr>
              <w:spacing w:after="0" w:line="182" w:lineRule="exact"/>
              <w:rPr>
                <w:rFonts w:ascii="Arial" w:cs="Arial" w:eastAsia="Arial" w:hAnsi="Arial"/>
                <w:sz w:val="18"/>
                <w:szCs w:val="18"/>
                <w:color w:val="0000EE"/>
              </w:rPr>
            </w:pPr>
            <w:hyperlink w:anchor="page88">
              <w:r>
                <w:rPr>
                  <w:rFonts w:ascii="Arial" w:cs="Arial" w:eastAsia="Arial" w:hAnsi="Arial"/>
                  <w:sz w:val="18"/>
                  <w:szCs w:val="18"/>
                  <w:color w:val="0000EE"/>
                </w:rPr>
                <w:t>Certification of Principal Executive Officer Pursuant to 18 U.S.C.</w:t>
              </w:r>
            </w:hyperlink>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89"/>
              </w:rPr>
              <w:t>Furnished</w:t>
            </w: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340" w:type="dxa"/>
            <w:vAlign w:val="bottom"/>
            <w:tcBorders>
              <w:right w:val="single" w:sz="8" w:color="0000EE"/>
            </w:tcBorders>
            <w:gridSpan w:val="10"/>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herewith</w:t>
            </w:r>
          </w:p>
        </w:tc>
        <w:tc>
          <w:tcPr>
            <w:tcW w:w="1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40" w:type="dxa"/>
            <w:vAlign w:val="bottom"/>
            <w:gridSpan w:val="20"/>
          </w:tcPr>
          <w:p>
            <w:pPr>
              <w:spacing w:after="0" w:line="196" w:lineRule="exact"/>
              <w:rPr>
                <w:rFonts w:ascii="Arial" w:cs="Arial" w:eastAsia="Arial" w:hAnsi="Arial"/>
                <w:sz w:val="18"/>
                <w:szCs w:val="18"/>
                <w:color w:val="0000EE"/>
                <w:w w:val="96"/>
              </w:rPr>
            </w:pPr>
            <w:hyperlink w:anchor="page88">
              <w:r>
                <w:rPr>
                  <w:rFonts w:ascii="Arial" w:cs="Arial" w:eastAsia="Arial" w:hAnsi="Arial"/>
                  <w:sz w:val="18"/>
                  <w:szCs w:val="18"/>
                  <w:color w:val="0000EE"/>
                  <w:w w:val="96"/>
                </w:rPr>
                <w:t>Section 1350, as Adopted Pursuant to Section 906 of the Sarbanes-</w:t>
              </w:r>
            </w:hyperlink>
          </w:p>
        </w:tc>
        <w:tc>
          <w:tcPr>
            <w:tcW w:w="112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Oxley Act of 2002.</w:t>
              </w:r>
            </w:hyperlink>
          </w:p>
        </w:tc>
        <w:tc>
          <w:tcPr>
            <w:tcW w:w="420" w:type="dxa"/>
            <w:vAlign w:val="bottom"/>
            <w:gridSpan w:val="7"/>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8"/>
                <w:szCs w:val="18"/>
                <w:color w:val="auto"/>
              </w:rPr>
              <w:t>32.2*</w:t>
            </w:r>
          </w:p>
        </w:tc>
        <w:tc>
          <w:tcPr>
            <w:tcW w:w="4740" w:type="dxa"/>
            <w:vAlign w:val="bottom"/>
            <w:tcBorders>
              <w:bottom w:val="single" w:sz="8" w:color="0000EE"/>
            </w:tcBorders>
            <w:gridSpan w:val="11"/>
          </w:tcPr>
          <w:p>
            <w:pPr>
              <w:spacing w:after="0" w:line="182"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Certification of Principal Financial Officer Pursuant to 18 U.S.C.</w:t>
              </w:r>
            </w:hyperlink>
          </w:p>
        </w:tc>
        <w:tc>
          <w:tcPr>
            <w:tcW w:w="500" w:type="dxa"/>
            <w:vAlign w:val="bottom"/>
            <w:gridSpan w:val="9"/>
          </w:tcPr>
          <w:p>
            <w:pPr>
              <w:spacing w:after="0"/>
              <w:rPr>
                <w:sz w:val="15"/>
                <w:szCs w:val="15"/>
                <w:color w:val="auto"/>
              </w:rPr>
            </w:pPr>
          </w:p>
        </w:tc>
        <w:tc>
          <w:tcPr>
            <w:tcW w:w="1120" w:type="dxa"/>
            <w:vAlign w:val="bottom"/>
          </w:tcPr>
          <w:p>
            <w:pPr>
              <w:jc w:val="center"/>
              <w:spacing w:after="0" w:line="182" w:lineRule="exact"/>
              <w:rPr>
                <w:sz w:val="20"/>
                <w:szCs w:val="20"/>
                <w:color w:val="auto"/>
              </w:rPr>
            </w:pPr>
            <w:r>
              <w:rPr>
                <w:rFonts w:ascii="Arial" w:cs="Arial" w:eastAsia="Arial" w:hAnsi="Arial"/>
                <w:sz w:val="18"/>
                <w:szCs w:val="18"/>
                <w:color w:val="auto"/>
                <w:w w:val="89"/>
              </w:rPr>
              <w:t>Furnished</w:t>
            </w:r>
          </w:p>
        </w:tc>
        <w:tc>
          <w:tcPr>
            <w:tcW w:w="1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40" w:type="dxa"/>
            <w:vAlign w:val="bottom"/>
            <w:gridSpan w:val="20"/>
          </w:tcPr>
          <w:p>
            <w:pPr>
              <w:spacing w:after="0" w:line="196" w:lineRule="exact"/>
              <w:rPr>
                <w:rFonts w:ascii="Arial" w:cs="Arial" w:eastAsia="Arial" w:hAnsi="Arial"/>
                <w:sz w:val="18"/>
                <w:szCs w:val="18"/>
                <w:color w:val="0000EE"/>
                <w:w w:val="96"/>
              </w:rPr>
            </w:pPr>
            <w:hyperlink w:anchor="page89">
              <w:r>
                <w:rPr>
                  <w:rFonts w:ascii="Arial" w:cs="Arial" w:eastAsia="Arial" w:hAnsi="Arial"/>
                  <w:sz w:val="18"/>
                  <w:szCs w:val="18"/>
                  <w:color w:val="0000EE"/>
                  <w:w w:val="96"/>
                </w:rPr>
                <w:t>Section 1350, as Adopted Pursuant to Section 906 of the Sarbanes-</w:t>
              </w:r>
            </w:hyperlink>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94"/>
              </w:rPr>
              <w:t>herewith</w:t>
            </w: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Oxley Act of 2002.</w:t>
              </w:r>
            </w:hyperlink>
          </w:p>
        </w:tc>
        <w:tc>
          <w:tcPr>
            <w:tcW w:w="3420" w:type="dxa"/>
            <w:vAlign w:val="bottom"/>
            <w:tcBorders>
              <w:top w:val="single" w:sz="8" w:color="0000EE"/>
            </w:tcBorders>
            <w:gridSpan w:val="12"/>
          </w:tcPr>
          <w:p>
            <w:pPr>
              <w:spacing w:after="0"/>
              <w:rPr>
                <w:sz w:val="17"/>
                <w:szCs w:val="17"/>
                <w:color w:val="auto"/>
              </w:rPr>
            </w:pPr>
          </w:p>
        </w:tc>
        <w:tc>
          <w:tcPr>
            <w:tcW w:w="420" w:type="dxa"/>
            <w:vAlign w:val="bottom"/>
            <w:gridSpan w:val="7"/>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2"/>
              </w:rPr>
              <w:t>Filed herewith</w:t>
            </w:r>
          </w:p>
        </w:tc>
        <w:tc>
          <w:tcPr>
            <w:tcW w:w="1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240" w:type="dxa"/>
            <w:vAlign w:val="bottom"/>
            <w:gridSpan w:val="20"/>
          </w:tcPr>
          <w:p>
            <w:pPr>
              <w:spacing w:after="0"/>
              <w:rPr>
                <w:sz w:val="20"/>
                <w:szCs w:val="20"/>
                <w:color w:val="auto"/>
              </w:rPr>
            </w:pPr>
            <w:r>
              <w:rPr>
                <w:rFonts w:ascii="Arial" w:cs="Arial" w:eastAsia="Arial" w:hAnsi="Arial"/>
                <w:sz w:val="18"/>
                <w:szCs w:val="18"/>
                <w:color w:val="auto"/>
              </w:rPr>
              <w:t>XBRL Instance Document.</w:t>
            </w:r>
          </w:p>
        </w:tc>
        <w:tc>
          <w:tcPr>
            <w:tcW w:w="1120" w:type="dxa"/>
            <w:vAlign w:val="bottom"/>
            <w:vMerge w:val="continue"/>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24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1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740" w:type="dxa"/>
            <w:vAlign w:val="bottom"/>
            <w:gridSpan w:val="11"/>
          </w:tcPr>
          <w:p>
            <w:pPr>
              <w:ind w:left="4520"/>
              <w:spacing w:after="0"/>
              <w:rPr>
                <w:sz w:val="20"/>
                <w:szCs w:val="20"/>
                <w:color w:val="auto"/>
              </w:rPr>
            </w:pPr>
            <w:r>
              <w:rPr>
                <w:rFonts w:ascii="Arial" w:cs="Arial" w:eastAsia="Arial" w:hAnsi="Arial"/>
                <w:sz w:val="18"/>
                <w:szCs w:val="18"/>
                <w:color w:val="auto"/>
                <w:w w:val="89"/>
              </w:rPr>
              <w:t>80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3" w:name="page84"/>
    <w:bookmarkEnd w:id="83"/>
    <w:tbl>
      <w:tblPr>
        <w:tblLayout w:type="fixed"/>
        <w:tblInd w:w="12" w:type="dxa"/>
        <w:tblCellMar>
          <w:top w:w="0" w:type="dxa"/>
          <w:left w:w="0" w:type="dxa"/>
          <w:bottom w:w="0" w:type="dxa"/>
          <w:right w:w="0" w:type="dxa"/>
        </w:tblCellMar>
      </w:tblP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101.CAL</w:t>
            </w:r>
          </w:p>
        </w:tc>
        <w:tc>
          <w:tcPr>
            <w:tcW w:w="5060" w:type="dxa"/>
            <w:vAlign w:val="bottom"/>
          </w:tcPr>
          <w:p>
            <w:pPr>
              <w:ind w:left="160"/>
              <w:spacing w:after="0"/>
              <w:rPr>
                <w:sz w:val="20"/>
                <w:szCs w:val="20"/>
                <w:color w:val="auto"/>
              </w:rPr>
            </w:pPr>
            <w:r>
              <w:rPr>
                <w:rFonts w:ascii="Arial" w:cs="Arial" w:eastAsia="Arial" w:hAnsi="Arial"/>
                <w:sz w:val="18"/>
                <w:szCs w:val="18"/>
                <w:color w:val="auto"/>
              </w:rPr>
              <w:t>XBRL Taxonomy Extension Calculation Linkbase Document.</w:t>
            </w:r>
          </w:p>
        </w:tc>
        <w:tc>
          <w:tcPr>
            <w:tcW w:w="1400" w:type="dxa"/>
            <w:vAlign w:val="bottom"/>
          </w:tcPr>
          <w:p>
            <w:pPr>
              <w:ind w:left="360"/>
              <w:spacing w:after="0"/>
              <w:rPr>
                <w:sz w:val="20"/>
                <w:szCs w:val="20"/>
                <w:color w:val="auto"/>
              </w:rPr>
            </w:pPr>
            <w:r>
              <w:rPr>
                <w:rFonts w:ascii="Arial" w:cs="Arial" w:eastAsia="Arial" w:hAnsi="Arial"/>
                <w:sz w:val="18"/>
                <w:szCs w:val="18"/>
                <w:color w:val="auto"/>
                <w:w w:val="91"/>
              </w:rPr>
              <w:t>Filed herewith</w:t>
            </w: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101.DEF</w:t>
            </w:r>
          </w:p>
        </w:tc>
        <w:tc>
          <w:tcPr>
            <w:tcW w:w="5060" w:type="dxa"/>
            <w:vAlign w:val="bottom"/>
          </w:tcPr>
          <w:p>
            <w:pPr>
              <w:ind w:left="160"/>
              <w:spacing w:after="0"/>
              <w:rPr>
                <w:sz w:val="20"/>
                <w:szCs w:val="20"/>
                <w:color w:val="auto"/>
              </w:rPr>
            </w:pPr>
            <w:r>
              <w:rPr>
                <w:rFonts w:ascii="Arial" w:cs="Arial" w:eastAsia="Arial" w:hAnsi="Arial"/>
                <w:sz w:val="18"/>
                <w:szCs w:val="18"/>
                <w:color w:val="auto"/>
              </w:rPr>
              <w:t>XBRL Taxonomy Extension Definition Linkbase Document.</w:t>
            </w:r>
          </w:p>
        </w:tc>
        <w:tc>
          <w:tcPr>
            <w:tcW w:w="1400" w:type="dxa"/>
            <w:vAlign w:val="bottom"/>
          </w:tcPr>
          <w:p>
            <w:pPr>
              <w:ind w:left="360"/>
              <w:spacing w:after="0"/>
              <w:rPr>
                <w:sz w:val="20"/>
                <w:szCs w:val="20"/>
                <w:color w:val="auto"/>
              </w:rPr>
            </w:pPr>
            <w:r>
              <w:rPr>
                <w:rFonts w:ascii="Arial" w:cs="Arial" w:eastAsia="Arial" w:hAnsi="Arial"/>
                <w:sz w:val="18"/>
                <w:szCs w:val="18"/>
                <w:color w:val="auto"/>
                <w:w w:val="91"/>
              </w:rPr>
              <w:t>Filed herewith</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101.LAB</w:t>
            </w:r>
          </w:p>
        </w:tc>
        <w:tc>
          <w:tcPr>
            <w:tcW w:w="5060" w:type="dxa"/>
            <w:vAlign w:val="bottom"/>
          </w:tcPr>
          <w:p>
            <w:pPr>
              <w:ind w:left="160"/>
              <w:spacing w:after="0"/>
              <w:rPr>
                <w:sz w:val="20"/>
                <w:szCs w:val="20"/>
                <w:color w:val="auto"/>
              </w:rPr>
            </w:pPr>
            <w:r>
              <w:rPr>
                <w:rFonts w:ascii="Arial" w:cs="Arial" w:eastAsia="Arial" w:hAnsi="Arial"/>
                <w:sz w:val="18"/>
                <w:szCs w:val="18"/>
                <w:color w:val="auto"/>
              </w:rPr>
              <w:t>XBRL Taxonomy Extension Label Linkbase Document.</w:t>
            </w:r>
          </w:p>
        </w:tc>
        <w:tc>
          <w:tcPr>
            <w:tcW w:w="1400" w:type="dxa"/>
            <w:vAlign w:val="bottom"/>
          </w:tcPr>
          <w:p>
            <w:pPr>
              <w:ind w:left="360"/>
              <w:spacing w:after="0"/>
              <w:rPr>
                <w:sz w:val="20"/>
                <w:szCs w:val="20"/>
                <w:color w:val="auto"/>
              </w:rPr>
            </w:pPr>
            <w:r>
              <w:rPr>
                <w:rFonts w:ascii="Arial" w:cs="Arial" w:eastAsia="Arial" w:hAnsi="Arial"/>
                <w:sz w:val="18"/>
                <w:szCs w:val="18"/>
                <w:color w:val="auto"/>
                <w:w w:val="91"/>
              </w:rPr>
              <w:t>Filed herewith</w:t>
            </w:r>
          </w:p>
        </w:tc>
      </w:tr>
      <w:tr>
        <w:trPr>
          <w:trHeight w:val="244"/>
        </w:trPr>
        <w:tc>
          <w:tcPr>
            <w:tcW w:w="840" w:type="dxa"/>
            <w:vAlign w:val="bottom"/>
          </w:tcPr>
          <w:p>
            <w:pPr>
              <w:spacing w:after="0"/>
              <w:rPr>
                <w:sz w:val="20"/>
                <w:szCs w:val="20"/>
                <w:color w:val="auto"/>
              </w:rPr>
            </w:pPr>
            <w:r>
              <w:rPr>
                <w:rFonts w:ascii="Arial" w:cs="Arial" w:eastAsia="Arial" w:hAnsi="Arial"/>
                <w:sz w:val="18"/>
                <w:szCs w:val="18"/>
                <w:color w:val="auto"/>
              </w:rPr>
              <w:t>101.PRE</w:t>
            </w:r>
          </w:p>
        </w:tc>
        <w:tc>
          <w:tcPr>
            <w:tcW w:w="5060" w:type="dxa"/>
            <w:vAlign w:val="bottom"/>
          </w:tcPr>
          <w:p>
            <w:pPr>
              <w:ind w:left="160"/>
              <w:spacing w:after="0"/>
              <w:rPr>
                <w:sz w:val="20"/>
                <w:szCs w:val="20"/>
                <w:color w:val="auto"/>
              </w:rPr>
            </w:pPr>
            <w:r>
              <w:rPr>
                <w:rFonts w:ascii="Arial" w:cs="Arial" w:eastAsia="Arial" w:hAnsi="Arial"/>
                <w:sz w:val="18"/>
                <w:szCs w:val="18"/>
                <w:color w:val="auto"/>
                <w:w w:val="98"/>
              </w:rPr>
              <w:t>XBRL Taxonomy Extension Presentation Linkbase Document.</w:t>
            </w:r>
          </w:p>
        </w:tc>
        <w:tc>
          <w:tcPr>
            <w:tcW w:w="1400" w:type="dxa"/>
            <w:vAlign w:val="bottom"/>
          </w:tcPr>
          <w:p>
            <w:pPr>
              <w:ind w:left="360"/>
              <w:spacing w:after="0"/>
              <w:rPr>
                <w:sz w:val="20"/>
                <w:szCs w:val="20"/>
                <w:color w:val="auto"/>
              </w:rPr>
            </w:pPr>
            <w:r>
              <w:rPr>
                <w:rFonts w:ascii="Arial" w:cs="Arial" w:eastAsia="Arial" w:hAnsi="Arial"/>
                <w:sz w:val="18"/>
                <w:szCs w:val="18"/>
                <w:color w:val="auto"/>
                <w:w w:val="91"/>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9512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492" w:hanging="492"/>
        <w:spacing w:after="0"/>
        <w:tabs>
          <w:tab w:leader="none" w:pos="49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117" w:lineRule="exact"/>
        <w:rPr>
          <w:sz w:val="20"/>
          <w:szCs w:val="20"/>
          <w:color w:val="auto"/>
        </w:rPr>
      </w:pPr>
    </w:p>
    <w:p>
      <w:pPr>
        <w:ind w:left="492" w:hanging="492"/>
        <w:spacing w:after="0" w:line="259" w:lineRule="auto"/>
        <w:tabs>
          <w:tab w:leader="none" w:pos="49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12"/>
          </w:cols>
          <w:pgMar w:left="328" w:top="125" w:right="3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20"/>
              <w:spacing w:after="0"/>
              <w:rPr>
                <w:sz w:val="20"/>
                <w:szCs w:val="20"/>
                <w:color w:val="auto"/>
              </w:rPr>
            </w:pPr>
            <w:r>
              <w:rPr>
                <w:rFonts w:ascii="Arial" w:cs="Arial" w:eastAsia="Arial" w:hAnsi="Arial"/>
                <w:sz w:val="18"/>
                <w:szCs w:val="18"/>
                <w:color w:val="auto"/>
              </w:rPr>
              <w:t>August 27, 2020</w:t>
            </w:r>
          </w:p>
        </w:tc>
        <w:tc>
          <w:tcPr>
            <w:tcW w:w="252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ALX Oncology Holdings Inc.</w:t>
            </w:r>
          </w:p>
        </w:tc>
      </w:tr>
      <w:tr>
        <w:trPr>
          <w:trHeight w:val="429"/>
        </w:trPr>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520" w:type="dxa"/>
            <w:vAlign w:val="bottom"/>
          </w:tcPr>
          <w:p>
            <w:pPr>
              <w:ind w:left="200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Jaume Pons</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Jaume Pons, Ph.D.</w:t>
            </w:r>
          </w:p>
        </w:tc>
      </w:tr>
      <w:tr>
        <w:trPr>
          <w:trHeight w:val="220"/>
        </w:trPr>
        <w:tc>
          <w:tcPr>
            <w:tcW w:w="5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President, Chief Executive Officer and Director</w:t>
            </w:r>
          </w:p>
        </w:tc>
      </w:tr>
      <w:tr>
        <w:trPr>
          <w:trHeight w:val="216"/>
        </w:trPr>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i w:val="1"/>
                <w:iCs w:val="1"/>
                <w:color w:val="auto"/>
              </w:rPr>
              <w:t>(Principal Executive Officer)</w:t>
            </w: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20"/>
              <w:spacing w:after="0"/>
              <w:rPr>
                <w:sz w:val="20"/>
                <w:szCs w:val="20"/>
                <w:color w:val="auto"/>
              </w:rPr>
            </w:pPr>
            <w:r>
              <w:rPr>
                <w:rFonts w:ascii="Arial" w:cs="Arial" w:eastAsia="Arial" w:hAnsi="Arial"/>
                <w:sz w:val="18"/>
                <w:szCs w:val="18"/>
                <w:color w:val="auto"/>
              </w:rPr>
              <w:t>August 27, 2020</w:t>
            </w:r>
          </w:p>
        </w:tc>
        <w:tc>
          <w:tcPr>
            <w:tcW w:w="2520" w:type="dxa"/>
            <w:vAlign w:val="bottom"/>
          </w:tcPr>
          <w:p>
            <w:pPr>
              <w:ind w:left="200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Peter Garcia</w:t>
            </w:r>
          </w:p>
        </w:tc>
      </w:tr>
      <w:tr>
        <w:trPr>
          <w:trHeight w:val="204"/>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Peter Garcia</w:t>
            </w:r>
          </w:p>
        </w:tc>
      </w:tr>
      <w:tr>
        <w:trPr>
          <w:trHeight w:val="216"/>
        </w:trPr>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16"/>
        </w:trPr>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i w:val="1"/>
                <w:iCs w:val="1"/>
                <w:color w:val="auto"/>
              </w:rPr>
              <w:t>(Principal Financial Officer)</w:t>
            </w:r>
          </w:p>
        </w:tc>
      </w:tr>
      <w:tr>
        <w:trPr>
          <w:trHeight w:val="438"/>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20"/>
              <w:spacing w:after="0"/>
              <w:rPr>
                <w:sz w:val="20"/>
                <w:szCs w:val="20"/>
                <w:color w:val="auto"/>
              </w:rPr>
            </w:pPr>
            <w:r>
              <w:rPr>
                <w:rFonts w:ascii="Arial" w:cs="Arial" w:eastAsia="Arial" w:hAnsi="Arial"/>
                <w:sz w:val="18"/>
                <w:szCs w:val="18"/>
                <w:color w:val="auto"/>
              </w:rPr>
              <w:t>August 27, 2020</w:t>
            </w:r>
          </w:p>
        </w:tc>
        <w:tc>
          <w:tcPr>
            <w:tcW w:w="2520" w:type="dxa"/>
            <w:vAlign w:val="bottom"/>
          </w:tcPr>
          <w:p>
            <w:pPr>
              <w:ind w:left="200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Steffen Pietzke</w:t>
            </w:r>
          </w:p>
        </w:tc>
      </w:tr>
      <w:tr>
        <w:trPr>
          <w:trHeight w:val="203"/>
        </w:trPr>
        <w:tc>
          <w:tcPr>
            <w:tcW w:w="5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Steffen Pietzke</w:t>
            </w:r>
          </w:p>
        </w:tc>
      </w:tr>
      <w:tr>
        <w:trPr>
          <w:trHeight w:val="216"/>
        </w:trPr>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color w:val="auto"/>
              </w:rPr>
              <w:t>Vice President, Finance and Chief Accounting Officer</w:t>
            </w:r>
          </w:p>
        </w:tc>
      </w:tr>
      <w:tr>
        <w:trPr>
          <w:trHeight w:val="216"/>
        </w:trPr>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6"/>
                <w:szCs w:val="16"/>
                <w:i w:val="1"/>
                <w:iCs w:val="1"/>
                <w:color w:val="auto"/>
              </w:rPr>
              <w:t>(Principal Accounting Officer)</w:t>
            </w:r>
          </w:p>
        </w:tc>
      </w:tr>
      <w:tr>
        <w:trPr>
          <w:trHeight w:val="668"/>
        </w:trPr>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520" w:type="dxa"/>
            <w:vAlign w:val="bottom"/>
          </w:tcPr>
          <w:p>
            <w:pPr>
              <w:jc w:val="right"/>
              <w:ind w:right="417"/>
              <w:spacing w:after="0"/>
              <w:rPr>
                <w:sz w:val="20"/>
                <w:szCs w:val="20"/>
                <w:color w:val="auto"/>
              </w:rPr>
            </w:pPr>
            <w:r>
              <w:rPr>
                <w:rFonts w:ascii="Arial" w:cs="Arial" w:eastAsia="Arial" w:hAnsi="Arial"/>
                <w:sz w:val="18"/>
                <w:szCs w:val="18"/>
                <w:color w:val="auto"/>
              </w:rPr>
              <w:t>82</w:t>
            </w:r>
          </w:p>
        </w:tc>
        <w:tc>
          <w:tcPr>
            <w:tcW w:w="50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Jaume Pons, Ph.D., certify that:</w:t>
      </w:r>
    </w:p>
    <w:p>
      <w:pPr>
        <w:spacing w:after="0" w:line="117" w:lineRule="exact"/>
        <w:rPr>
          <w:sz w:val="20"/>
          <w:szCs w:val="20"/>
          <w:color w:val="auto"/>
        </w:rPr>
      </w:pPr>
    </w:p>
    <w:p>
      <w:pPr>
        <w:ind w:left="580" w:hanging="572"/>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ALX Oncology Holdings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00" w:hanging="572"/>
        <w:spacing w:after="0" w:line="308" w:lineRule="auto"/>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8040" w:val="left"/>
        </w:tabs>
        <w:rPr>
          <w:sz w:val="20"/>
          <w:szCs w:val="20"/>
          <w:color w:val="auto"/>
        </w:rPr>
      </w:pPr>
      <w:r>
        <w:rPr>
          <w:rFonts w:ascii="Arial" w:cs="Arial" w:eastAsia="Arial" w:hAnsi="Arial"/>
          <w:sz w:val="18"/>
          <w:szCs w:val="18"/>
          <w:color w:val="auto"/>
        </w:rPr>
        <w:t>Date: August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Peter Garcia, certify that:</w:t>
      </w:r>
    </w:p>
    <w:p>
      <w:pPr>
        <w:spacing w:after="0" w:line="117" w:lineRule="exact"/>
        <w:rPr>
          <w:sz w:val="20"/>
          <w:szCs w:val="20"/>
          <w:color w:val="auto"/>
        </w:rPr>
      </w:pPr>
    </w:p>
    <w:p>
      <w:pPr>
        <w:ind w:left="580" w:hanging="572"/>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ALX Oncology Holdings Inc.;</w:t>
      </w:r>
    </w:p>
    <w:p>
      <w:pPr>
        <w:spacing w:after="0" w:line="117"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80" w:right="180" w:hanging="572"/>
        <w:spacing w:after="0" w:line="263"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80" w:right="100" w:hanging="572"/>
        <w:spacing w:after="0" w:line="308" w:lineRule="auto"/>
        <w:tabs>
          <w:tab w:leader="none" w:pos="5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60" w:right="580" w:hanging="572"/>
        <w:spacing w:after="0" w:line="342" w:lineRule="auto"/>
        <w:tabs>
          <w:tab w:leader="none" w:pos="11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8020" w:val="left"/>
        </w:tabs>
        <w:rPr>
          <w:sz w:val="20"/>
          <w:szCs w:val="20"/>
          <w:color w:val="auto"/>
        </w:rPr>
      </w:pPr>
      <w:r>
        <w:rPr>
          <w:rFonts w:ascii="Arial" w:cs="Arial" w:eastAsia="Arial" w:hAnsi="Arial"/>
          <w:sz w:val="18"/>
          <w:szCs w:val="18"/>
          <w:color w:val="auto"/>
        </w:rPr>
        <w:t>Date: August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In connection with the Quarterly Report of ALX Oncology Holdings Inc. (the “Company”) on Form 10-Q for the period ending June 30, 2020 as filed with the Securities and Exchange Commission on the date hereof (the “Report”), I certify, pursuant to 18 U.S.C. § 1350, as adopted pursuant to section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560" w:val="left"/>
          <w:tab w:leader="none" w:pos="8000" w:val="left"/>
        </w:tabs>
        <w:rPr>
          <w:sz w:val="20"/>
          <w:szCs w:val="20"/>
          <w:color w:val="auto"/>
        </w:rPr>
      </w:pPr>
      <w:r>
        <w:rPr>
          <w:rFonts w:ascii="Arial" w:cs="Arial" w:eastAsia="Arial" w:hAnsi="Arial"/>
          <w:sz w:val="18"/>
          <w:szCs w:val="18"/>
          <w:color w:val="auto"/>
        </w:rPr>
        <w:t>Date: August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President, Chief Executive Officer and Director</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21"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0" w:firstLine="589"/>
        <w:spacing w:after="0" w:line="263" w:lineRule="auto"/>
        <w:rPr>
          <w:sz w:val="20"/>
          <w:szCs w:val="20"/>
          <w:color w:val="auto"/>
        </w:rPr>
      </w:pPr>
      <w:r>
        <w:rPr>
          <w:rFonts w:ascii="Arial" w:cs="Arial" w:eastAsia="Arial" w:hAnsi="Arial"/>
          <w:sz w:val="18"/>
          <w:szCs w:val="18"/>
          <w:color w:val="auto"/>
        </w:rPr>
        <w:t>In connection with the Quarterly Report of ALX Oncology Holdings Inc. (the “Company”) on Form 10-Q for the period ending June 30, 2020 as filed with the Securities and Exchange Commission on the date hereof (the “Report”), I certify, pursuant to 18 U.S.C. § 1350, as adopted pursuant to section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560" w:val="left"/>
          <w:tab w:leader="none" w:pos="7980" w:val="left"/>
        </w:tabs>
        <w:rPr>
          <w:sz w:val="20"/>
          <w:szCs w:val="20"/>
          <w:color w:val="auto"/>
        </w:rPr>
      </w:pPr>
      <w:r>
        <w:rPr>
          <w:rFonts w:ascii="Arial" w:cs="Arial" w:eastAsia="Arial" w:hAnsi="Arial"/>
          <w:sz w:val="18"/>
          <w:szCs w:val="18"/>
          <w:color w:val="auto"/>
        </w:rPr>
        <w:t>Date: August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4"/>
    </w:lvl>
  </w:abstractNum>
  <w:abstractNum w:abstractNumId="4">
    <w:nsid w:val="54E49EB4"/>
    <w:multiLevelType w:val="hybridMultilevel"/>
    <w:lvl w:ilvl="0">
      <w:lvlJc w:val="left"/>
      <w:lvlText w:val="(%1)"/>
      <w:numFmt w:val="decimal"/>
      <w:start w:val="6"/>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o"/>
      <w:numFmt w:val="bullet"/>
      <w:start w:val="1"/>
    </w:lvl>
  </w:abstractNum>
  <w:abstractNum w:abstractNumId="35">
    <w:nsid w:val="6A2342EC"/>
    <w:multiLevelType w:val="hybridMultilevel"/>
    <w:lvl w:ilvl="0">
      <w:lvlJc w:val="left"/>
      <w:lvlText w:val="o"/>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1."/>
      <w:numFmt w:val="decimal"/>
      <w:start w:val="1"/>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07" Type="http://schemas.openxmlformats.org/officeDocument/2006/relationships/hyperlink" Target="http://www.sec.gov/Archives/edgar/data/0001810182/000119312520196288/d47591dex31.htm" TargetMode="External"/><Relationship Id="rId108" Type="http://schemas.openxmlformats.org/officeDocument/2006/relationships/hyperlink" Target="http://www.sec.gov/Archives/edgar/data/0001810182/000119312520196288/d47591dex32.htm" TargetMode="External"/><Relationship Id="rId109" Type="http://schemas.openxmlformats.org/officeDocument/2006/relationships/hyperlink" Target="http://www.sec.gov/Archives/edgar/data/0001810182/000119312520181021/d913838dex41.htm" TargetMode="External"/><Relationship Id="rId110" Type="http://schemas.openxmlformats.org/officeDocument/2006/relationships/hyperlink" Target="http://www.sec.gov/Archives/edgar/data/0001810182/000119312520181021/d913838dex42.htm" TargetMode="External"/><Relationship Id="rId111" Type="http://schemas.openxmlformats.org/officeDocument/2006/relationships/hyperlink" Target="http://www.sec.gov/Archives/edgar/data/0001810182/000119312520181021/d913838dex43.htm" TargetMode="External"/><Relationship Id="rId112" Type="http://schemas.openxmlformats.org/officeDocument/2006/relationships/hyperlink" Target="http://www.sec.gov/Archives/edgar/data/0001810182/000119312520181021/d913838dex101.htm" TargetMode="External"/><Relationship Id="rId113" Type="http://schemas.openxmlformats.org/officeDocument/2006/relationships/hyperlink" Target="http://www.sec.gov/Archives/edgar/data/0001810182/000119312520191500/d913838dex102.htm" TargetMode="External"/><Relationship Id="rId114" Type="http://schemas.openxmlformats.org/officeDocument/2006/relationships/hyperlink" Target="http://www.sec.gov/Archives/edgar/data/0001810182/000119312520191500/d913838dex103.htm" TargetMode="External"/><Relationship Id="rId115" Type="http://schemas.openxmlformats.org/officeDocument/2006/relationships/hyperlink" Target="http://www.sec.gov/Archives/edgar/data/0001810182/000119312520191500/d913838dex104.htm" TargetMode="External"/><Relationship Id="rId116" Type="http://schemas.openxmlformats.org/officeDocument/2006/relationships/hyperlink" Target="http://www.sec.gov/Archives/edgar/data/0001810182/000119312520191500/d913838dex105.htm" TargetMode="External"/><Relationship Id="rId117" Type="http://schemas.openxmlformats.org/officeDocument/2006/relationships/hyperlink" Target="http://www.sec.gov/Archives/edgar/data/0001810182/000119312520191500/d913838dex106.htm" TargetMode="External"/><Relationship Id="rId118" Type="http://schemas.openxmlformats.org/officeDocument/2006/relationships/hyperlink" Target="http://www.sec.gov/Archives/edgar/data/0001810182/000119312520191500/d913838dex107.htm" TargetMode="External"/><Relationship Id="rId119" Type="http://schemas.openxmlformats.org/officeDocument/2006/relationships/hyperlink" Target="http://www.sec.gov/Archives/edgar/data/0001810182/000119312520191500/d913838dex108.htm" TargetMode="External"/><Relationship Id="rId120" Type="http://schemas.openxmlformats.org/officeDocument/2006/relationships/hyperlink" Target="http://www.sec.gov/Archives/edgar/data/0001810182/000119312520191500/d913838dex109.htm" TargetMode="External"/><Relationship Id="rId121" Type="http://schemas.openxmlformats.org/officeDocument/2006/relationships/hyperlink" Target="http://www.sec.gov/Archives/edgar/data/0001810182/000119312520191500/d913838dex1010.htm" TargetMode="External"/><Relationship Id="rId122" Type="http://schemas.openxmlformats.org/officeDocument/2006/relationships/hyperlink" Target="http://www.sec.gov/Archives/edgar/data/0001810182/000119312520191500/d913838dex1011.htm" TargetMode="External"/><Relationship Id="rId123" Type="http://schemas.openxmlformats.org/officeDocument/2006/relationships/hyperlink" Target="http://www.sec.gov/Archives/edgar/data/0001810182/000119312520181021/d913838dex1013.htm" TargetMode="External"/><Relationship Id="rId124" Type="http://schemas.openxmlformats.org/officeDocument/2006/relationships/hyperlink" Target="http://www.sec.gov/Archives/edgar/data/1810182/000119312520181021/d913838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2020-08-27T16:17:55Z</dcterms:created>
  <dcterms:modified xsi:type="dcterms:W3CDTF">2020-08-27T16:17:55Z</dcterms:modified>
</cp:coreProperties>
</file>