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87"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March 6, 2025, ALX Oncology Holdings Inc. (the "Company"), issued a press release announcing its financial results for the fourth quarter and full year ended December 31, 2024. A copy of this press release is furnished as Exhibit 99.1 to this Current Report on Form 8-K and is incorporated herein by reference.</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6, 2025</w:t>
            </w:r>
          </w:p>
        </w:tc>
        <w:tc>
          <w:tcPr>
            <w:tcW w:w="20" w:type="dxa"/>
            <w:vAlign w:val="bottom"/>
            <w:tcBorders>
              <w:bottom w:val="single" w:sz="8" w:color="0000EE"/>
            </w:tcBorders>
          </w:tcPr>
          <w:p>
            <w:pPr>
              <w:spacing w:after="0"/>
              <w:rPr>
                <w:sz w:val="24"/>
                <w:szCs w:val="24"/>
                <w:color w:val="auto"/>
              </w:rPr>
            </w:pP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5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wp:posOffset>
            </wp:positionV>
            <wp:extent cx="1405890"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line="287" w:lineRule="auto"/>
        <w:rPr>
          <w:sz w:val="20"/>
          <w:szCs w:val="20"/>
          <w:color w:val="auto"/>
        </w:rPr>
      </w:pPr>
      <w:r>
        <w:rPr>
          <w:rFonts w:ascii="Times New Roman" w:cs="Times New Roman" w:eastAsia="Times New Roman" w:hAnsi="Times New Roman"/>
          <w:sz w:val="25"/>
          <w:szCs w:val="25"/>
          <w:b w:val="1"/>
          <w:bCs w:val="1"/>
          <w:color w:val="auto"/>
        </w:rPr>
        <w:t>ALX Oncology Reports Fourth Quarter and Full Year 2024 Financial Results and Provides Corporate Update</w:t>
      </w:r>
    </w:p>
    <w:p>
      <w:pPr>
        <w:spacing w:after="0" w:line="199" w:lineRule="exact"/>
        <w:rPr>
          <w:sz w:val="20"/>
          <w:szCs w:val="20"/>
          <w:color w:val="auto"/>
        </w:rPr>
      </w:pPr>
    </w:p>
    <w:p>
      <w:pPr>
        <w:ind w:left="700" w:right="240" w:hanging="480"/>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Presented positive updated data from ASPEN-06 Phase 2 trial demonstrating evorpacept generates strong response and durable clinical benefit in patients with HER2-positive gastric cancer in an oral presentation at 2025 ASCO GI</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i w:val="1"/>
          <w:iCs w:val="1"/>
          <w:color w:val="auto"/>
        </w:rPr>
        <w:t>– Presented Phase 1b/2 data demonstrating evorpacept in combination with zanidatamab generates promising anti-tumor</w:t>
      </w:r>
    </w:p>
    <w:p>
      <w:pPr>
        <w:spacing w:after="0" w:line="2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i w:val="1"/>
          <w:iCs w:val="1"/>
          <w:color w:val="auto"/>
        </w:rPr>
        <w:t>activity in advanced breast cancer at SABCS 2024</w:t>
      </w:r>
    </w:p>
    <w:p>
      <w:pPr>
        <w:spacing w:after="0" w:line="203" w:lineRule="exact"/>
        <w:rPr>
          <w:sz w:val="20"/>
          <w:szCs w:val="20"/>
          <w:color w:val="auto"/>
        </w:rPr>
      </w:pPr>
    </w:p>
    <w:p>
      <w:pPr>
        <w:jc w:val="center"/>
        <w:ind w:left="180" w:right="40" w:hanging="159"/>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 Announced focused development plan during R&amp;D Day, including introduction of clinical trials evaluating evorpacept plus anti-cancer antibodies in breast and colorectal cancers and novel EGFR-targeted antibody-drug conjugate (ADC) clinical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candidate ALX2004</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 Strategic prioritization and resource optimization efforts expected to extend cash runway into Q4 2026</w:t>
      </w:r>
    </w:p>
    <w:p>
      <w:pPr>
        <w:spacing w:after="0" w:line="23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i w:val="1"/>
          <w:iCs w:val="1"/>
          <w:color w:val="auto"/>
        </w:rPr>
        <w:t>– Announced multiple key additions to leadership team and Board of Directors</w:t>
      </w:r>
    </w:p>
    <w:p>
      <w:pPr>
        <w:spacing w:after="0" w:line="2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March 6, 2025 (GLOBE NEWSWIRE) – </w:t>
      </w:r>
      <w:r>
        <w:rPr>
          <w:rFonts w:ascii="Times New Roman" w:cs="Times New Roman" w:eastAsia="Times New Roman" w:hAnsi="Times New Roman"/>
          <w:sz w:val="20"/>
          <w:szCs w:val="20"/>
          <w:color w:val="auto"/>
        </w:rPr>
        <w:t>ALX Oncology Holdings Inc., (“ALX Oncology”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(Nasdaq: ALXO), a clinical-stage biotechnology company advancing therapies that boost the immune system to treat cancer and extend patients’ lives, today reported financial results for the fourth quarter and full year ended December 31, 2024, and provided a corporate update.</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2024, we delivered strong progress and continued momentum for our clinical development program evaluating evorpacept as a potential first- and best-in-class CD47 blocker with the ability to deepen and enhance responses to a variety of important, available therapies across a wide range of cancer types,” said Jason Lettmann, Chief Executive Officer of ALX Oncology. “With multiple important clinical trial readouts, significant momentum for our ongoing clinical studies and key additions to our leadership team, we have positioned ALX Oncology for near- and long-term success. Yesterday during our R&amp;D Day webcast, we shared updates on how we are prioritizing operations and capital to support our new and ongoing clinical programs that are expected to extend our cash runway into the fourth quarter of 2026, including taking the difficult decision to streamline our organization aligned to these priorities.”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Highlights and Recent Developments</w:t>
      </w:r>
    </w:p>
    <w:p>
      <w:pPr>
        <w:spacing w:after="0" w:line="112" w:lineRule="exact"/>
        <w:rPr>
          <w:sz w:val="20"/>
          <w:szCs w:val="20"/>
          <w:color w:val="auto"/>
        </w:rPr>
      </w:pPr>
    </w:p>
    <w:p>
      <w:pPr>
        <w:ind w:left="1020" w:right="20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2025 American Society of Clinical Oncology (ASCO) Gastrointestinal Cancers Symposium in January 2025, reported updated results from the multi-center, international ASPEN-06 Phase 2 clinical trial (NCT05002127) evaluating evorpacept in combination with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(trastuzumab), CYRAMZA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(ramucirumab) and paclitaxel (Evo-TRP) against trastuzumab, CYRAMZA (ramucirumab) and paclitaxel (TRP) for the treatment of patients with HER2-positive gastric/gastroesophageal junction (GEJ) cancer, where all patients had received an anti-HER2 agent in prior lines of therapy.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4" w:name="page5"/>
    <w:bookmarkEnd w:id="4"/>
    <w:p>
      <w:pPr>
        <w:spacing w:after="0" w:line="81" w:lineRule="exact"/>
        <w:rPr>
          <w:sz w:val="20"/>
          <w:szCs w:val="20"/>
          <w:color w:val="auto"/>
        </w:rPr>
      </w:pPr>
    </w:p>
    <w:p>
      <w:pPr>
        <w:ind w:left="1540" w:right="44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highlighted evorpacept as the first CD47-blocker to show substantial tumor response and a well-tolerated safety profile in a prospective randomized trial.</w:t>
      </w:r>
    </w:p>
    <w:p>
      <w:pPr>
        <w:spacing w:after="0" w:line="51" w:lineRule="exact"/>
        <w:rPr>
          <w:rFonts w:ascii="Times New Roman" w:cs="Times New Roman" w:eastAsia="Times New Roman" w:hAnsi="Times New Roman"/>
          <w:sz w:val="20"/>
          <w:szCs w:val="20"/>
          <w:color w:val="auto"/>
        </w:rPr>
      </w:pPr>
    </w:p>
    <w:p>
      <w:pPr>
        <w:ind w:left="1540" w:hanging="514"/>
        <w:spacing w:after="0" w:line="24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Greatest benefit observed among patients with confirmed HER2-positive cancer, as demonstrated by either fresh biopsy or ctDNA HER2-expression, with a confirmed objective response rate (cORR) of 48.9% and median duration of response (mDOR) of 15.7 months vs. 24.5% ORR and mDOR of 9.1 months in the control group, and a progression-free survival Hazard Ratio of 0.64.</w:t>
      </w:r>
    </w:p>
    <w:p>
      <w:pPr>
        <w:spacing w:after="0" w:line="71" w:lineRule="exact"/>
        <w:rPr>
          <w:rFonts w:ascii="Times New Roman" w:cs="Times New Roman" w:eastAsia="Times New Roman" w:hAnsi="Times New Roman"/>
          <w:sz w:val="20"/>
          <w:szCs w:val="20"/>
          <w:color w:val="auto"/>
        </w:rPr>
      </w:pPr>
    </w:p>
    <w:p>
      <w:pPr>
        <w:ind w:left="1540" w:right="16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Evo-TRP was generally well tolerated, with the incidence of adverse events in the evorpacept population consistent with those in TRP control.</w:t>
      </w:r>
    </w:p>
    <w:p>
      <w:pPr>
        <w:spacing w:after="0" w:line="51" w:lineRule="exact"/>
        <w:rPr>
          <w:rFonts w:ascii="Times New Roman" w:cs="Times New Roman" w:eastAsia="Times New Roman" w:hAnsi="Times New Roman"/>
          <w:sz w:val="20"/>
          <w:szCs w:val="20"/>
          <w:color w:val="auto"/>
        </w:rPr>
      </w:pPr>
    </w:p>
    <w:p>
      <w:pPr>
        <w:ind w:left="1020" w:right="220" w:hanging="503"/>
        <w:spacing w:after="0" w:line="254"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San Antonio Breast Cancer Symposium (SABCS) 2024, presented new data from the Phase 1b/2 clinical trial demonstrating evorpacept in combination with zanidatamab generates promising antitumor activity in metastatic breast cancer (mBC).</w:t>
      </w:r>
    </w:p>
    <w:p>
      <w:pPr>
        <w:spacing w:after="0" w:line="66" w:lineRule="exact"/>
        <w:rPr>
          <w:rFonts w:ascii="Times New Roman" w:cs="Times New Roman" w:eastAsia="Times New Roman" w:hAnsi="Times New Roman"/>
          <w:sz w:val="20"/>
          <w:szCs w:val="20"/>
          <w:color w:val="auto"/>
        </w:rPr>
      </w:pPr>
    </w:p>
    <w:p>
      <w:pPr>
        <w:ind w:left="1540" w:right="32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who were HER2-positive by central assessment (n=9) showed the greatest anti-tumor activity with a cORR of 55.6% and a median progression-free survival (mPFS) of 7.4 months.</w:t>
      </w:r>
    </w:p>
    <w:p>
      <w:pPr>
        <w:spacing w:after="0" w:line="51" w:lineRule="exact"/>
        <w:rPr>
          <w:rFonts w:ascii="Times New Roman" w:cs="Times New Roman" w:eastAsia="Times New Roman" w:hAnsi="Times New Roman"/>
          <w:sz w:val="20"/>
          <w:szCs w:val="20"/>
          <w:color w:val="auto"/>
        </w:rPr>
      </w:pPr>
    </w:p>
    <w:p>
      <w:pPr>
        <w:ind w:left="1540" w:right="52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Combination therapy was well tolerated with a manageable safety profile consistent with prior experience with each investigational agent.</w:t>
      </w:r>
    </w:p>
    <w:p>
      <w:pPr>
        <w:spacing w:after="0" w:line="51" w:lineRule="exact"/>
        <w:rPr>
          <w:rFonts w:ascii="Times New Roman" w:cs="Times New Roman" w:eastAsia="Times New Roman" w:hAnsi="Times New Roman"/>
          <w:sz w:val="20"/>
          <w:szCs w:val="20"/>
          <w:color w:val="auto"/>
        </w:rPr>
      </w:pPr>
    </w:p>
    <w:p>
      <w:pPr>
        <w:ind w:left="1020" w:right="7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strategic prioritization and resource optimization efforts, including approximately 30% workforce reduction primarily in preclinical research, expected to extend cash runway into Q4 2026.</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key additions to our leadership team and Board of Directors throughout 2024 and early 2025.</w:t>
      </w:r>
    </w:p>
    <w:p>
      <w:pPr>
        <w:spacing w:after="0" w:line="107" w:lineRule="exact"/>
        <w:rPr>
          <w:rFonts w:ascii="Times New Roman" w:cs="Times New Roman" w:eastAsia="Times New Roman" w:hAnsi="Times New Roman"/>
          <w:sz w:val="20"/>
          <w:szCs w:val="20"/>
          <w:color w:val="auto"/>
        </w:rPr>
      </w:pPr>
    </w:p>
    <w:p>
      <w:pPr>
        <w:ind w:left="1540" w:right="12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Allison Dillon, Ph.D., an experienced drug development, commercial strategy and business development leader, as Chief Business Officer.</w:t>
      </w:r>
    </w:p>
    <w:p>
      <w:pPr>
        <w:spacing w:after="0" w:line="51" w:lineRule="exact"/>
        <w:rPr>
          <w:rFonts w:ascii="Times New Roman" w:cs="Times New Roman" w:eastAsia="Times New Roman" w:hAnsi="Times New Roman"/>
          <w:sz w:val="20"/>
          <w:szCs w:val="20"/>
          <w:color w:val="auto"/>
        </w:rPr>
      </w:pPr>
    </w:p>
    <w:p>
      <w:pPr>
        <w:ind w:left="1540" w:right="18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Alan Sandler, M.D., a distinguished leader with more than 30 years of experience in oncology and drug development, as Chief Medical Officer.</w:t>
      </w:r>
    </w:p>
    <w:p>
      <w:pPr>
        <w:spacing w:after="0" w:line="51" w:lineRule="exact"/>
        <w:rPr>
          <w:rFonts w:ascii="Times New Roman" w:cs="Times New Roman" w:eastAsia="Times New Roman" w:hAnsi="Times New Roman"/>
          <w:sz w:val="20"/>
          <w:szCs w:val="20"/>
          <w:color w:val="auto"/>
        </w:rPr>
      </w:pPr>
    </w:p>
    <w:p>
      <w:pPr>
        <w:ind w:left="1540" w:right="24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Harish Shantharam, CFA, a proven biotech industry executive with over two decades of senior leadership experience in finance, commercial and corporate operations, as Chief Financial Officer.</w:t>
      </w:r>
    </w:p>
    <w:p>
      <w:pPr>
        <w:spacing w:after="0" w:line="51" w:lineRule="exact"/>
        <w:rPr>
          <w:rFonts w:ascii="Times New Roman" w:cs="Times New Roman" w:eastAsia="Times New Roman" w:hAnsi="Times New Roman"/>
          <w:sz w:val="20"/>
          <w:szCs w:val="20"/>
          <w:color w:val="auto"/>
        </w:rPr>
      </w:pPr>
    </w:p>
    <w:p>
      <w:pPr>
        <w:ind w:left="1540" w:right="40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Barbara Klencke, M.D., a seasoned clinical leader in oncology drug development with more than 20 years of industry experience, appointed to ALX Oncology’s Board of Directors.</w:t>
      </w:r>
    </w:p>
    <w:p>
      <w:pPr>
        <w:spacing w:after="0" w:line="51" w:lineRule="exact"/>
        <w:rPr>
          <w:rFonts w:ascii="Times New Roman" w:cs="Times New Roman" w:eastAsia="Times New Roman" w:hAnsi="Times New Roman"/>
          <w:sz w:val="20"/>
          <w:szCs w:val="20"/>
          <w:color w:val="auto"/>
        </w:rPr>
      </w:pPr>
    </w:p>
    <w:p>
      <w:pPr>
        <w:ind w:left="1540" w:right="480" w:hanging="514"/>
        <w:spacing w:after="0" w:line="269"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 H. Takimoto, M.D., Ph.D., FACP, a distinguished researcher and drug developer with a proven track record in oncology with 17 years of industry experience, appointed to ALX Oncology’s Board of Directors.</w:t>
      </w:r>
    </w:p>
    <w:p>
      <w:pPr>
        <w:spacing w:after="0" w:line="51" w:lineRule="exact"/>
        <w:rPr>
          <w:rFonts w:ascii="Times New Roman" w:cs="Times New Roman" w:eastAsia="Times New Roman" w:hAnsi="Times New Roman"/>
          <w:sz w:val="20"/>
          <w:szCs w:val="20"/>
          <w:color w:val="auto"/>
        </w:rPr>
      </w:pPr>
    </w:p>
    <w:p>
      <w:pPr>
        <w:ind w:left="1020" w:right="120" w:hanging="503"/>
        <w:spacing w:after="0" w:line="26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that Jaume Pons, Ph.D., Founder, President and Chief Scientific Officer, will be departing from his current position and transitioning to the role of Senior Scientific Advisor in Q2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ind w:left="1020" w:right="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and Neck Squamous Cell Carcinoma: Topline results from Phase 2 ASPEN-03 randomized clinical trial of evorpacept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(pembrolizumab) anticipated in Q2 2025</w:t>
      </w:r>
    </w:p>
    <w:p>
      <w:pPr>
        <w:spacing w:after="0" w:line="1"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 and Neck Squamous Cell Carcinoma: Topline results from Phase 2 ASPEN-04 randomized clinical trial of evorpacept with KEYTRUDA and chemotherapy anticipated in Q2 2025</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93" w:lineRule="exact"/>
        <w:rPr>
          <w:sz w:val="20"/>
          <w:szCs w:val="20"/>
          <w:color w:val="auto"/>
        </w:rPr>
      </w:pPr>
    </w:p>
    <w:p>
      <w:pPr>
        <w:ind w:left="1020" w:hanging="503"/>
        <w:spacing w:after="0" w:line="228"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Urothelial Cancer: Updated results from Phase 1 ASPEN-07 clinical trial of evorpacept in combination with PADCEV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(enfortumab vedotin) anticipated in Q2 2025</w:t>
      </w:r>
    </w:p>
    <w:p>
      <w:pPr>
        <w:spacing w:after="0" w:line="79"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Gastric/GEJ Cancer: Regulatory guidance on the gastric cancer registrational path to be provided in Q2 2025</w:t>
      </w:r>
    </w:p>
    <w:p>
      <w:pPr>
        <w:spacing w:after="0" w:line="119" w:lineRule="exact"/>
        <w:rPr>
          <w:rFonts w:ascii="Times New Roman" w:cs="Times New Roman" w:eastAsia="Times New Roman" w:hAnsi="Times New Roman"/>
          <w:sz w:val="20"/>
          <w:szCs w:val="20"/>
          <w:color w:val="auto"/>
        </w:rPr>
      </w:pPr>
    </w:p>
    <w:p>
      <w:pPr>
        <w:ind w:left="1020" w:hanging="503"/>
        <w:spacing w:after="0" w:line="228"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Topline results from Phase 1b I-SPY clinical trial of evorpacept with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(fam-trastuzumab deruxtecan-nxki) anticipated in 2H 2025</w:t>
      </w:r>
    </w:p>
    <w:p>
      <w:pPr>
        <w:spacing w:after="0" w:line="79"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Patient dosing anticipated to initiate for ASPEN-BREAST Phase 2 clinical trial in mid-year 2025</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Colorectal Cancer (CRC): Patient dosing anticipated to initiate for ASPEN-CRC Phase 1b clinical trial in mid-year 2025</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ADC Clinical Candidate: Novel EGFR-directed ADC, ALX2004, planned IND submission in March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Full Year and Fourth Quarter Financial Results:</w:t>
      </w:r>
    </w:p>
    <w:p>
      <w:pPr>
        <w:spacing w:after="0" w:line="108" w:lineRule="exact"/>
        <w:rPr>
          <w:sz w:val="20"/>
          <w:szCs w:val="20"/>
          <w:color w:val="auto"/>
        </w:rPr>
      </w:pPr>
    </w:p>
    <w:p>
      <w:pPr>
        <w:ind w:left="760" w:right="20" w:hanging="378"/>
        <w:spacing w:after="0" w:line="250"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Cash Equivalents and Investments: </w:t>
      </w:r>
      <w:r>
        <w:rPr>
          <w:rFonts w:ascii="Times New Roman" w:cs="Times New Roman" w:eastAsia="Times New Roman" w:hAnsi="Times New Roman"/>
          <w:sz w:val="20"/>
          <w:szCs w:val="20"/>
          <w:color w:val="auto"/>
        </w:rPr>
        <w:t>Cash, cash equivalents and investments as of December 31, 2024, were $131.3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believes its cash, cash equivalents and investments are sufficient to fund planned operations into Q4 of 2026. Potential impact of near-term catalysts related to ASPEN-03/04 HNSCC read out and FDA interaction on ASPEN-06 (for e.g., gastric cancer accelerated approval and/or Phase 3 initiation) are excluded from cash runway guidance.</w:t>
      </w:r>
    </w:p>
    <w:p>
      <w:pPr>
        <w:spacing w:after="0" w:line="67" w:lineRule="exact"/>
        <w:rPr>
          <w:rFonts w:ascii="Times New Roman" w:cs="Times New Roman" w:eastAsia="Times New Roman" w:hAnsi="Times New Roman"/>
          <w:sz w:val="20"/>
          <w:szCs w:val="20"/>
          <w:color w:val="auto"/>
        </w:rPr>
      </w:pPr>
    </w:p>
    <w:p>
      <w:pPr>
        <w:ind w:left="760" w:right="160" w:hanging="378"/>
        <w:spacing w:after="0" w:line="258" w:lineRule="auto"/>
        <w:tabs>
          <w:tab w:leader="none" w:pos="7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consist primarily of preclinical, clinical and development costs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related to the development of the Company’s current lead product candidate, evorpacept, and R&amp;D personnel-related expenses including stock-based compensation. R&amp;D expenses for the three months ended December 31, 2024 were $23.5 million compared to $41.8 million for the prior-year period or a decrease of $18.3 million. This decrease was primarily attributable to a decrease of $17.3 million in clinical and development costs primarily due to less manufacturing of clinical trial materials to support active clinical trials for our lead product candidate, evorpacept, and a decrease in stock-based compensation expense slightly offset by increased preclinical costs for development of new targets and increased personnel and related costs. R&amp;D expenses for the year ended December 31, 2024 were $116.4 million, compared to $141.8 million for the prior-year period.</w:t>
      </w:r>
    </w:p>
    <w:p>
      <w:pPr>
        <w:spacing w:after="0" w:line="65" w:lineRule="exact"/>
        <w:rPr>
          <w:rFonts w:ascii="Times New Roman" w:cs="Times New Roman" w:eastAsia="Times New Roman" w:hAnsi="Times New Roman"/>
          <w:sz w:val="19"/>
          <w:szCs w:val="19"/>
          <w:color w:val="auto"/>
        </w:rPr>
      </w:pPr>
    </w:p>
    <w:p>
      <w:pPr>
        <w:ind w:left="760" w:right="100" w:hanging="378"/>
        <w:spacing w:after="0" w:line="246"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 administrative personnel-related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stock-based compensation and other costs such as legal and other professional fees, patent filing and maintenance fees, and insurance. G&amp;A expenses for the three months ended December 31, 2024 were $7.1 million compared to $6.2 million for the prior year period or an increase of $0.8 million. This increase was primarily attributable to an increase in personnel and related costs. G&amp;A expenses for the year ended December 31, 2024 were $26.1 million compared to $28.5 million for the prior-year period.</w:t>
      </w:r>
    </w:p>
    <w:p>
      <w:pPr>
        <w:spacing w:after="0" w:line="70" w:lineRule="exact"/>
        <w:rPr>
          <w:rFonts w:ascii="Times New Roman" w:cs="Times New Roman" w:eastAsia="Times New Roman" w:hAnsi="Times New Roman"/>
          <w:sz w:val="20"/>
          <w:szCs w:val="20"/>
          <w:color w:val="auto"/>
        </w:rPr>
      </w:pPr>
    </w:p>
    <w:p>
      <w:pPr>
        <w:ind w:left="760" w:right="40" w:hanging="378"/>
        <w:spacing w:after="0" w:line="245"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($29.2) million for the three months ended December 31, 2024, or ($0.55) per basic and diluted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compared to a GAAP net loss of ($45.5) million for the three months ended December 31, 2023, or ($0.93) per basic and diluted share. The lower net loss is primarily attributed to lower R&amp;D expenses. GAAP net loss was ($134.9) million for the year ended December 31, 2024, or ($2.58) per basic and diluted share, as compared to a GAAP net loss of ($160.8) million for the year ended December 31, 2023, or ($3.74) per basic and diluted share. Non-GAAP net loss was ($23.2) million for the three months ended December 31, 2024, as compared to a non-GAAP net loss of ($38.7) million for the three months ended December 31, 2023. Non-GAAP net loss was ($107.5) million for the year ended December 31, 2024, as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left="760" w:right="320"/>
        <w:spacing w:after="0" w:line="269" w:lineRule="auto"/>
        <w:rPr>
          <w:sz w:val="20"/>
          <w:szCs w:val="20"/>
          <w:color w:val="auto"/>
        </w:rPr>
      </w:pPr>
      <w:r>
        <w:rPr>
          <w:rFonts w:ascii="Times New Roman" w:cs="Times New Roman" w:eastAsia="Times New Roman" w:hAnsi="Times New Roman"/>
          <w:sz w:val="20"/>
          <w:szCs w:val="20"/>
          <w:color w:val="auto"/>
        </w:rPr>
        <w:t>compared to a non-GAAP net loss of ($134.3) million for the year ended December 31, 2023. A reconciliation of GAAP to non-GAAP financial results can be found at the end of this news release.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therapies that boost the immune system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More information is available at www.alxoncology.com and on LinkedIn @ALX Oncology.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41,784</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116,373</w:t>
            </w:r>
          </w:p>
        </w:tc>
        <w:tc>
          <w:tcPr>
            <w:tcW w:w="26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(30,613 )</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(48,023 )</w:t>
            </w: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(142,467 )</w:t>
            </w:r>
          </w:p>
        </w:tc>
        <w:tc>
          <w:tcPr>
            <w:tcW w:w="4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(170,278 )</w:t>
            </w:r>
          </w:p>
        </w:tc>
        <w:tc>
          <w:tcPr>
            <w:tcW w:w="0" w:type="dxa"/>
            <w:vAlign w:val="bottom"/>
          </w:tcPr>
          <w:p>
            <w:pPr>
              <w:spacing w:after="0"/>
              <w:rPr>
                <w:sz w:val="1"/>
                <w:szCs w:val="1"/>
                <w:color w:val="auto"/>
              </w:rPr>
            </w:pPr>
          </w:p>
        </w:tc>
      </w:tr>
      <w:tr>
        <w:trPr>
          <w:trHeight w:val="209"/>
        </w:trPr>
        <w:tc>
          <w:tcPr>
            <w:tcW w:w="44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(427 )</w:t>
            </w:r>
          </w:p>
        </w:tc>
        <w:tc>
          <w:tcPr>
            <w:tcW w:w="4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(1,729 )</w:t>
            </w:r>
          </w:p>
        </w:tc>
        <w:tc>
          <w:tcPr>
            <w:tcW w:w="4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(1,565 )</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4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(29 )</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(29,163 )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(45,472 )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(134,850 )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(160,805 )</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(0.55 )</w:t>
            </w: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(0.93 )</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(2.58 )</w:t>
            </w:r>
          </w:p>
        </w:tc>
        <w:tc>
          <w:tcPr>
            <w:tcW w:w="4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used to compute net loss per shares, basic</w:t>
            </w: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52,802,409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48,995,998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52,174,904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42,987,767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-1456690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-1456690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-1456690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-1456690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-1165225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-1165225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-1165225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-599440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-582295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-599440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-582295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-599440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-582295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 Data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18"/>
                <w:szCs w:val="18"/>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131,281</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218,147</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147,775</w:t>
            </w:r>
          </w:p>
        </w:tc>
        <w:tc>
          <w:tcPr>
            <w:tcW w:w="3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242,553</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34,157</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52,841</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(621,122 )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(486,272 )</w:t>
            </w: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113,618</w:t>
            </w: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189,712</w:t>
            </w:r>
          </w:p>
        </w:tc>
        <w:tc>
          <w:tcPr>
            <w:tcW w:w="120" w:type="dxa"/>
            <w:vAlign w:val="bottom"/>
            <w:shd w:val="clear" w:color="auto" w:fill="CFF0FC"/>
          </w:tcPr>
          <w:p>
            <w:pPr>
              <w:spacing w:after="0"/>
              <w:rPr>
                <w:sz w:val="18"/>
                <w:szCs w:val="18"/>
                <w:color w:val="auto"/>
              </w:rPr>
            </w:pP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(29,163 )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(45,472 )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(134,850 )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(160,805 )</w:t>
            </w: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1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r>
      <w:tr>
        <w:trPr>
          <w:trHeight w:val="210"/>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(23,236 )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(38,687 )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(107,492 )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(134,282 )</w:t>
            </w: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0"/>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49"/>
              <w:spacing w:after="0"/>
              <w:rPr>
                <w:sz w:val="20"/>
                <w:szCs w:val="20"/>
                <w:color w:val="auto"/>
              </w:rPr>
            </w:pPr>
            <w:r>
              <w:rPr>
                <w:rFonts w:ascii="Times New Roman" w:cs="Times New Roman" w:eastAsia="Times New Roman" w:hAnsi="Times New Roman"/>
                <w:sz w:val="20"/>
                <w:szCs w:val="20"/>
                <w:color w:val="auto"/>
              </w:rPr>
              <w:t>5</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7"/>
        </w:trPr>
        <w:tc>
          <w:tcPr>
            <w:tcW w:w="4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-1019175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-1019175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-1019175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Inc.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abstractNum>
  <w:abstractNum w:abstractNumId="2">
    <w:nsid w:val="3D1B58BA"/>
    <w:multiLevelType w:val="hybridMultilevel"/>
    <w:lvl w:ilvl="0">
      <w:lvlJc w:val="left"/>
      <w:lvlText w:val="\endash "/>
      <w:numFmt w:val="bullet"/>
      <w:start w:val="1"/>
    </w:lvl>
    <w:lvl w:ilvl="1">
      <w:lvlJc w:val="left"/>
      <w:lvlText w:val="\endash "/>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2025-03-06T15:11:01Z</dcterms:created>
  <dcterms:modified xsi:type="dcterms:W3CDTF">2025-03-06T15:11:01Z</dcterms:modified>
</cp:coreProperties>
</file>