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December 7,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10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Ada Sarmento</w:t>
      </w:r>
    </w:p>
    <w:p>
      <w:pPr>
        <w:spacing w:after="0" w:line="23" w:lineRule="exact"/>
        <w:rPr>
          <w:sz w:val="24"/>
          <w:szCs w:val="24"/>
          <w:color w:val="auto"/>
        </w:rPr>
      </w:pPr>
    </w:p>
    <w:p>
      <w:pPr>
        <w:ind w:left="1080"/>
        <w:spacing w:after="0"/>
        <w:rPr>
          <w:sz w:val="20"/>
          <w:szCs w:val="20"/>
          <w:color w:val="auto"/>
        </w:rPr>
      </w:pPr>
      <w:r>
        <w:rPr>
          <w:rFonts w:ascii="Arial" w:cs="Arial" w:eastAsia="Arial" w:hAnsi="Arial"/>
          <w:sz w:val="18"/>
          <w:szCs w:val="18"/>
          <w:color w:val="auto"/>
        </w:rPr>
        <w:t>Christine Torney</w:t>
      </w:r>
    </w:p>
    <w:p>
      <w:pPr>
        <w:spacing w:after="0" w:line="9" w:lineRule="exact"/>
        <w:rPr>
          <w:sz w:val="24"/>
          <w:szCs w:val="24"/>
          <w:color w:val="auto"/>
        </w:rPr>
      </w:pPr>
    </w:p>
    <w:p>
      <w:pPr>
        <w:ind w:left="1080"/>
        <w:spacing w:after="0"/>
        <w:rPr>
          <w:sz w:val="20"/>
          <w:szCs w:val="20"/>
          <w:color w:val="auto"/>
        </w:rPr>
      </w:pPr>
      <w:r>
        <w:rPr>
          <w:rFonts w:ascii="Arial" w:cs="Arial" w:eastAsia="Arial" w:hAnsi="Arial"/>
          <w:sz w:val="18"/>
          <w:szCs w:val="18"/>
          <w:color w:val="auto"/>
        </w:rPr>
        <w:t>Lynn Dicker</w:t>
      </w:r>
    </w:p>
    <w:p>
      <w:pPr>
        <w:spacing w:after="0" w:line="9" w:lineRule="exact"/>
        <w:rPr>
          <w:sz w:val="24"/>
          <w:szCs w:val="24"/>
          <w:color w:val="auto"/>
        </w:rPr>
      </w:pPr>
    </w:p>
    <w:p>
      <w:pPr>
        <w:ind w:left="1080"/>
        <w:spacing w:after="0"/>
        <w:rPr>
          <w:sz w:val="20"/>
          <w:szCs w:val="20"/>
          <w:color w:val="auto"/>
        </w:rPr>
      </w:pPr>
      <w:r>
        <w:rPr>
          <w:rFonts w:ascii="Arial" w:cs="Arial" w:eastAsia="Arial" w:hAnsi="Arial"/>
          <w:sz w:val="18"/>
          <w:szCs w:val="18"/>
          <w:color w:val="auto"/>
        </w:rPr>
        <w:t>Mary Beth Breslin</w:t>
      </w:r>
    </w:p>
    <w:p>
      <w:pPr>
        <w:spacing w:after="0" w:line="207" w:lineRule="exact"/>
        <w:rPr>
          <w:sz w:val="24"/>
          <w:szCs w:val="24"/>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ALX Oncology Holdings Inc.</w:t>
      </w:r>
    </w:p>
    <w:p>
      <w:pPr>
        <w:spacing w:after="0" w:line="27"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Registration Statement on Form S-1 File No. 333-251171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spacing w:after="0" w:line="274" w:lineRule="auto"/>
        <w:rPr>
          <w:sz w:val="20"/>
          <w:szCs w:val="20"/>
          <w:color w:val="auto"/>
        </w:rPr>
      </w:pPr>
      <w:r>
        <w:rPr>
          <w:rFonts w:ascii="Arial" w:cs="Arial" w:eastAsia="Arial" w:hAnsi="Arial"/>
          <w:sz w:val="17"/>
          <w:szCs w:val="17"/>
          <w:color w:val="auto"/>
        </w:rPr>
        <w:t>Pursuant to Rule 460 of the General Rules and Regulations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we wish to advise that as of the time of this filing, the underwriters have not yet made any distribution of the Preliminary Prospectus of ALX Oncology Holdings Inc. (the “</w:t>
      </w:r>
      <w:r>
        <w:rPr>
          <w:rFonts w:ascii="Arial" w:cs="Arial" w:eastAsia="Arial" w:hAnsi="Arial"/>
          <w:sz w:val="17"/>
          <w:szCs w:val="17"/>
          <w:b w:val="1"/>
          <w:bCs w:val="1"/>
          <w:color w:val="auto"/>
        </w:rPr>
        <w:t>Registrant</w:t>
      </w:r>
      <w:r>
        <w:rPr>
          <w:rFonts w:ascii="Arial" w:cs="Arial" w:eastAsia="Arial" w:hAnsi="Arial"/>
          <w:sz w:val="17"/>
          <w:szCs w:val="17"/>
          <w:color w:val="auto"/>
        </w:rPr>
        <w:t>”) dated December 7, 2020. However, the underwriters are taking steps to see that all underwriters, brokers or dealers participating in the public offering of shares of the Registrant’s common stock pursuant to the above-captioned Registration Statement, as amended (the “</w:t>
      </w:r>
      <w:r>
        <w:rPr>
          <w:rFonts w:ascii="Arial" w:cs="Arial" w:eastAsia="Arial" w:hAnsi="Arial"/>
          <w:sz w:val="17"/>
          <w:szCs w:val="17"/>
          <w:b w:val="1"/>
          <w:bCs w:val="1"/>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w:t>
      </w:r>
      <w:r>
        <w:rPr>
          <w:rFonts w:ascii="Arial" w:cs="Arial" w:eastAsia="Arial" w:hAnsi="Arial"/>
          <w:sz w:val="17"/>
          <w:szCs w:val="17"/>
          <w:color w:val="auto"/>
        </w:rPr>
        <w:t>”), are promptly furnished with sufficient copies of the preliminary and final prospectus to enable them to comply with the prospectus</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requirements of Sections 5(b)(1) and (2) of the Securities Act.</w:t>
      </w:r>
    </w:p>
    <w:p>
      <w:pPr>
        <w:spacing w:after="0" w:line="177"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We wish to advise you that the participating underwriters have complied and will continue to comply with the requirements of Rule 15c2-8 under the Securities Exchange Act of 1934, as amended.</w:t>
      </w:r>
    </w:p>
    <w:p>
      <w:pPr>
        <w:spacing w:after="0" w:line="170"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We hereby join in the request of the Registrant that the effectiveness of the above-captioned Registration Statement be accelerated to 4:30 p.m. Eastern Time, on Wednesday, December 9, 2020 or as soon thereafter as practicable.</w:t>
      </w:r>
    </w:p>
    <w:p>
      <w:pPr>
        <w:spacing w:after="0" w:line="170" w:lineRule="exact"/>
        <w:rPr>
          <w:sz w:val="24"/>
          <w:szCs w:val="24"/>
          <w:color w:val="auto"/>
        </w:rPr>
      </w:pPr>
    </w:p>
    <w:p>
      <w:pPr>
        <w:jc w:val="center"/>
        <w:ind w:right="-99"/>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0900"/>
          </w:cols>
          <w:pgMar w:left="440" w:top="233" w:right="5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PIPER SANDLER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CANTOR FITZGERALD &amp; 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Underwriters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Jefferies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Michael Brinkman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Michael Brinkman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Credit Suisse Securities (USA)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Andrew 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Andrew Singer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Piper Sandler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Chad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Chad Huber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Cantor Fitzgerald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Sage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Sage Kelly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Senior Managing Director, Global Head</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of Investment Banking</w:t>
      </w:r>
    </w:p>
    <w:p>
      <w:pPr>
        <w:spacing w:after="0" w:line="224" w:lineRule="exact"/>
        <w:rPr>
          <w:sz w:val="20"/>
          <w:szCs w:val="20"/>
          <w:color w:val="auto"/>
        </w:rPr>
      </w:pPr>
    </w:p>
    <w:p>
      <w:pPr>
        <w:jc w:val="right"/>
        <w:ind w:right="2779"/>
        <w:spacing w:after="0"/>
        <w:rPr>
          <w:sz w:val="20"/>
          <w:szCs w:val="20"/>
          <w:color w:val="auto"/>
        </w:rPr>
      </w:pPr>
      <w:r>
        <w:rPr>
          <w:rFonts w:ascii="Arial" w:cs="Arial" w:eastAsia="Arial" w:hAnsi="Arial"/>
          <w:sz w:val="18"/>
          <w:szCs w:val="18"/>
          <w:i w:val="1"/>
          <w:iCs w:val="1"/>
          <w:color w:val="auto"/>
        </w:rPr>
        <w:t>[Signature Page to Acceleration Request Letter]</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2021-08-15T20:24:57Z</dcterms:created>
  <dcterms:modified xsi:type="dcterms:W3CDTF">2021-08-15T20:24:57Z</dcterms:modified>
</cp:coreProperties>
</file>