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178"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32"/>
          <w:szCs w:val="32"/>
          <w:b w:val="1"/>
          <w:bCs w:val="1"/>
          <w:color w:val="auto"/>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00166B105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Travis Boettner</w:t>
      </w:r>
    </w:p>
    <w:p>
      <w:pPr>
        <w:spacing w:after="0" w:line="31"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Lightstone Ventures</w:t>
      </w:r>
    </w:p>
    <w:p>
      <w:pPr>
        <w:spacing w:after="0" w:line="9"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500 Boylston St. Suite 1380</w:t>
      </w:r>
    </w:p>
    <w:p>
      <w:pPr>
        <w:spacing w:after="0" w:line="9"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Boston, MA 02116</w:t>
      </w:r>
    </w:p>
    <w:p>
      <w:pPr>
        <w:spacing w:after="0" w:line="9"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(617) 933-3770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5715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636"/>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December 15,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ind w:left="4" w:right="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159" w:lineRule="exact"/>
        <w:rPr>
          <w:sz w:val="24"/>
          <w:szCs w:val="24"/>
          <w:color w:val="auto"/>
        </w:rPr>
      </w:pPr>
    </w:p>
    <w:p>
      <w:pPr>
        <w:ind w:left="4" w:hanging="4"/>
        <w:spacing w:after="0" w:line="282" w:lineRule="auto"/>
        <w:tabs>
          <w:tab w:leader="none" w:pos="16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157480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183515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663575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833"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10220" w:type="dxa"/>
            <w:vAlign w:val="bottom"/>
            <w:gridSpan w:val="3"/>
          </w:tcPr>
          <w:p>
            <w:pPr>
              <w:jc w:val="right"/>
              <w:ind w:right="9270"/>
              <w:spacing w:after="0"/>
              <w:rPr>
                <w:sz w:val="20"/>
                <w:szCs w:val="20"/>
                <w:color w:val="auto"/>
              </w:rPr>
            </w:pPr>
            <w:r>
              <w:rPr>
                <w:rFonts w:ascii="Times New Roman" w:cs="Times New Roman" w:eastAsia="Times New Roman" w:hAnsi="Times New Roman"/>
                <w:sz w:val="18"/>
                <w:szCs w:val="18"/>
                <w:color w:val="auto"/>
                <w:w w:val="99"/>
              </w:rPr>
              <w:t>00166B105</w:t>
            </w:r>
          </w:p>
        </w:tc>
        <w:tc>
          <w:tcPr>
            <w:tcW w:w="0" w:type="dxa"/>
            <w:vAlign w:val="bottom"/>
          </w:tcPr>
          <w:p>
            <w:pPr>
              <w:spacing w:after="0"/>
              <w:rPr>
                <w:sz w:val="1"/>
                <w:szCs w:val="1"/>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Lightstone Ventures, L.P.</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5"/>
                <w:szCs w:val="15"/>
                <w:color w:val="auto"/>
              </w:rPr>
            </w:pPr>
          </w:p>
        </w:tc>
        <w:tc>
          <w:tcPr>
            <w:tcW w:w="10720" w:type="dxa"/>
            <w:vAlign w:val="bottom"/>
            <w:tcBorders>
              <w:right w:val="single" w:sz="8" w:color="auto"/>
            </w:tcBorders>
            <w:gridSpan w:val="4"/>
          </w:tcPr>
          <w:p>
            <w:pPr>
              <w:ind w:left="4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97"/>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WC</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gridSpan w:val="3"/>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954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1,366,530 shares of Common Stock (2)</w:t>
            </w:r>
          </w:p>
        </w:tc>
        <w:tc>
          <w:tcPr>
            <w:tcW w:w="0" w:type="dxa"/>
            <w:vAlign w:val="bottom"/>
          </w:tcPr>
          <w:p>
            <w:pPr>
              <w:spacing w:after="0"/>
              <w:rPr>
                <w:sz w:val="1"/>
                <w:szCs w:val="1"/>
                <w:color w:val="auto"/>
              </w:rPr>
            </w:pPr>
          </w:p>
        </w:tc>
      </w:tr>
      <w:tr>
        <w:trPr>
          <w:trHeight w:val="5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1"/>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Beneficially</w:t>
            </w:r>
          </w:p>
        </w:tc>
        <w:tc>
          <w:tcPr>
            <w:tcW w:w="12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9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9540" w:type="dxa"/>
            <w:vAlign w:val="bottom"/>
            <w:tcBorders>
              <w:right w:val="single" w:sz="8" w:color="auto"/>
            </w:tcBorders>
            <w:vMerge w:val="restart"/>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040" w:type="dxa"/>
            <w:vAlign w:val="bottom"/>
            <w:tcBorders>
              <w:left w:val="single" w:sz="8" w:color="auto"/>
            </w:tcBorders>
            <w:gridSpan w:val="3"/>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48"/>
        </w:trPr>
        <w:tc>
          <w:tcPr>
            <w:tcW w:w="54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95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1,366,530 shares of Common Stock (2)</w:t>
            </w:r>
          </w:p>
        </w:tc>
        <w:tc>
          <w:tcPr>
            <w:tcW w:w="0" w:type="dxa"/>
            <w:vAlign w:val="bottom"/>
          </w:tcPr>
          <w:p>
            <w:pPr>
              <w:spacing w:after="0"/>
              <w:rPr>
                <w:sz w:val="1"/>
                <w:szCs w:val="1"/>
                <w:color w:val="auto"/>
              </w:rPr>
            </w:pPr>
          </w:p>
        </w:tc>
      </w:tr>
      <w:tr>
        <w:trPr>
          <w:trHeight w:val="167"/>
        </w:trPr>
        <w:tc>
          <w:tcPr>
            <w:tcW w:w="1040" w:type="dxa"/>
            <w:vAlign w:val="bottom"/>
            <w:tcBorders>
              <w:lef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Reporting</w:t>
            </w:r>
          </w:p>
        </w:tc>
        <w:tc>
          <w:tcPr>
            <w:tcW w:w="1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95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w w:val="98"/>
              </w:rPr>
              <w:t>Person With</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540" w:type="dxa"/>
            <w:vAlign w:val="bottom"/>
            <w:tcBorders>
              <w:right w:val="single" w:sz="8" w:color="auto"/>
            </w:tcBorders>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gridSpan w:val="2"/>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1,366,530 shares of Common Stock (2)</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2.7% (3)</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right="20" w:hanging="332"/>
        <w:spacing w:after="0" w:line="258"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Lightstone Ventures, L.P. (“LV LP”), Lightstone Ventures (A), L.P. (“LV(A) LP”), LSV Associates, LLC (“LSV Associates”), Lightstone Ventures II, LP (“LV II LP”), Lightstone Ventures II (A), LP (“LV II(A) LP”) and LSV Associates II, LLC (“LSV Associates II,” together with LV LP, LV(A) LP, LSV Associates, LV II LP and LV II(A) LP, the “LV Entities”), Michael A. Carusi, Jean M. George and Henry A. Plain, Jr. Together with the LV Entities, Messrs. Carusi, and Plain, and Ms. George are herein collectively referred to as the “Reporting Persons”). The Reporting Persons expressly disclaim status as a “group” for purposes of this Schedule 13D.</w:t>
      </w:r>
    </w:p>
    <w:p>
      <w:pPr>
        <w:spacing w:after="0" w:line="183"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held by LV LP. LSV Associates serves as the general partner of LV LP. Messrs. Carusi and Plain, and Ms. George, the individual managing directors of LSV Associates, share voting and dispositive power with respect to the shares held of record by LV LP, and may be deemed to own beneficially the shares held by LV LP.</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49,818,812 shares of Common Stock outstanding as of November 6, 2023, as reported in the Issuer’s Quarterly Report on Form 10-Q filed with the Securities and Exchange Commission (the “SEC”) on November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4"/>
        </w:trPr>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10220" w:type="dxa"/>
            <w:vAlign w:val="bottom"/>
            <w:gridSpan w:val="3"/>
          </w:tcPr>
          <w:p>
            <w:pPr>
              <w:jc w:val="right"/>
              <w:ind w:right="9270"/>
              <w:spacing w:after="0"/>
              <w:rPr>
                <w:sz w:val="20"/>
                <w:szCs w:val="20"/>
                <w:color w:val="auto"/>
              </w:rPr>
            </w:pPr>
            <w:r>
              <w:rPr>
                <w:rFonts w:ascii="Times New Roman" w:cs="Times New Roman" w:eastAsia="Times New Roman" w:hAnsi="Times New Roman"/>
                <w:sz w:val="18"/>
                <w:szCs w:val="18"/>
                <w:color w:val="auto"/>
                <w:w w:val="99"/>
              </w:rPr>
              <w:t>00166B105</w:t>
            </w:r>
          </w:p>
        </w:tc>
        <w:tc>
          <w:tcPr>
            <w:tcW w:w="0" w:type="dxa"/>
            <w:vAlign w:val="bottom"/>
          </w:tcPr>
          <w:p>
            <w:pPr>
              <w:spacing w:after="0"/>
              <w:rPr>
                <w:sz w:val="1"/>
                <w:szCs w:val="1"/>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Lightstone Ventures (A), L.P.</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5"/>
                <w:szCs w:val="15"/>
                <w:color w:val="auto"/>
              </w:rPr>
            </w:pPr>
          </w:p>
        </w:tc>
        <w:tc>
          <w:tcPr>
            <w:tcW w:w="10720" w:type="dxa"/>
            <w:vAlign w:val="bottom"/>
            <w:tcBorders>
              <w:right w:val="single" w:sz="8" w:color="auto"/>
            </w:tcBorders>
            <w:gridSpan w:val="4"/>
          </w:tcPr>
          <w:p>
            <w:pPr>
              <w:ind w:left="4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97"/>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WC</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gridSpan w:val="3"/>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954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186,315 shares of Common Stock (2)</w:t>
            </w:r>
          </w:p>
        </w:tc>
        <w:tc>
          <w:tcPr>
            <w:tcW w:w="0" w:type="dxa"/>
            <w:vAlign w:val="bottom"/>
          </w:tcPr>
          <w:p>
            <w:pPr>
              <w:spacing w:after="0"/>
              <w:rPr>
                <w:sz w:val="1"/>
                <w:szCs w:val="1"/>
                <w:color w:val="auto"/>
              </w:rPr>
            </w:pPr>
          </w:p>
        </w:tc>
      </w:tr>
      <w:tr>
        <w:trPr>
          <w:trHeight w:val="5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1"/>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Beneficially</w:t>
            </w:r>
          </w:p>
        </w:tc>
        <w:tc>
          <w:tcPr>
            <w:tcW w:w="12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9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9540" w:type="dxa"/>
            <w:vAlign w:val="bottom"/>
            <w:tcBorders>
              <w:right w:val="single" w:sz="8" w:color="auto"/>
            </w:tcBorders>
            <w:vMerge w:val="restart"/>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040" w:type="dxa"/>
            <w:vAlign w:val="bottom"/>
            <w:tcBorders>
              <w:left w:val="single" w:sz="8" w:color="auto"/>
            </w:tcBorders>
            <w:gridSpan w:val="3"/>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48"/>
        </w:trPr>
        <w:tc>
          <w:tcPr>
            <w:tcW w:w="54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95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186,315 shares of Common Stock (2)</w:t>
            </w:r>
          </w:p>
        </w:tc>
        <w:tc>
          <w:tcPr>
            <w:tcW w:w="0" w:type="dxa"/>
            <w:vAlign w:val="bottom"/>
          </w:tcPr>
          <w:p>
            <w:pPr>
              <w:spacing w:after="0"/>
              <w:rPr>
                <w:sz w:val="1"/>
                <w:szCs w:val="1"/>
                <w:color w:val="auto"/>
              </w:rPr>
            </w:pPr>
          </w:p>
        </w:tc>
      </w:tr>
      <w:tr>
        <w:trPr>
          <w:trHeight w:val="167"/>
        </w:trPr>
        <w:tc>
          <w:tcPr>
            <w:tcW w:w="1040" w:type="dxa"/>
            <w:vAlign w:val="bottom"/>
            <w:tcBorders>
              <w:lef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Reporting</w:t>
            </w:r>
          </w:p>
        </w:tc>
        <w:tc>
          <w:tcPr>
            <w:tcW w:w="1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95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w w:val="98"/>
              </w:rPr>
              <w:t>Person With</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540" w:type="dxa"/>
            <w:vAlign w:val="bottom"/>
            <w:tcBorders>
              <w:right w:val="single" w:sz="8" w:color="auto"/>
            </w:tcBorders>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gridSpan w:val="2"/>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186,315 shares of Common Stock (2)</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0.4% (3)</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spacing w:after="0" w:line="22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held by LV(A) LP. LSV Associates serves as the general partner of LV(A) LP. Messrs. Carusi and Plain, and Ms. George, the individual managing directors of LSV Associates, share voting and dispositive power with respect to the shares held of record by LV(A) LP, and may be deemed to own beneficially the shares held by LV(A) LP.</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49,818,812 shares of Common Stock outstanding as of November 6, 2023, as reported in the Issuer’s Quarterly Report on Form 10-Q filed with the SEC on November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4"/>
        </w:trPr>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10220" w:type="dxa"/>
            <w:vAlign w:val="bottom"/>
            <w:gridSpan w:val="3"/>
          </w:tcPr>
          <w:p>
            <w:pPr>
              <w:jc w:val="right"/>
              <w:ind w:right="9270"/>
              <w:spacing w:after="0"/>
              <w:rPr>
                <w:sz w:val="20"/>
                <w:szCs w:val="20"/>
                <w:color w:val="auto"/>
              </w:rPr>
            </w:pPr>
            <w:r>
              <w:rPr>
                <w:rFonts w:ascii="Times New Roman" w:cs="Times New Roman" w:eastAsia="Times New Roman" w:hAnsi="Times New Roman"/>
                <w:sz w:val="18"/>
                <w:szCs w:val="18"/>
                <w:color w:val="auto"/>
                <w:w w:val="99"/>
              </w:rPr>
              <w:t>00166B105</w:t>
            </w:r>
          </w:p>
        </w:tc>
        <w:tc>
          <w:tcPr>
            <w:tcW w:w="0" w:type="dxa"/>
            <w:vAlign w:val="bottom"/>
          </w:tcPr>
          <w:p>
            <w:pPr>
              <w:spacing w:after="0"/>
              <w:rPr>
                <w:sz w:val="1"/>
                <w:szCs w:val="1"/>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LSV Associates, LLC</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5"/>
                <w:szCs w:val="15"/>
                <w:color w:val="auto"/>
              </w:rPr>
            </w:pPr>
          </w:p>
        </w:tc>
        <w:tc>
          <w:tcPr>
            <w:tcW w:w="10720" w:type="dxa"/>
            <w:vAlign w:val="bottom"/>
            <w:tcBorders>
              <w:right w:val="single" w:sz="8" w:color="auto"/>
            </w:tcBorders>
            <w:gridSpan w:val="4"/>
          </w:tcPr>
          <w:p>
            <w:pPr>
              <w:ind w:left="4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97"/>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gridSpan w:val="3"/>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954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1,552,845 shares of Common Stock (2)</w:t>
            </w:r>
          </w:p>
        </w:tc>
        <w:tc>
          <w:tcPr>
            <w:tcW w:w="0" w:type="dxa"/>
            <w:vAlign w:val="bottom"/>
          </w:tcPr>
          <w:p>
            <w:pPr>
              <w:spacing w:after="0"/>
              <w:rPr>
                <w:sz w:val="1"/>
                <w:szCs w:val="1"/>
                <w:color w:val="auto"/>
              </w:rPr>
            </w:pPr>
          </w:p>
        </w:tc>
      </w:tr>
      <w:tr>
        <w:trPr>
          <w:trHeight w:val="5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1"/>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Beneficially</w:t>
            </w:r>
          </w:p>
        </w:tc>
        <w:tc>
          <w:tcPr>
            <w:tcW w:w="12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9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9540" w:type="dxa"/>
            <w:vAlign w:val="bottom"/>
            <w:tcBorders>
              <w:right w:val="single" w:sz="8" w:color="auto"/>
            </w:tcBorders>
            <w:vMerge w:val="restart"/>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040" w:type="dxa"/>
            <w:vAlign w:val="bottom"/>
            <w:tcBorders>
              <w:left w:val="single" w:sz="8" w:color="auto"/>
            </w:tcBorders>
            <w:gridSpan w:val="3"/>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48"/>
        </w:trPr>
        <w:tc>
          <w:tcPr>
            <w:tcW w:w="54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95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1,552,845 shares of Common Stock (2)</w:t>
            </w:r>
          </w:p>
        </w:tc>
        <w:tc>
          <w:tcPr>
            <w:tcW w:w="0" w:type="dxa"/>
            <w:vAlign w:val="bottom"/>
          </w:tcPr>
          <w:p>
            <w:pPr>
              <w:spacing w:after="0"/>
              <w:rPr>
                <w:sz w:val="1"/>
                <w:szCs w:val="1"/>
                <w:color w:val="auto"/>
              </w:rPr>
            </w:pPr>
          </w:p>
        </w:tc>
      </w:tr>
      <w:tr>
        <w:trPr>
          <w:trHeight w:val="167"/>
        </w:trPr>
        <w:tc>
          <w:tcPr>
            <w:tcW w:w="1040" w:type="dxa"/>
            <w:vAlign w:val="bottom"/>
            <w:tcBorders>
              <w:lef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Reporting</w:t>
            </w:r>
          </w:p>
        </w:tc>
        <w:tc>
          <w:tcPr>
            <w:tcW w:w="1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95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w w:val="98"/>
              </w:rPr>
              <w:t>Person With</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540" w:type="dxa"/>
            <w:vAlign w:val="bottom"/>
            <w:tcBorders>
              <w:right w:val="single" w:sz="8" w:color="auto"/>
            </w:tcBorders>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gridSpan w:val="2"/>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1,552,845 shares of Common Stock (2)</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3.1% (3)</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spacing w:after="0" w:line="225" w:lineRule="exact"/>
        <w:rPr>
          <w:rFonts w:ascii="Times New Roman" w:cs="Times New Roman" w:eastAsia="Times New Roman" w:hAnsi="Times New Roman"/>
          <w:sz w:val="18"/>
          <w:szCs w:val="18"/>
          <w:color w:val="auto"/>
        </w:rPr>
      </w:pPr>
    </w:p>
    <w:p>
      <w:pPr>
        <w:jc w:val="both"/>
        <w:ind w:left="340" w:right="20" w:hanging="332"/>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1,366,530 shares held by LV LP; and (ii) 186,315 shares held by LV(A) LP. LSV Associates serves as the general partner of each of LV LP and LV(A) LP. Messrs. Carusi and Plain, and Ms. George, the individual managing directors of LSV Associates, share voting and dispositive power with respect to the shares held of record by each of LV LP and LV(A) LP, and may be deemed to own beneficially the shares held by LV LP and LV(A) LP.</w:t>
      </w:r>
    </w:p>
    <w:p>
      <w:pPr>
        <w:spacing w:after="0" w:line="17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49,818,812 shares of Common Stock outstanding as of November 6, 2023, as reported in the Issuer’s Quarterly Report on Form 10-Q filed with the SEC on November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4"/>
        </w:trPr>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10220" w:type="dxa"/>
            <w:vAlign w:val="bottom"/>
            <w:gridSpan w:val="3"/>
          </w:tcPr>
          <w:p>
            <w:pPr>
              <w:jc w:val="right"/>
              <w:ind w:right="9270"/>
              <w:spacing w:after="0"/>
              <w:rPr>
                <w:sz w:val="20"/>
                <w:szCs w:val="20"/>
                <w:color w:val="auto"/>
              </w:rPr>
            </w:pPr>
            <w:r>
              <w:rPr>
                <w:rFonts w:ascii="Times New Roman" w:cs="Times New Roman" w:eastAsia="Times New Roman" w:hAnsi="Times New Roman"/>
                <w:sz w:val="18"/>
                <w:szCs w:val="18"/>
                <w:color w:val="auto"/>
                <w:w w:val="99"/>
              </w:rPr>
              <w:t>00166B105</w:t>
            </w:r>
          </w:p>
        </w:tc>
        <w:tc>
          <w:tcPr>
            <w:tcW w:w="0" w:type="dxa"/>
            <w:vAlign w:val="bottom"/>
          </w:tcPr>
          <w:p>
            <w:pPr>
              <w:spacing w:after="0"/>
              <w:rPr>
                <w:sz w:val="1"/>
                <w:szCs w:val="1"/>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Lightstone Ventures II, L.P.</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5"/>
                <w:szCs w:val="15"/>
                <w:color w:val="auto"/>
              </w:rPr>
            </w:pPr>
          </w:p>
        </w:tc>
        <w:tc>
          <w:tcPr>
            <w:tcW w:w="10720" w:type="dxa"/>
            <w:vAlign w:val="bottom"/>
            <w:tcBorders>
              <w:right w:val="single" w:sz="8" w:color="auto"/>
            </w:tcBorders>
            <w:gridSpan w:val="4"/>
          </w:tcPr>
          <w:p>
            <w:pPr>
              <w:ind w:left="4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97"/>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WC</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gridSpan w:val="3"/>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954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1,318,409 shares of Common Stock (2)</w:t>
            </w:r>
          </w:p>
        </w:tc>
        <w:tc>
          <w:tcPr>
            <w:tcW w:w="0" w:type="dxa"/>
            <w:vAlign w:val="bottom"/>
          </w:tcPr>
          <w:p>
            <w:pPr>
              <w:spacing w:after="0"/>
              <w:rPr>
                <w:sz w:val="1"/>
                <w:szCs w:val="1"/>
                <w:color w:val="auto"/>
              </w:rPr>
            </w:pPr>
          </w:p>
        </w:tc>
      </w:tr>
      <w:tr>
        <w:trPr>
          <w:trHeight w:val="5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1"/>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Beneficially</w:t>
            </w:r>
          </w:p>
        </w:tc>
        <w:tc>
          <w:tcPr>
            <w:tcW w:w="12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9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9540" w:type="dxa"/>
            <w:vAlign w:val="bottom"/>
            <w:tcBorders>
              <w:right w:val="single" w:sz="8" w:color="auto"/>
            </w:tcBorders>
            <w:vMerge w:val="restart"/>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040" w:type="dxa"/>
            <w:vAlign w:val="bottom"/>
            <w:tcBorders>
              <w:left w:val="single" w:sz="8" w:color="auto"/>
            </w:tcBorders>
            <w:gridSpan w:val="3"/>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48"/>
        </w:trPr>
        <w:tc>
          <w:tcPr>
            <w:tcW w:w="54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95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1,318,409 shares of Common Stock (2)</w:t>
            </w:r>
          </w:p>
        </w:tc>
        <w:tc>
          <w:tcPr>
            <w:tcW w:w="0" w:type="dxa"/>
            <w:vAlign w:val="bottom"/>
          </w:tcPr>
          <w:p>
            <w:pPr>
              <w:spacing w:after="0"/>
              <w:rPr>
                <w:sz w:val="1"/>
                <w:szCs w:val="1"/>
                <w:color w:val="auto"/>
              </w:rPr>
            </w:pPr>
          </w:p>
        </w:tc>
      </w:tr>
      <w:tr>
        <w:trPr>
          <w:trHeight w:val="167"/>
        </w:trPr>
        <w:tc>
          <w:tcPr>
            <w:tcW w:w="1040" w:type="dxa"/>
            <w:vAlign w:val="bottom"/>
            <w:tcBorders>
              <w:lef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Reporting</w:t>
            </w:r>
          </w:p>
        </w:tc>
        <w:tc>
          <w:tcPr>
            <w:tcW w:w="1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95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w w:val="98"/>
              </w:rPr>
              <w:t>Person With</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540" w:type="dxa"/>
            <w:vAlign w:val="bottom"/>
            <w:tcBorders>
              <w:right w:val="single" w:sz="8" w:color="auto"/>
            </w:tcBorders>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gridSpan w:val="2"/>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1,318,409 shares of Common Stock (2)</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2.6% (3)</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spacing w:after="0" w:line="22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held by LV II LP. LSV Associates II serves as the general partner of LV II LP. Messrs. Carusi and Plain, and Ms. George, the individual managing directors of LSV Associates II, share voting and dispositive power with respect to the shares held of record by LV II LP, and may be deemed to own beneficially the shares held by LV II LP.</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49,818,812 shares of Common Stock outstanding as of November 6, 2023, as reported in the Issuer’s Quarterly Report on Form 10-Q filed with the SEC on November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4"/>
        </w:trPr>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10220" w:type="dxa"/>
            <w:vAlign w:val="bottom"/>
            <w:gridSpan w:val="3"/>
          </w:tcPr>
          <w:p>
            <w:pPr>
              <w:jc w:val="right"/>
              <w:ind w:right="9270"/>
              <w:spacing w:after="0"/>
              <w:rPr>
                <w:sz w:val="20"/>
                <w:szCs w:val="20"/>
                <w:color w:val="auto"/>
              </w:rPr>
            </w:pPr>
            <w:r>
              <w:rPr>
                <w:rFonts w:ascii="Times New Roman" w:cs="Times New Roman" w:eastAsia="Times New Roman" w:hAnsi="Times New Roman"/>
                <w:sz w:val="18"/>
                <w:szCs w:val="18"/>
                <w:color w:val="auto"/>
                <w:w w:val="99"/>
              </w:rPr>
              <w:t>00166B105</w:t>
            </w:r>
          </w:p>
        </w:tc>
        <w:tc>
          <w:tcPr>
            <w:tcW w:w="0" w:type="dxa"/>
            <w:vAlign w:val="bottom"/>
          </w:tcPr>
          <w:p>
            <w:pPr>
              <w:spacing w:after="0"/>
              <w:rPr>
                <w:sz w:val="1"/>
                <w:szCs w:val="1"/>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Lightstone Ventures II (A), L.P.</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5"/>
                <w:szCs w:val="15"/>
                <w:color w:val="auto"/>
              </w:rPr>
            </w:pPr>
          </w:p>
        </w:tc>
        <w:tc>
          <w:tcPr>
            <w:tcW w:w="10720" w:type="dxa"/>
            <w:vAlign w:val="bottom"/>
            <w:tcBorders>
              <w:right w:val="single" w:sz="8" w:color="auto"/>
            </w:tcBorders>
            <w:gridSpan w:val="4"/>
          </w:tcPr>
          <w:p>
            <w:pPr>
              <w:ind w:left="4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97"/>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WC</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gridSpan w:val="3"/>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954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78,326 shares of Common Stock (2)</w:t>
            </w:r>
          </w:p>
        </w:tc>
        <w:tc>
          <w:tcPr>
            <w:tcW w:w="0" w:type="dxa"/>
            <w:vAlign w:val="bottom"/>
          </w:tcPr>
          <w:p>
            <w:pPr>
              <w:spacing w:after="0"/>
              <w:rPr>
                <w:sz w:val="1"/>
                <w:szCs w:val="1"/>
                <w:color w:val="auto"/>
              </w:rPr>
            </w:pPr>
          </w:p>
        </w:tc>
      </w:tr>
      <w:tr>
        <w:trPr>
          <w:trHeight w:val="5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1"/>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Beneficially</w:t>
            </w:r>
          </w:p>
        </w:tc>
        <w:tc>
          <w:tcPr>
            <w:tcW w:w="12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9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9540" w:type="dxa"/>
            <w:vAlign w:val="bottom"/>
            <w:tcBorders>
              <w:right w:val="single" w:sz="8" w:color="auto"/>
            </w:tcBorders>
            <w:vMerge w:val="restart"/>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040" w:type="dxa"/>
            <w:vAlign w:val="bottom"/>
            <w:tcBorders>
              <w:left w:val="single" w:sz="8" w:color="auto"/>
            </w:tcBorders>
            <w:gridSpan w:val="3"/>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48"/>
        </w:trPr>
        <w:tc>
          <w:tcPr>
            <w:tcW w:w="54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95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78,326 shares of Common Stock (2)</w:t>
            </w:r>
          </w:p>
        </w:tc>
        <w:tc>
          <w:tcPr>
            <w:tcW w:w="0" w:type="dxa"/>
            <w:vAlign w:val="bottom"/>
          </w:tcPr>
          <w:p>
            <w:pPr>
              <w:spacing w:after="0"/>
              <w:rPr>
                <w:sz w:val="1"/>
                <w:szCs w:val="1"/>
                <w:color w:val="auto"/>
              </w:rPr>
            </w:pPr>
          </w:p>
        </w:tc>
      </w:tr>
      <w:tr>
        <w:trPr>
          <w:trHeight w:val="167"/>
        </w:trPr>
        <w:tc>
          <w:tcPr>
            <w:tcW w:w="1040" w:type="dxa"/>
            <w:vAlign w:val="bottom"/>
            <w:tcBorders>
              <w:lef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Reporting</w:t>
            </w:r>
          </w:p>
        </w:tc>
        <w:tc>
          <w:tcPr>
            <w:tcW w:w="1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95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w w:val="98"/>
              </w:rPr>
              <w:t>Person With</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540" w:type="dxa"/>
            <w:vAlign w:val="bottom"/>
            <w:tcBorders>
              <w:right w:val="single" w:sz="8" w:color="auto"/>
            </w:tcBorders>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gridSpan w:val="2"/>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78,326 shares of Common Stock (2)</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0.2% (3)</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spacing w:after="0" w:line="22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held by LV II(A) LP. LSV Associates II serves as the general partner of LV II(A) LP. Messrs. Carusi and Plain, and Ms. George, the individual managing directors of LSV Associates II, share voting and dispositive power with respect to the shares held of record by LV II(A) LP, and may be deemed to own beneficially the shares held by LV II(A) LP.</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49,818,812 shares of Common Stock outstanding as of November 6, 2023, as reported in the Issuer’s Quarterly Report on Form 10-Q filed with the SEC on November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4"/>
        </w:trPr>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10220" w:type="dxa"/>
            <w:vAlign w:val="bottom"/>
            <w:gridSpan w:val="3"/>
          </w:tcPr>
          <w:p>
            <w:pPr>
              <w:jc w:val="right"/>
              <w:ind w:right="9270"/>
              <w:spacing w:after="0"/>
              <w:rPr>
                <w:sz w:val="20"/>
                <w:szCs w:val="20"/>
                <w:color w:val="auto"/>
              </w:rPr>
            </w:pPr>
            <w:r>
              <w:rPr>
                <w:rFonts w:ascii="Times New Roman" w:cs="Times New Roman" w:eastAsia="Times New Roman" w:hAnsi="Times New Roman"/>
                <w:sz w:val="18"/>
                <w:szCs w:val="18"/>
                <w:color w:val="auto"/>
                <w:w w:val="99"/>
              </w:rPr>
              <w:t>00166B105</w:t>
            </w:r>
          </w:p>
        </w:tc>
        <w:tc>
          <w:tcPr>
            <w:tcW w:w="0" w:type="dxa"/>
            <w:vAlign w:val="bottom"/>
          </w:tcPr>
          <w:p>
            <w:pPr>
              <w:spacing w:after="0"/>
              <w:rPr>
                <w:sz w:val="1"/>
                <w:szCs w:val="1"/>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LSV Associates II, LLC</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5"/>
                <w:szCs w:val="15"/>
                <w:color w:val="auto"/>
              </w:rPr>
            </w:pPr>
          </w:p>
        </w:tc>
        <w:tc>
          <w:tcPr>
            <w:tcW w:w="10720" w:type="dxa"/>
            <w:vAlign w:val="bottom"/>
            <w:tcBorders>
              <w:right w:val="single" w:sz="8" w:color="auto"/>
            </w:tcBorders>
            <w:gridSpan w:val="4"/>
          </w:tcPr>
          <w:p>
            <w:pPr>
              <w:ind w:left="4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97"/>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gridSpan w:val="3"/>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954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1,396,735 shares of Common Stock (2)</w:t>
            </w:r>
          </w:p>
        </w:tc>
        <w:tc>
          <w:tcPr>
            <w:tcW w:w="0" w:type="dxa"/>
            <w:vAlign w:val="bottom"/>
          </w:tcPr>
          <w:p>
            <w:pPr>
              <w:spacing w:after="0"/>
              <w:rPr>
                <w:sz w:val="1"/>
                <w:szCs w:val="1"/>
                <w:color w:val="auto"/>
              </w:rPr>
            </w:pPr>
          </w:p>
        </w:tc>
      </w:tr>
      <w:tr>
        <w:trPr>
          <w:trHeight w:val="5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1"/>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Beneficially</w:t>
            </w:r>
          </w:p>
        </w:tc>
        <w:tc>
          <w:tcPr>
            <w:tcW w:w="12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9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9540" w:type="dxa"/>
            <w:vAlign w:val="bottom"/>
            <w:tcBorders>
              <w:right w:val="single" w:sz="8" w:color="auto"/>
            </w:tcBorders>
            <w:vMerge w:val="restart"/>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040" w:type="dxa"/>
            <w:vAlign w:val="bottom"/>
            <w:tcBorders>
              <w:left w:val="single" w:sz="8" w:color="auto"/>
            </w:tcBorders>
            <w:gridSpan w:val="3"/>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48"/>
        </w:trPr>
        <w:tc>
          <w:tcPr>
            <w:tcW w:w="54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95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1,396,735 shares of Common Stock (2)</w:t>
            </w:r>
          </w:p>
        </w:tc>
        <w:tc>
          <w:tcPr>
            <w:tcW w:w="0" w:type="dxa"/>
            <w:vAlign w:val="bottom"/>
          </w:tcPr>
          <w:p>
            <w:pPr>
              <w:spacing w:after="0"/>
              <w:rPr>
                <w:sz w:val="1"/>
                <w:szCs w:val="1"/>
                <w:color w:val="auto"/>
              </w:rPr>
            </w:pPr>
          </w:p>
        </w:tc>
      </w:tr>
      <w:tr>
        <w:trPr>
          <w:trHeight w:val="167"/>
        </w:trPr>
        <w:tc>
          <w:tcPr>
            <w:tcW w:w="1040" w:type="dxa"/>
            <w:vAlign w:val="bottom"/>
            <w:tcBorders>
              <w:lef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Reporting</w:t>
            </w:r>
          </w:p>
        </w:tc>
        <w:tc>
          <w:tcPr>
            <w:tcW w:w="1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95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w w:val="98"/>
              </w:rPr>
              <w:t>Person With</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540" w:type="dxa"/>
            <w:vAlign w:val="bottom"/>
            <w:tcBorders>
              <w:right w:val="single" w:sz="8" w:color="auto"/>
            </w:tcBorders>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gridSpan w:val="2"/>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1,396,735 shares of Common Stock (2)</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2.8% (3)</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spacing w:after="0" w:line="225" w:lineRule="exact"/>
        <w:rPr>
          <w:rFonts w:ascii="Times New Roman" w:cs="Times New Roman" w:eastAsia="Times New Roman" w:hAnsi="Times New Roman"/>
          <w:sz w:val="18"/>
          <w:szCs w:val="18"/>
          <w:color w:val="auto"/>
        </w:rPr>
      </w:pPr>
    </w:p>
    <w:p>
      <w:pPr>
        <w:jc w:val="both"/>
        <w:ind w:left="340" w:right="2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1,318,409 shares held by LV II LP; and (ii) 78,326 shares held by LV II(A) LP. LSV Associates II serves as the general partner of each of LV II LP and LV II(A) LP. Messrs. Carusi and Plain, and Ms. George, the individual managing directors of LSV Associates II, share voting and dispositive power with respect to the shares held of record by each of LV II LP and LV II(A) LP, and may be deemed to own beneficially the shares held by each of LV II LP and LV II(A) LP.</w:t>
      </w:r>
    </w:p>
    <w:p>
      <w:pPr>
        <w:spacing w:after="0" w:line="17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49,818,812 shares of Common Stock outstanding as of November 6, 2023, as reported in the Issuer’s Quarterly Report on Form 10-Q filed with the SEC on November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4"/>
        </w:trPr>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10220" w:type="dxa"/>
            <w:vAlign w:val="bottom"/>
            <w:gridSpan w:val="3"/>
          </w:tcPr>
          <w:p>
            <w:pPr>
              <w:jc w:val="right"/>
              <w:ind w:right="9270"/>
              <w:spacing w:after="0"/>
              <w:rPr>
                <w:sz w:val="20"/>
                <w:szCs w:val="20"/>
                <w:color w:val="auto"/>
              </w:rPr>
            </w:pPr>
            <w:r>
              <w:rPr>
                <w:rFonts w:ascii="Times New Roman" w:cs="Times New Roman" w:eastAsia="Times New Roman" w:hAnsi="Times New Roman"/>
                <w:sz w:val="18"/>
                <w:szCs w:val="18"/>
                <w:color w:val="auto"/>
                <w:w w:val="99"/>
              </w:rPr>
              <w:t>00166B105</w:t>
            </w:r>
          </w:p>
        </w:tc>
        <w:tc>
          <w:tcPr>
            <w:tcW w:w="0" w:type="dxa"/>
            <w:vAlign w:val="bottom"/>
          </w:tcPr>
          <w:p>
            <w:pPr>
              <w:spacing w:after="0"/>
              <w:rPr>
                <w:sz w:val="1"/>
                <w:szCs w:val="1"/>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Michael A. Carusi</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5"/>
                <w:szCs w:val="15"/>
                <w:color w:val="auto"/>
              </w:rPr>
            </w:pPr>
          </w:p>
        </w:tc>
        <w:tc>
          <w:tcPr>
            <w:tcW w:w="10720" w:type="dxa"/>
            <w:vAlign w:val="bottom"/>
            <w:tcBorders>
              <w:right w:val="single" w:sz="8" w:color="auto"/>
            </w:tcBorders>
            <w:gridSpan w:val="4"/>
          </w:tcPr>
          <w:p>
            <w:pPr>
              <w:ind w:left="4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97"/>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02"/>
        </w:trPr>
        <w:tc>
          <w:tcPr>
            <w:tcW w:w="1040" w:type="dxa"/>
            <w:vAlign w:val="bottom"/>
            <w:tcBorders>
              <w:left w:val="single" w:sz="8" w:color="auto"/>
            </w:tcBorders>
            <w:gridSpan w:val="3"/>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9540" w:type="dxa"/>
            <w:vAlign w:val="bottom"/>
            <w:tcBorders>
              <w:right w:val="single" w:sz="8" w:color="auto"/>
            </w:tcBorders>
          </w:tcPr>
          <w:p>
            <w:pPr>
              <w:jc w:val="right"/>
              <w:ind w:right="9270"/>
              <w:spacing w:after="0" w:line="202"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1"/>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Beneficially</w:t>
            </w:r>
          </w:p>
        </w:tc>
        <w:tc>
          <w:tcPr>
            <w:tcW w:w="12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9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2,949,580 shares of Common Stock (2)</w:t>
            </w:r>
          </w:p>
        </w:tc>
        <w:tc>
          <w:tcPr>
            <w:tcW w:w="0" w:type="dxa"/>
            <w:vAlign w:val="bottom"/>
          </w:tcPr>
          <w:p>
            <w:pPr>
              <w:spacing w:after="0"/>
              <w:rPr>
                <w:sz w:val="1"/>
                <w:szCs w:val="1"/>
                <w:color w:val="auto"/>
              </w:rPr>
            </w:pPr>
          </w:p>
        </w:tc>
      </w:tr>
      <w:tr>
        <w:trPr>
          <w:trHeight w:val="9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040" w:type="dxa"/>
            <w:vAlign w:val="bottom"/>
            <w:tcBorders>
              <w:left w:val="single" w:sz="8" w:color="auto"/>
            </w:tcBorders>
            <w:gridSpan w:val="3"/>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48"/>
        </w:trPr>
        <w:tc>
          <w:tcPr>
            <w:tcW w:w="54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95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9540" w:type="dxa"/>
            <w:vAlign w:val="bottom"/>
            <w:tcBorders>
              <w:right w:val="single" w:sz="8" w:color="auto"/>
            </w:tcBorders>
            <w:vMerge w:val="restart"/>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040" w:type="dxa"/>
            <w:vAlign w:val="bottom"/>
            <w:tcBorders>
              <w:lef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Reporting</w:t>
            </w:r>
          </w:p>
        </w:tc>
        <w:tc>
          <w:tcPr>
            <w:tcW w:w="1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95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w w:val="98"/>
              </w:rPr>
              <w:t>Person With</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2,949,580 shares of Common Stock (2)</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gridSpan w:val="2"/>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2,949,580 shares of Common Stock (2)</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5.9% (3)</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spacing w:after="0" w:line="225" w:lineRule="exact"/>
        <w:rPr>
          <w:rFonts w:ascii="Times New Roman" w:cs="Times New Roman" w:eastAsia="Times New Roman" w:hAnsi="Times New Roman"/>
          <w:sz w:val="18"/>
          <w:szCs w:val="18"/>
          <w:color w:val="auto"/>
        </w:rPr>
      </w:pPr>
    </w:p>
    <w:p>
      <w:pPr>
        <w:jc w:val="both"/>
        <w:ind w:left="340" w:right="20" w:hanging="332"/>
        <w:spacing w:after="0" w:line="258"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1,366,530 shares held by LV LP; (ii) 186,315 shares held by LV(A) LP; (iii) 1,318,409 shares held by LV II LP; and (iv) 78,326 shares held by LV II(A) LP. LSV Associates serves as the general partner of each of LV LP and LV(A) LP. LSV Associates II serves as the general partner of each of LV II LP and LV II(A) LP. Messrs. Carusi and Plain, and Ms. George, the individual managing directors of each of LSV Associates and LSV Associates II, share voting and dispositive power with respect to the shares held of record by each of LV LP, LV(A) LP, LV II LP and LV II(A) LP, and may be deemed to own beneficially the shares held by each of LV LP, LV(A) LP, LV II LP and LV II(A) LP.</w:t>
      </w:r>
    </w:p>
    <w:p>
      <w:pPr>
        <w:spacing w:after="0" w:line="18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49,818,812 shares of Common Stock outstanding as of November 6, 2023, as reported in the Issuer’s Quarterly Report on Form 10-Q filed with the SEC on November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34"/>
        </w:trPr>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10220" w:type="dxa"/>
            <w:vAlign w:val="bottom"/>
            <w:gridSpan w:val="4"/>
          </w:tcPr>
          <w:p>
            <w:pPr>
              <w:jc w:val="right"/>
              <w:ind w:right="9270"/>
              <w:spacing w:after="0"/>
              <w:rPr>
                <w:sz w:val="20"/>
                <w:szCs w:val="20"/>
                <w:color w:val="auto"/>
              </w:rPr>
            </w:pPr>
            <w:r>
              <w:rPr>
                <w:rFonts w:ascii="Times New Roman" w:cs="Times New Roman" w:eastAsia="Times New Roman" w:hAnsi="Times New Roman"/>
                <w:sz w:val="18"/>
                <w:szCs w:val="18"/>
                <w:color w:val="auto"/>
                <w:w w:val="99"/>
              </w:rPr>
              <w:t>00166B105</w:t>
            </w:r>
          </w:p>
        </w:tc>
        <w:tc>
          <w:tcPr>
            <w:tcW w:w="0" w:type="dxa"/>
            <w:vAlign w:val="bottom"/>
          </w:tcPr>
          <w:p>
            <w:pPr>
              <w:spacing w:after="0"/>
              <w:rPr>
                <w:sz w:val="1"/>
                <w:szCs w:val="1"/>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07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Jean M. George</w:t>
            </w:r>
          </w:p>
        </w:tc>
        <w:tc>
          <w:tcPr>
            <w:tcW w:w="9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5"/>
                <w:szCs w:val="15"/>
                <w:color w:val="auto"/>
              </w:rPr>
            </w:pPr>
          </w:p>
        </w:tc>
        <w:tc>
          <w:tcPr>
            <w:tcW w:w="10720" w:type="dxa"/>
            <w:vAlign w:val="bottom"/>
            <w:tcBorders>
              <w:right w:val="single" w:sz="8" w:color="auto"/>
            </w:tcBorders>
            <w:gridSpan w:val="5"/>
          </w:tcPr>
          <w:p>
            <w:pPr>
              <w:ind w:left="4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97"/>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720" w:type="dxa"/>
            <w:vAlign w:val="bottom"/>
            <w:tcBorders>
              <w:bottom w:val="single" w:sz="8" w:color="auto"/>
              <w:right w:val="single" w:sz="8" w:color="auto"/>
            </w:tcBorders>
            <w:gridSpan w:val="5"/>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9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07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5"/>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107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9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9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gridSpan w:val="3"/>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right w:val="single" w:sz="8" w:color="auto"/>
            </w:tcBorders>
          </w:tcPr>
          <w:p>
            <w:pPr>
              <w:jc w:val="right"/>
              <w:ind w:right="9270"/>
              <w:spacing w:after="0" w:line="202"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1"/>
                <w:szCs w:val="11"/>
                <w:color w:val="auto"/>
              </w:rPr>
            </w:pPr>
          </w:p>
        </w:tc>
        <w:tc>
          <w:tcPr>
            <w:tcW w:w="9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1"/>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Beneficially</w:t>
            </w:r>
          </w:p>
        </w:tc>
        <w:tc>
          <w:tcPr>
            <w:tcW w:w="12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9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2,949,580 shares of Common Stock (2)</w:t>
            </w:r>
          </w:p>
        </w:tc>
        <w:tc>
          <w:tcPr>
            <w:tcW w:w="0" w:type="dxa"/>
            <w:vAlign w:val="bottom"/>
          </w:tcPr>
          <w:p>
            <w:pPr>
              <w:spacing w:after="0"/>
              <w:rPr>
                <w:sz w:val="1"/>
                <w:szCs w:val="1"/>
                <w:color w:val="auto"/>
              </w:rPr>
            </w:pPr>
          </w:p>
        </w:tc>
      </w:tr>
      <w:tr>
        <w:trPr>
          <w:trHeight w:val="9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5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040" w:type="dxa"/>
            <w:vAlign w:val="bottom"/>
            <w:tcBorders>
              <w:left w:val="single" w:sz="8" w:color="auto"/>
            </w:tcBorders>
            <w:gridSpan w:val="3"/>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6"/>
                <w:szCs w:val="6"/>
                <w:color w:val="auto"/>
              </w:rPr>
            </w:pPr>
          </w:p>
        </w:tc>
        <w:tc>
          <w:tcPr>
            <w:tcW w:w="9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48"/>
        </w:trPr>
        <w:tc>
          <w:tcPr>
            <w:tcW w:w="54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95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500" w:type="dxa"/>
            <w:vAlign w:val="bottom"/>
            <w:tcBorders>
              <w:right w:val="single" w:sz="8" w:color="auto"/>
            </w:tcBorders>
            <w:vMerge w:val="restart"/>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040" w:type="dxa"/>
            <w:vAlign w:val="bottom"/>
            <w:tcBorders>
              <w:lef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Reporting</w:t>
            </w:r>
          </w:p>
        </w:tc>
        <w:tc>
          <w:tcPr>
            <w:tcW w:w="1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5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w w:val="98"/>
              </w:rPr>
              <w:t>Person With</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9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2,949,580 shares of Common Stock (2)</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gridSpan w:val="2"/>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60" w:type="dxa"/>
            <w:vAlign w:val="bottom"/>
          </w:tcPr>
          <w:p>
            <w:pPr>
              <w:spacing w:after="0"/>
              <w:rPr>
                <w:sz w:val="18"/>
                <w:szCs w:val="18"/>
                <w:color w:val="auto"/>
              </w:rPr>
            </w:pPr>
          </w:p>
        </w:tc>
        <w:tc>
          <w:tcPr>
            <w:tcW w:w="107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2,949,580 shares of Common Stock (2)</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5"/>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60" w:type="dxa"/>
            <w:vAlign w:val="bottom"/>
          </w:tcPr>
          <w:p>
            <w:pPr>
              <w:spacing w:after="0"/>
              <w:rPr>
                <w:sz w:val="18"/>
                <w:szCs w:val="18"/>
                <w:color w:val="auto"/>
              </w:rPr>
            </w:pPr>
          </w:p>
        </w:tc>
        <w:tc>
          <w:tcPr>
            <w:tcW w:w="107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5.9% (3)</w:t>
            </w:r>
          </w:p>
        </w:tc>
        <w:tc>
          <w:tcPr>
            <w:tcW w:w="4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60" w:type="dxa"/>
            <w:vAlign w:val="bottom"/>
          </w:tcPr>
          <w:p>
            <w:pPr>
              <w:spacing w:after="0"/>
              <w:rPr>
                <w:sz w:val="18"/>
                <w:szCs w:val="18"/>
                <w:color w:val="auto"/>
              </w:rPr>
            </w:pPr>
          </w:p>
        </w:tc>
        <w:tc>
          <w:tcPr>
            <w:tcW w:w="107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spacing w:after="0" w:line="225" w:lineRule="exact"/>
        <w:rPr>
          <w:rFonts w:ascii="Times New Roman" w:cs="Times New Roman" w:eastAsia="Times New Roman" w:hAnsi="Times New Roman"/>
          <w:sz w:val="18"/>
          <w:szCs w:val="18"/>
          <w:color w:val="auto"/>
        </w:rPr>
      </w:pPr>
    </w:p>
    <w:p>
      <w:pPr>
        <w:jc w:val="both"/>
        <w:ind w:left="340" w:right="20" w:hanging="332"/>
        <w:spacing w:after="0" w:line="258"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1,366,530 shares held by LV LP; (ii) 186,315 shares held by LV(A) LP; (iii) 1,318,409 shares held by LV II LP; and (iv) 78,326 shares held by LV II(A) LP. LSV Associates serves as the general partner of each of LV LP and LV(A) LP. LSV Associates II serves as the general partner of each of LV II LP and LV II(A) LP. Messrs. Carusi and Plain, and Ms. George, the individual managing directors of each of LSV Associates and LSV Associates II, share voting and dispositive power with respect to the shares held of record by each of LV LP, LV(A) LP, LV II LP and LV II(A) LP, and may be deemed to own beneficially the shares held by each of LV LP, LV(A) LP, LV II LP and LV II(A) LP.</w:t>
      </w:r>
    </w:p>
    <w:p>
      <w:pPr>
        <w:spacing w:after="0" w:line="18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49,818,812 shares of Common Stock outstanding as of November 6, 2023, as reported in the Issuer’s Quarterly Report on Form 10-Q filed with the SEC on November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34"/>
        </w:trPr>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10220" w:type="dxa"/>
            <w:vAlign w:val="bottom"/>
            <w:gridSpan w:val="3"/>
          </w:tcPr>
          <w:p>
            <w:pPr>
              <w:jc w:val="right"/>
              <w:ind w:right="9270"/>
              <w:spacing w:after="0"/>
              <w:rPr>
                <w:sz w:val="20"/>
                <w:szCs w:val="20"/>
                <w:color w:val="auto"/>
              </w:rPr>
            </w:pPr>
            <w:r>
              <w:rPr>
                <w:rFonts w:ascii="Times New Roman" w:cs="Times New Roman" w:eastAsia="Times New Roman" w:hAnsi="Times New Roman"/>
                <w:sz w:val="18"/>
                <w:szCs w:val="18"/>
                <w:color w:val="auto"/>
                <w:w w:val="99"/>
              </w:rPr>
              <w:t>00166B105</w:t>
            </w:r>
          </w:p>
        </w:tc>
        <w:tc>
          <w:tcPr>
            <w:tcW w:w="0" w:type="dxa"/>
            <w:vAlign w:val="bottom"/>
          </w:tcPr>
          <w:p>
            <w:pPr>
              <w:spacing w:after="0"/>
              <w:rPr>
                <w:sz w:val="1"/>
                <w:szCs w:val="1"/>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Henry A. Plain, Jr.</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5"/>
                <w:szCs w:val="15"/>
                <w:color w:val="auto"/>
              </w:rPr>
            </w:pPr>
          </w:p>
        </w:tc>
        <w:tc>
          <w:tcPr>
            <w:tcW w:w="10720" w:type="dxa"/>
            <w:vAlign w:val="bottom"/>
            <w:tcBorders>
              <w:right w:val="single" w:sz="8" w:color="auto"/>
            </w:tcBorders>
            <w:gridSpan w:val="4"/>
          </w:tcPr>
          <w:p>
            <w:pPr>
              <w:ind w:left="4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97"/>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gridSpan w:val="3"/>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9540" w:type="dxa"/>
            <w:vAlign w:val="bottom"/>
            <w:tcBorders>
              <w:right w:val="single" w:sz="8" w:color="auto"/>
            </w:tcBorders>
          </w:tcPr>
          <w:p>
            <w:pPr>
              <w:jc w:val="right"/>
              <w:ind w:right="9270"/>
              <w:spacing w:after="0" w:line="202"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1"/>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Beneficially</w:t>
            </w:r>
          </w:p>
        </w:tc>
        <w:tc>
          <w:tcPr>
            <w:tcW w:w="12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9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2,949,580 shares of Common Stock (2)</w:t>
            </w:r>
          </w:p>
        </w:tc>
        <w:tc>
          <w:tcPr>
            <w:tcW w:w="0" w:type="dxa"/>
            <w:vAlign w:val="bottom"/>
          </w:tcPr>
          <w:p>
            <w:pPr>
              <w:spacing w:after="0"/>
              <w:rPr>
                <w:sz w:val="1"/>
                <w:szCs w:val="1"/>
                <w:color w:val="auto"/>
              </w:rPr>
            </w:pPr>
          </w:p>
        </w:tc>
      </w:tr>
      <w:tr>
        <w:trPr>
          <w:trHeight w:val="9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040" w:type="dxa"/>
            <w:vAlign w:val="bottom"/>
            <w:tcBorders>
              <w:left w:val="single" w:sz="8" w:color="auto"/>
            </w:tcBorders>
            <w:gridSpan w:val="3"/>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48"/>
        </w:trPr>
        <w:tc>
          <w:tcPr>
            <w:tcW w:w="54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95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9540" w:type="dxa"/>
            <w:vAlign w:val="bottom"/>
            <w:tcBorders>
              <w:right w:val="single" w:sz="8" w:color="auto"/>
            </w:tcBorders>
            <w:vMerge w:val="restart"/>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040" w:type="dxa"/>
            <w:vAlign w:val="bottom"/>
            <w:tcBorders>
              <w:lef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Reporting</w:t>
            </w:r>
          </w:p>
        </w:tc>
        <w:tc>
          <w:tcPr>
            <w:tcW w:w="1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95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w w:val="98"/>
              </w:rPr>
              <w:t>Person With</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2,949,580 shares of Common Stock (2)</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gridSpan w:val="2"/>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2,949,580 shares of Common Stock (2)</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5.9% (3)</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spacing w:after="0" w:line="225" w:lineRule="exact"/>
        <w:rPr>
          <w:rFonts w:ascii="Times New Roman" w:cs="Times New Roman" w:eastAsia="Times New Roman" w:hAnsi="Times New Roman"/>
          <w:sz w:val="18"/>
          <w:szCs w:val="18"/>
          <w:color w:val="auto"/>
        </w:rPr>
      </w:pPr>
    </w:p>
    <w:p>
      <w:pPr>
        <w:jc w:val="both"/>
        <w:ind w:left="340" w:right="20" w:hanging="332"/>
        <w:spacing w:after="0" w:line="258"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1,366,530 shares held by LV LP; (ii) 186,315 shares held by LV(A) LP; (iii) 1,318,409 shares held by LV II LP; and (iv) 78,326 shares held by LV II(A) LP. LSV Associates serves as the general partner of each of LV LP and LV(A) LP. LSV Associates II serves as the general partner of each of LV II LP and LV II(A) LP. Messrs. Carusi and Plain, and Ms. George, the individual managing directors of each of LSV Associates and LSV Associates II, share voting and dispositive power with respect to the shares held of record by each of LV LP, LV(A) LP, LV II LP and LV II(A) LP, and may be deemed to own beneficially the shares held by each of LV LP, LV(A) LP, LV II LP and LV II(A) LP.</w:t>
      </w:r>
    </w:p>
    <w:p>
      <w:pPr>
        <w:spacing w:after="0" w:line="18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49,818,812 shares of Common Stock outstanding as of November 6, 2023, as reported in the Issuer’s Quarterly Report on Form 10-Q filed with the SEC on November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sectPr>
      </w:pPr>
    </w:p>
    <w:bookmarkStart w:id="10" w:name="page11"/>
    <w:bookmarkEnd w:id="10"/>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Explanatory Note: </w:t>
      </w:r>
      <w:r>
        <w:rPr>
          <w:rFonts w:ascii="Times New Roman" w:cs="Times New Roman" w:eastAsia="Times New Roman" w:hAnsi="Times New Roman"/>
          <w:sz w:val="18"/>
          <w:szCs w:val="18"/>
          <w:color w:val="auto"/>
        </w:rPr>
        <w:t>This Amendment No. 2 (the “Amendment”), which amends the Schedule 13D filed with the Securities and Exchange Commission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 on July 31, 2020, as amended by Amendment No. 1 (“Amendment No. 1”) filed with the SEC on December 20, 2023 (as amended, the “Original Schedule 13D”) filed on behalf of Lightstone Ventures, L.P. (“LV LP”), Lightstone Ventures (A), L.P. (“LV(A) LP”), LSV Associates, LLC (“LSV Associates”), Lightstone Ventures II, LP (“LV II LP”), Lightstone Ventures II (A), LP (“LV II(A) LP” and together with LV LP, LV(A) LP and LV II LP, the “LV Funds”) and LSV Associates II, LLC (“LSV Associates II,” together with LV LP, LV(A) LP, LSV Associates, LV II LP and LV II(A) LP, the “LV Entities”), Michael A. Carusi, Jean M. George and Henry A. Plain, Jr., together with the LV Entities, Messrs. Carusi and Plain, and Ms. George, collectively the “Reporting Persons”), relates to the common stock, par value $0.001 per share (“Common Stock”) of ALX Oncology Holdings Inc., a Delaware corporation (the “Issuer”). This Amendment is being filed by the Reporting Persons to report open market sales of Common Stock. Accordingly, the number of securities beneficially owned by the Reporting Persons has decreased as described in Item 5 and Schedule A below.</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Items 5 of the Original Schedule 13D is hereby amended and supplemented to the extent hereinafter expressly set forth and, except as amended and supplemented hereby, the Original Schedule 13D remains in full force and effect. All capitalized terms used in this Amendment but not defined herein shall have the meanings ascribed thereto in the Original Schedule 13D.</w:t>
      </w:r>
    </w:p>
    <w:p>
      <w:pPr>
        <w:spacing w:after="0" w:line="17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5 of the Schedule 13D is hereby amended and restated in its entirety as follows:</w:t>
      </w:r>
    </w:p>
    <w:p>
      <w:pPr>
        <w:spacing w:after="0" w:line="22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(a)– (b).</w:t>
        <w:tab/>
        <w:t>The following information with respect to the ownership of the Common Stock of the Issuer by the persons filing this statement on Schedule</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13D is provided as of February 12,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Shared</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Sole</w:t>
            </w: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Shared</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Held</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Sole Voting</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Dispositive</w:t>
            </w: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Dispositive</w:t>
            </w: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Beneficial</w:t>
            </w: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38"/>
        </w:trPr>
        <w:tc>
          <w:tcPr>
            <w:tcW w:w="1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Reporting Persons</w:t>
            </w:r>
          </w:p>
        </w:tc>
        <w:tc>
          <w:tcPr>
            <w:tcW w:w="8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Directly (1)</w:t>
            </w:r>
          </w:p>
        </w:tc>
        <w:tc>
          <w:tcPr>
            <w:tcW w:w="2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1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Power</w:t>
            </w:r>
          </w:p>
        </w:tc>
        <w:tc>
          <w:tcPr>
            <w:tcW w:w="2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Power</w:t>
            </w:r>
          </w:p>
        </w:tc>
        <w:tc>
          <w:tcPr>
            <w:tcW w:w="2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Power</w:t>
            </w:r>
          </w:p>
        </w:tc>
        <w:tc>
          <w:tcPr>
            <w:tcW w:w="2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2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of Class (3)</w:t>
            </w:r>
          </w:p>
        </w:tc>
        <w:tc>
          <w:tcPr>
            <w:tcW w:w="160" w:type="dxa"/>
            <w:vAlign w:val="bottom"/>
            <w:tcBorders>
              <w:bottom w:val="single" w:sz="8" w:color="CCEEFF"/>
            </w:tcBorders>
          </w:tcPr>
          <w:p>
            <w:pPr>
              <w:spacing w:after="0"/>
              <w:rPr>
                <w:sz w:val="20"/>
                <w:szCs w:val="20"/>
                <w:color w:val="auto"/>
              </w:rPr>
            </w:pPr>
          </w:p>
        </w:tc>
      </w:tr>
      <w:tr>
        <w:trPr>
          <w:trHeight w:val="210"/>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LV LP</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1,366,530</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1,366,530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1,366,530</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1,366,530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LV(A) LP</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186,315</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186,315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186,315</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186,315</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LSV Associates (2)</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1,552,845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1,552,845</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1,552,845</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LV II LP</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1,318,409</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1,318,409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1,318,409</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1,318,409</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LV II(A) LP</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78,326</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78,326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78,326</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78,326</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LSV Associates II (2)</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1,396,735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1,396,735</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1,396,735</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A. Carusi</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2,949,580</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2,949,580</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2,949,580</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 M. George</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2,949,580</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2,949,580</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2,949,580</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Henry A. Plain, Jr.</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2,949,580</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2,949,580</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2,949,580</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r>
    </w:tbl>
    <w:p>
      <w:pPr>
        <w:spacing w:after="0" w:line="198" w:lineRule="exact"/>
        <w:rPr>
          <w:sz w:val="20"/>
          <w:szCs w:val="20"/>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of Common Stock currently underlying all Securities held by the Reporting Persons.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LSV Associates serves as the general partner of each of LV LP and LV(A) LP. LSV Associates II serves as the general partner of each of LV II LP and LV II(A) LP. Messrs. Carusi and Plain, and Ms. George, the individual managing directors of each of LSV Associates and LSV Associates II, share voting and dispositive power with respect to the shares held of record by each of LV LP, LV(A) LP, LV II LP and LV II(A) LP, and may be deemed to own beneficially the shares held by each of LV LP, LV(A) LP, LV II LP and LV II(A) LP. Messrs. Carusi and Plain, and Ms. George own no securities of the Issuer directly as of the date of this filing.</w:t>
      </w:r>
    </w:p>
    <w:p>
      <w:pPr>
        <w:spacing w:after="0" w:line="18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49,818,812 shares of Common Stock outstanding as of November 6, 2023, as reported in the Issuer’s Quarterly Report on Form 10-Q filed with the SEC on November 13, 2023.</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in the Issuer’s Common Stock by the Reporting Persons since December 13, 2023 (the date as of which the information was presented in Amendment No. 1) are set forth on Schedule A and are incorporated herein by reference.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person is known to have the right to receive or the power to direct the receipt of dividends from, or any proceeds from the sale of, the shares of Common Stock beneficially owned by any of the Reporting Persons.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7.</w:t>
        <w:tab/>
        <w:t>Material to be Filed as Exhibits</w:t>
      </w:r>
    </w:p>
    <w:p>
      <w:pPr>
        <w:spacing w:after="0" w:line="229" w:lineRule="exact"/>
        <w:rPr>
          <w:sz w:val="20"/>
          <w:szCs w:val="20"/>
          <w:color w:val="auto"/>
        </w:rPr>
      </w:pPr>
    </w:p>
    <w:p>
      <w:pPr>
        <w:ind w:left="780" w:hanging="772"/>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 as required by Rule 13d-1(k)(1)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80"/>
        <w:spacing w:after="0" w:line="498"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 Dated: February 14,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Lightstone Ventures, L.P.</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Lightstone Ventures II, L.P.</w:t>
            </w:r>
          </w:p>
        </w:tc>
      </w:tr>
      <w:tr>
        <w:trPr>
          <w:trHeight w:val="41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LSV Associates, LLC</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LSV Associates II, LLC</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r>
      <w:tr>
        <w:trPr>
          <w:trHeight w:val="228"/>
        </w:trPr>
        <w:tc>
          <w:tcPr>
            <w:tcW w:w="460" w:type="dxa"/>
            <w:vAlign w:val="bottom"/>
          </w:tcPr>
          <w:p>
            <w:pPr>
              <w:spacing w:after="0"/>
              <w:rPr>
                <w:sz w:val="19"/>
                <w:szCs w:val="19"/>
                <w:color w:val="auto"/>
              </w:rPr>
            </w:pPr>
          </w:p>
        </w:tc>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Travis Boettner, Attorney-in-Fact</w:t>
            </w:r>
          </w:p>
        </w:tc>
        <w:tc>
          <w:tcPr>
            <w:tcW w:w="680" w:type="dxa"/>
            <w:vAlign w:val="bottom"/>
          </w:tcPr>
          <w:p>
            <w:pPr>
              <w:spacing w:after="0"/>
              <w:rPr>
                <w:sz w:val="19"/>
                <w:szCs w:val="19"/>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Travis Boettner, Attorney-in-Fact</w:t>
            </w:r>
          </w:p>
        </w:tc>
      </w:tr>
      <w:tr>
        <w:trPr>
          <w:trHeight w:val="41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Lightstone Ventures (A), L.P.</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Lightstone Ventures II (A), L.P.</w:t>
            </w:r>
          </w:p>
        </w:tc>
      </w:tr>
      <w:tr>
        <w:trPr>
          <w:trHeight w:val="41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LSV Associates, LLC</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LSV Associates II, LLC</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r>
      <w:tr>
        <w:trPr>
          <w:trHeight w:val="228"/>
        </w:trPr>
        <w:tc>
          <w:tcPr>
            <w:tcW w:w="460" w:type="dxa"/>
            <w:vAlign w:val="bottom"/>
          </w:tcPr>
          <w:p>
            <w:pPr>
              <w:spacing w:after="0"/>
              <w:rPr>
                <w:sz w:val="19"/>
                <w:szCs w:val="19"/>
                <w:color w:val="auto"/>
              </w:rPr>
            </w:pPr>
          </w:p>
        </w:tc>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Travis Boettner, Attorney-in-Fact</w:t>
            </w:r>
          </w:p>
        </w:tc>
        <w:tc>
          <w:tcPr>
            <w:tcW w:w="680" w:type="dxa"/>
            <w:vAlign w:val="bottom"/>
          </w:tcPr>
          <w:p>
            <w:pPr>
              <w:spacing w:after="0"/>
              <w:rPr>
                <w:sz w:val="19"/>
                <w:szCs w:val="19"/>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Travis Boettner, Attorney-in-Fact</w:t>
            </w:r>
          </w:p>
        </w:tc>
      </w:tr>
      <w:tr>
        <w:trPr>
          <w:trHeight w:val="41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LSV Associates, LLC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LSV Associates II, LLC</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r>
      <w:tr>
        <w:trPr>
          <w:trHeight w:val="228"/>
        </w:trPr>
        <w:tc>
          <w:tcPr>
            <w:tcW w:w="460" w:type="dxa"/>
            <w:vAlign w:val="bottom"/>
          </w:tcPr>
          <w:p>
            <w:pPr>
              <w:spacing w:after="0"/>
              <w:rPr>
                <w:sz w:val="19"/>
                <w:szCs w:val="19"/>
                <w:color w:val="auto"/>
              </w:rPr>
            </w:pPr>
          </w:p>
        </w:tc>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Travis Boettner, Attorney-in-Fact</w:t>
            </w:r>
          </w:p>
        </w:tc>
        <w:tc>
          <w:tcPr>
            <w:tcW w:w="680" w:type="dxa"/>
            <w:vAlign w:val="bottom"/>
          </w:tcPr>
          <w:p>
            <w:pPr>
              <w:spacing w:after="0"/>
              <w:rPr>
                <w:sz w:val="19"/>
                <w:szCs w:val="19"/>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Travis Boettner, Attorney-in-Fact</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058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Travis Boettner, Attorney-in-Fact for Michael A. Carusi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05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Travis Boettner, Attorney-in-Fact for Jean M. George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058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Travis Boettner, Attorney-in-Fact for Henry A. Plain, Jr.</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92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60" w:type="dxa"/>
            <w:vAlign w:val="bottom"/>
            <w:gridSpan w:val="9"/>
          </w:tcPr>
          <w:p>
            <w:pPr>
              <w:ind w:left="940"/>
              <w:spacing w:after="0"/>
              <w:rPr>
                <w:sz w:val="20"/>
                <w:szCs w:val="20"/>
                <w:color w:val="auto"/>
              </w:rPr>
            </w:pPr>
            <w:r>
              <w:rPr>
                <w:rFonts w:ascii="Times New Roman" w:cs="Times New Roman" w:eastAsia="Times New Roman" w:hAnsi="Times New Roman"/>
                <w:sz w:val="18"/>
                <w:szCs w:val="18"/>
                <w:b w:val="1"/>
                <w:bCs w:val="1"/>
                <w:color w:val="auto"/>
              </w:rPr>
              <w:t>Transactions in Common Stock Since December 13, 2023</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120" w:type="dxa"/>
            <w:vAlign w:val="bottom"/>
          </w:tcPr>
          <w:p>
            <w:pPr>
              <w:spacing w:after="0"/>
              <w:rPr>
                <w:sz w:val="24"/>
                <w:szCs w:val="24"/>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25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Date of Sale</w:t>
            </w:r>
          </w:p>
        </w:tc>
        <w:tc>
          <w:tcPr>
            <w:tcW w:w="226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Securities Sold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Low Price ($)</w:t>
            </w:r>
          </w:p>
        </w:tc>
        <w:tc>
          <w:tcPr>
            <w:tcW w:w="100" w:type="dxa"/>
            <w:vAlign w:val="bottom"/>
          </w:tcPr>
          <w:p>
            <w:pPr>
              <w:spacing w:after="0"/>
              <w:rPr>
                <w:sz w:val="20"/>
                <w:szCs w:val="20"/>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High Price ($)</w:t>
            </w:r>
          </w:p>
        </w:tc>
      </w:tr>
      <w:tr>
        <w:trPr>
          <w:trHeight w:val="209"/>
        </w:trPr>
        <w:tc>
          <w:tcPr>
            <w:tcW w:w="226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12/14/2023</w:t>
            </w:r>
          </w:p>
        </w:tc>
        <w:tc>
          <w:tcPr>
            <w:tcW w:w="2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LV LP</w:t>
            </w:r>
          </w:p>
        </w:tc>
        <w:tc>
          <w:tcPr>
            <w:tcW w:w="3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3"/>
              </w:rPr>
              <w:t>12.83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12/14/2023</w:t>
            </w:r>
          </w:p>
        </w:tc>
        <w:tc>
          <w:tcPr>
            <w:tcW w:w="2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LV(A) LP</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2,836</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12.83</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13.75</w:t>
            </w:r>
          </w:p>
        </w:tc>
      </w:tr>
      <w:tr>
        <w:trPr>
          <w:trHeight w:val="216"/>
        </w:trPr>
        <w:tc>
          <w:tcPr>
            <w:tcW w:w="22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12/14/2023</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LV II LP</w:t>
            </w:r>
          </w:p>
        </w:tc>
        <w:tc>
          <w:tcPr>
            <w:tcW w:w="1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20,069</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12.83</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13.75</w:t>
            </w:r>
          </w:p>
        </w:tc>
      </w:tr>
      <w:tr>
        <w:trPr>
          <w:trHeight w:val="216"/>
        </w:trPr>
        <w:tc>
          <w:tcPr>
            <w:tcW w:w="22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12/14/2023</w:t>
            </w:r>
          </w:p>
        </w:tc>
        <w:tc>
          <w:tcPr>
            <w:tcW w:w="2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LV II(A) LP</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1,193</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12.83</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13.75</w:t>
            </w:r>
          </w:p>
        </w:tc>
      </w:tr>
      <w:tr>
        <w:trPr>
          <w:trHeight w:val="216"/>
        </w:trPr>
        <w:tc>
          <w:tcPr>
            <w:tcW w:w="22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12/15/2023</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LV LP</w:t>
            </w:r>
          </w:p>
        </w:tc>
        <w:tc>
          <w:tcPr>
            <w:tcW w:w="1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214,091</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13.39</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14.16</w:t>
            </w:r>
          </w:p>
        </w:tc>
      </w:tr>
      <w:tr>
        <w:trPr>
          <w:trHeight w:val="216"/>
        </w:trPr>
        <w:tc>
          <w:tcPr>
            <w:tcW w:w="22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12/15/2023</w:t>
            </w:r>
          </w:p>
        </w:tc>
        <w:tc>
          <w:tcPr>
            <w:tcW w:w="2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LV(A) LP</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29,190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13.39</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14.16</w:t>
            </w:r>
          </w:p>
        </w:tc>
      </w:tr>
      <w:tr>
        <w:trPr>
          <w:trHeight w:val="216"/>
        </w:trPr>
        <w:tc>
          <w:tcPr>
            <w:tcW w:w="22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12/15/2023</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LV II LP</w:t>
            </w:r>
          </w:p>
        </w:tc>
        <w:tc>
          <w:tcPr>
            <w:tcW w:w="1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206,552</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13.39</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14.16</w:t>
            </w:r>
          </w:p>
        </w:tc>
      </w:tr>
      <w:tr>
        <w:trPr>
          <w:trHeight w:val="216"/>
        </w:trPr>
        <w:tc>
          <w:tcPr>
            <w:tcW w:w="22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12/15/2023</w:t>
            </w:r>
          </w:p>
        </w:tc>
        <w:tc>
          <w:tcPr>
            <w:tcW w:w="2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LV II(A) LP</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12,271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13.39</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14.16</w:t>
            </w:r>
          </w:p>
        </w:tc>
      </w:tr>
      <w:tr>
        <w:trPr>
          <w:trHeight w:val="216"/>
        </w:trPr>
        <w:tc>
          <w:tcPr>
            <w:tcW w:w="22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12/18/2023</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LV LP</w:t>
            </w:r>
          </w:p>
        </w:tc>
        <w:tc>
          <w:tcPr>
            <w:tcW w:w="1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83,539</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13.07</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13.74</w:t>
            </w:r>
          </w:p>
        </w:tc>
      </w:tr>
      <w:tr>
        <w:trPr>
          <w:trHeight w:val="216"/>
        </w:trPr>
        <w:tc>
          <w:tcPr>
            <w:tcW w:w="22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12/18/2023</w:t>
            </w:r>
          </w:p>
        </w:tc>
        <w:tc>
          <w:tcPr>
            <w:tcW w:w="2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LV(A) LP</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11,390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13.07</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13.74</w:t>
            </w:r>
          </w:p>
        </w:tc>
      </w:tr>
      <w:tr>
        <w:trPr>
          <w:trHeight w:val="216"/>
        </w:trPr>
        <w:tc>
          <w:tcPr>
            <w:tcW w:w="22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12/18/2023</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LV II LP</w:t>
            </w:r>
          </w:p>
        </w:tc>
        <w:tc>
          <w:tcPr>
            <w:tcW w:w="1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80,597</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13.07</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13.74</w:t>
            </w:r>
          </w:p>
        </w:tc>
      </w:tr>
      <w:tr>
        <w:trPr>
          <w:trHeight w:val="216"/>
        </w:trPr>
        <w:tc>
          <w:tcPr>
            <w:tcW w:w="22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12/18/2023</w:t>
            </w:r>
          </w:p>
        </w:tc>
        <w:tc>
          <w:tcPr>
            <w:tcW w:w="2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LV II(A) LP</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4,789</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13.07</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13.74</w:t>
            </w:r>
          </w:p>
        </w:tc>
      </w:tr>
      <w:tr>
        <w:trPr>
          <w:trHeight w:val="216"/>
        </w:trPr>
        <w:tc>
          <w:tcPr>
            <w:tcW w:w="22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12/19/2023</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LV LP</w:t>
            </w:r>
          </w:p>
        </w:tc>
        <w:tc>
          <w:tcPr>
            <w:tcW w:w="1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33,609</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13.67</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13.99</w:t>
            </w:r>
          </w:p>
        </w:tc>
      </w:tr>
      <w:tr>
        <w:trPr>
          <w:trHeight w:val="216"/>
        </w:trPr>
        <w:tc>
          <w:tcPr>
            <w:tcW w:w="22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12/19/2023</w:t>
            </w:r>
          </w:p>
        </w:tc>
        <w:tc>
          <w:tcPr>
            <w:tcW w:w="2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LV(A) LP</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4,582</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13.67</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13.99</w:t>
            </w:r>
          </w:p>
        </w:tc>
      </w:tr>
      <w:tr>
        <w:trPr>
          <w:trHeight w:val="216"/>
        </w:trPr>
        <w:tc>
          <w:tcPr>
            <w:tcW w:w="22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12/19/2023</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LV II LP</w:t>
            </w:r>
          </w:p>
        </w:tc>
        <w:tc>
          <w:tcPr>
            <w:tcW w:w="1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32,425</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13.67</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13.99</w:t>
            </w:r>
          </w:p>
        </w:tc>
      </w:tr>
      <w:tr>
        <w:trPr>
          <w:trHeight w:val="216"/>
        </w:trPr>
        <w:tc>
          <w:tcPr>
            <w:tcW w:w="22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12/19/2023</w:t>
            </w:r>
          </w:p>
        </w:tc>
        <w:tc>
          <w:tcPr>
            <w:tcW w:w="2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LV II(A) LP</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1,926</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13.67</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13.99</w:t>
            </w:r>
          </w:p>
        </w:tc>
      </w:tr>
      <w:tr>
        <w:trPr>
          <w:trHeight w:val="216"/>
        </w:trPr>
        <w:tc>
          <w:tcPr>
            <w:tcW w:w="22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12/20/2023</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LV LP</w:t>
            </w:r>
          </w:p>
        </w:tc>
        <w:tc>
          <w:tcPr>
            <w:tcW w:w="1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14,200</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13.15</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13.99</w:t>
            </w:r>
          </w:p>
        </w:tc>
      </w:tr>
      <w:tr>
        <w:trPr>
          <w:trHeight w:val="216"/>
        </w:trPr>
        <w:tc>
          <w:tcPr>
            <w:tcW w:w="22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12/20/2023</w:t>
            </w:r>
          </w:p>
        </w:tc>
        <w:tc>
          <w:tcPr>
            <w:tcW w:w="2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LV(A) LP</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1,936</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13.15</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13.99</w:t>
            </w:r>
          </w:p>
        </w:tc>
      </w:tr>
      <w:tr>
        <w:trPr>
          <w:trHeight w:val="216"/>
        </w:trPr>
        <w:tc>
          <w:tcPr>
            <w:tcW w:w="22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12/20/2023</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LV II LP</w:t>
            </w:r>
          </w:p>
        </w:tc>
        <w:tc>
          <w:tcPr>
            <w:tcW w:w="1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13,700</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13.15</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13.99</w:t>
            </w:r>
          </w:p>
        </w:tc>
      </w:tr>
      <w:tr>
        <w:trPr>
          <w:trHeight w:val="216"/>
        </w:trPr>
        <w:tc>
          <w:tcPr>
            <w:tcW w:w="22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12/20/2023</w:t>
            </w:r>
          </w:p>
        </w:tc>
        <w:tc>
          <w:tcPr>
            <w:tcW w:w="2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LV II(A) LP</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814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13.15</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13.99</w:t>
            </w:r>
          </w:p>
        </w:tc>
      </w:tr>
      <w:tr>
        <w:trPr>
          <w:trHeight w:val="216"/>
        </w:trPr>
        <w:tc>
          <w:tcPr>
            <w:tcW w:w="22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12/21/2023</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LV LP</w:t>
            </w:r>
          </w:p>
        </w:tc>
        <w:tc>
          <w:tcPr>
            <w:tcW w:w="1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10,768</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12.95</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13.77</w:t>
            </w:r>
          </w:p>
        </w:tc>
      </w:tr>
      <w:tr>
        <w:trPr>
          <w:trHeight w:val="216"/>
        </w:trPr>
        <w:tc>
          <w:tcPr>
            <w:tcW w:w="22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12/21/2023</w:t>
            </w:r>
          </w:p>
        </w:tc>
        <w:tc>
          <w:tcPr>
            <w:tcW w:w="2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LV(A) LP</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1,468</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12.95</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13.77</w:t>
            </w:r>
          </w:p>
        </w:tc>
      </w:tr>
      <w:tr>
        <w:trPr>
          <w:trHeight w:val="216"/>
        </w:trPr>
        <w:tc>
          <w:tcPr>
            <w:tcW w:w="22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12/21/2023</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LV II LP</w:t>
            </w:r>
          </w:p>
        </w:tc>
        <w:tc>
          <w:tcPr>
            <w:tcW w:w="1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10,389</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12.95</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13.77</w:t>
            </w:r>
          </w:p>
        </w:tc>
      </w:tr>
      <w:tr>
        <w:trPr>
          <w:trHeight w:val="216"/>
        </w:trPr>
        <w:tc>
          <w:tcPr>
            <w:tcW w:w="22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12/21/2023</w:t>
            </w:r>
          </w:p>
        </w:tc>
        <w:tc>
          <w:tcPr>
            <w:tcW w:w="2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LV II(A) LP</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617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12.95</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13.77</w:t>
            </w:r>
          </w:p>
        </w:tc>
      </w:tr>
      <w:tr>
        <w:trPr>
          <w:trHeight w:val="216"/>
        </w:trPr>
        <w:tc>
          <w:tcPr>
            <w:tcW w:w="22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12/22/2023</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LV LP</w:t>
            </w:r>
          </w:p>
        </w:tc>
        <w:tc>
          <w:tcPr>
            <w:tcW w:w="1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45,348</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15.39</w:t>
            </w:r>
          </w:p>
        </w:tc>
      </w:tr>
      <w:tr>
        <w:trPr>
          <w:trHeight w:val="216"/>
        </w:trPr>
        <w:tc>
          <w:tcPr>
            <w:tcW w:w="22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12/22/2023</w:t>
            </w:r>
          </w:p>
        </w:tc>
        <w:tc>
          <w:tcPr>
            <w:tcW w:w="2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LV(A) LP</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6,183</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15.39</w:t>
            </w:r>
          </w:p>
        </w:tc>
      </w:tr>
      <w:tr>
        <w:trPr>
          <w:trHeight w:val="216"/>
        </w:trPr>
        <w:tc>
          <w:tcPr>
            <w:tcW w:w="22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12/22/2023</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LV II LP</w:t>
            </w:r>
          </w:p>
        </w:tc>
        <w:tc>
          <w:tcPr>
            <w:tcW w:w="1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43,751</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15.39</w:t>
            </w:r>
          </w:p>
        </w:tc>
      </w:tr>
      <w:tr>
        <w:trPr>
          <w:trHeight w:val="216"/>
        </w:trPr>
        <w:tc>
          <w:tcPr>
            <w:tcW w:w="22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12/22/2023</w:t>
            </w:r>
          </w:p>
        </w:tc>
        <w:tc>
          <w:tcPr>
            <w:tcW w:w="2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LV II(A) LP</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2,600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15.39</w:t>
            </w:r>
          </w:p>
        </w:tc>
      </w:tr>
      <w:tr>
        <w:trPr>
          <w:trHeight w:val="216"/>
        </w:trPr>
        <w:tc>
          <w:tcPr>
            <w:tcW w:w="22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12/26/2023</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LV LP</w:t>
            </w:r>
          </w:p>
        </w:tc>
        <w:tc>
          <w:tcPr>
            <w:tcW w:w="1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21,669</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15.44</w:t>
            </w:r>
          </w:p>
        </w:tc>
      </w:tr>
      <w:tr>
        <w:trPr>
          <w:trHeight w:val="216"/>
        </w:trPr>
        <w:tc>
          <w:tcPr>
            <w:tcW w:w="22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12/26/2023</w:t>
            </w:r>
          </w:p>
        </w:tc>
        <w:tc>
          <w:tcPr>
            <w:tcW w:w="2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LV(A) LP</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2,954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15.44</w:t>
            </w:r>
          </w:p>
        </w:tc>
      </w:tr>
      <w:tr>
        <w:trPr>
          <w:trHeight w:val="216"/>
        </w:trPr>
        <w:tc>
          <w:tcPr>
            <w:tcW w:w="22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12/26/2023</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LV II LP</w:t>
            </w:r>
          </w:p>
        </w:tc>
        <w:tc>
          <w:tcPr>
            <w:tcW w:w="1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20,906</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15.44</w:t>
            </w:r>
          </w:p>
        </w:tc>
      </w:tr>
      <w:tr>
        <w:trPr>
          <w:trHeight w:val="216"/>
        </w:trPr>
        <w:tc>
          <w:tcPr>
            <w:tcW w:w="22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12/26/2023</w:t>
            </w:r>
          </w:p>
        </w:tc>
        <w:tc>
          <w:tcPr>
            <w:tcW w:w="2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LV II(A) LP</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1,242</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15.44</w:t>
            </w:r>
          </w:p>
        </w:tc>
      </w:tr>
      <w:tr>
        <w:trPr>
          <w:trHeight w:val="216"/>
        </w:trPr>
        <w:tc>
          <w:tcPr>
            <w:tcW w:w="22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12/27/2023</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LV LP</w:t>
            </w:r>
          </w:p>
        </w:tc>
        <w:tc>
          <w:tcPr>
            <w:tcW w:w="1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16,353</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15.25</w:t>
            </w:r>
          </w:p>
        </w:tc>
      </w:tr>
      <w:tr>
        <w:trPr>
          <w:trHeight w:val="216"/>
        </w:trPr>
        <w:tc>
          <w:tcPr>
            <w:tcW w:w="22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12/27/2023</w:t>
            </w:r>
          </w:p>
        </w:tc>
        <w:tc>
          <w:tcPr>
            <w:tcW w:w="2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LV(A) LP</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2,230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15.25</w:t>
            </w:r>
          </w:p>
        </w:tc>
      </w:tr>
      <w:tr>
        <w:trPr>
          <w:trHeight w:val="216"/>
        </w:trPr>
        <w:tc>
          <w:tcPr>
            <w:tcW w:w="22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12/27/2023</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LV II LP</w:t>
            </w:r>
          </w:p>
        </w:tc>
        <w:tc>
          <w:tcPr>
            <w:tcW w:w="1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15,777</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15.25</w:t>
            </w:r>
          </w:p>
        </w:tc>
      </w:tr>
      <w:tr>
        <w:trPr>
          <w:trHeight w:val="216"/>
        </w:trPr>
        <w:tc>
          <w:tcPr>
            <w:tcW w:w="22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12/27/2023</w:t>
            </w:r>
          </w:p>
        </w:tc>
        <w:tc>
          <w:tcPr>
            <w:tcW w:w="2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LV II(A) LP</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936</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15.25</w:t>
            </w:r>
          </w:p>
        </w:tc>
      </w:tr>
      <w:tr>
        <w:trPr>
          <w:trHeight w:val="216"/>
        </w:trPr>
        <w:tc>
          <w:tcPr>
            <w:tcW w:w="22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12/28/2023</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LV LP</w:t>
            </w:r>
          </w:p>
        </w:tc>
        <w:tc>
          <w:tcPr>
            <w:tcW w:w="1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24,027</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15.84</w:t>
            </w:r>
          </w:p>
        </w:tc>
      </w:tr>
      <w:tr>
        <w:trPr>
          <w:trHeight w:val="702"/>
        </w:trPr>
        <w:tc>
          <w:tcPr>
            <w:tcW w:w="2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97"/>
              </w:rPr>
              <w:t>12/28/2023</w:t>
            </w:r>
          </w:p>
        </w:tc>
        <w:tc>
          <w:tcPr>
            <w:tcW w:w="3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LV(A) LP</w:t>
            </w:r>
          </w:p>
        </w:tc>
        <w:tc>
          <w:tcPr>
            <w:tcW w:w="1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3,276</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15.42</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15.84</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7"/>
              </w:rPr>
              <w:t>12/28/2023</w:t>
            </w:r>
          </w:p>
        </w:tc>
        <w:tc>
          <w:tcPr>
            <w:tcW w:w="30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LV II LP</w:t>
            </w: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23,180</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15.42</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15.84</w:t>
            </w:r>
          </w:p>
        </w:tc>
      </w:tr>
      <w:tr>
        <w:trPr>
          <w:trHeight w:val="216"/>
        </w:trPr>
        <w:tc>
          <w:tcPr>
            <w:tcW w:w="16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97"/>
              </w:rPr>
              <w:t>12/28/2023</w:t>
            </w:r>
          </w:p>
        </w:tc>
        <w:tc>
          <w:tcPr>
            <w:tcW w:w="3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LV II(A) LP</w:t>
            </w:r>
          </w:p>
        </w:tc>
        <w:tc>
          <w:tcPr>
            <w:tcW w:w="1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1,377</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15.42</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15.84</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7"/>
              </w:rPr>
              <w:t>12/29/2023</w:t>
            </w:r>
          </w:p>
        </w:tc>
        <w:tc>
          <w:tcPr>
            <w:tcW w:w="30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LV LP</w:t>
            </w: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4,651</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15.06</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15.24</w:t>
            </w:r>
          </w:p>
        </w:tc>
      </w:tr>
      <w:tr>
        <w:trPr>
          <w:trHeight w:val="216"/>
        </w:trPr>
        <w:tc>
          <w:tcPr>
            <w:tcW w:w="16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97"/>
              </w:rPr>
              <w:t>12/29/2023</w:t>
            </w:r>
          </w:p>
        </w:tc>
        <w:tc>
          <w:tcPr>
            <w:tcW w:w="3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LV(A) LP</w:t>
            </w:r>
          </w:p>
        </w:tc>
        <w:tc>
          <w:tcPr>
            <w:tcW w:w="1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634</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15.06</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15.24</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7"/>
              </w:rPr>
              <w:t>12/29/2023</w:t>
            </w:r>
          </w:p>
        </w:tc>
        <w:tc>
          <w:tcPr>
            <w:tcW w:w="30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LV II LP</w:t>
            </w: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4,488</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15.06</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15.24</w:t>
            </w:r>
          </w:p>
        </w:tc>
      </w:tr>
      <w:tr>
        <w:trPr>
          <w:trHeight w:val="216"/>
        </w:trPr>
        <w:tc>
          <w:tcPr>
            <w:tcW w:w="16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97"/>
              </w:rPr>
              <w:t>12/29/2023</w:t>
            </w:r>
          </w:p>
        </w:tc>
        <w:tc>
          <w:tcPr>
            <w:tcW w:w="3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LV II(A) LP</w:t>
            </w:r>
          </w:p>
        </w:tc>
        <w:tc>
          <w:tcPr>
            <w:tcW w:w="1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15.06</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15.24</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7"/>
              </w:rPr>
              <w:t>01/02/2024</w:t>
            </w:r>
          </w:p>
        </w:tc>
        <w:tc>
          <w:tcPr>
            <w:tcW w:w="30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LV LP</w:t>
            </w: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4,142</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15.10</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15.28</w:t>
            </w:r>
          </w:p>
        </w:tc>
      </w:tr>
      <w:tr>
        <w:trPr>
          <w:trHeight w:val="216"/>
        </w:trPr>
        <w:tc>
          <w:tcPr>
            <w:tcW w:w="16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97"/>
              </w:rPr>
              <w:t>01/02/2024</w:t>
            </w:r>
          </w:p>
        </w:tc>
        <w:tc>
          <w:tcPr>
            <w:tcW w:w="3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LV(A) LP</w:t>
            </w:r>
          </w:p>
        </w:tc>
        <w:tc>
          <w:tcPr>
            <w:tcW w:w="1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565</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15.10</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15.28</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7"/>
              </w:rPr>
              <w:t>01/02/2024</w:t>
            </w:r>
          </w:p>
        </w:tc>
        <w:tc>
          <w:tcPr>
            <w:tcW w:w="30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LV II LP</w:t>
            </w: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3,996</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15.10</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15.28</w:t>
            </w:r>
          </w:p>
        </w:tc>
      </w:tr>
      <w:tr>
        <w:trPr>
          <w:trHeight w:val="216"/>
        </w:trPr>
        <w:tc>
          <w:tcPr>
            <w:tcW w:w="16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97"/>
              </w:rPr>
              <w:t>01/02/2024</w:t>
            </w:r>
          </w:p>
        </w:tc>
        <w:tc>
          <w:tcPr>
            <w:tcW w:w="3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LV II(A) LP</w:t>
            </w:r>
          </w:p>
        </w:tc>
        <w:tc>
          <w:tcPr>
            <w:tcW w:w="1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15.10</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15.28</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7"/>
              </w:rPr>
              <w:t>01/25/2024</w:t>
            </w:r>
          </w:p>
        </w:tc>
        <w:tc>
          <w:tcPr>
            <w:tcW w:w="30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LV LP</w:t>
            </w: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15.02</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15.05</w:t>
            </w:r>
          </w:p>
        </w:tc>
      </w:tr>
      <w:tr>
        <w:trPr>
          <w:trHeight w:val="216"/>
        </w:trPr>
        <w:tc>
          <w:tcPr>
            <w:tcW w:w="16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97"/>
              </w:rPr>
              <w:t>01/25/2024</w:t>
            </w:r>
          </w:p>
        </w:tc>
        <w:tc>
          <w:tcPr>
            <w:tcW w:w="3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LV(A) LP</w:t>
            </w:r>
          </w:p>
        </w:tc>
        <w:tc>
          <w:tcPr>
            <w:tcW w:w="1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15.02</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15.05</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7"/>
              </w:rPr>
              <w:t>01/25/2024</w:t>
            </w:r>
          </w:p>
        </w:tc>
        <w:tc>
          <w:tcPr>
            <w:tcW w:w="30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LV II LP</w:t>
            </w: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15.02</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15.05</w:t>
            </w:r>
          </w:p>
        </w:tc>
      </w:tr>
      <w:tr>
        <w:trPr>
          <w:trHeight w:val="216"/>
        </w:trPr>
        <w:tc>
          <w:tcPr>
            <w:tcW w:w="16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97"/>
              </w:rPr>
              <w:t>01/25/2024</w:t>
            </w:r>
          </w:p>
        </w:tc>
        <w:tc>
          <w:tcPr>
            <w:tcW w:w="3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LV II(A) LP</w:t>
            </w:r>
          </w:p>
        </w:tc>
        <w:tc>
          <w:tcPr>
            <w:tcW w:w="1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15.02</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15.05</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7"/>
              </w:rPr>
              <w:t>01/29/2024</w:t>
            </w:r>
          </w:p>
        </w:tc>
        <w:tc>
          <w:tcPr>
            <w:tcW w:w="30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LV LP</w:t>
            </w: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2,866</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15.09</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15.16</w:t>
            </w:r>
          </w:p>
        </w:tc>
      </w:tr>
      <w:tr>
        <w:trPr>
          <w:trHeight w:val="216"/>
        </w:trPr>
        <w:tc>
          <w:tcPr>
            <w:tcW w:w="16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97"/>
              </w:rPr>
              <w:t>01/29/2024</w:t>
            </w:r>
          </w:p>
        </w:tc>
        <w:tc>
          <w:tcPr>
            <w:tcW w:w="3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LV(A) LP</w:t>
            </w:r>
          </w:p>
        </w:tc>
        <w:tc>
          <w:tcPr>
            <w:tcW w:w="1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391</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15.09</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15.16</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7"/>
              </w:rPr>
              <w:t>01/29/2024</w:t>
            </w:r>
          </w:p>
        </w:tc>
        <w:tc>
          <w:tcPr>
            <w:tcW w:w="30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LV II LP</w:t>
            </w: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2,765</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15.09</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15.16</w:t>
            </w:r>
          </w:p>
        </w:tc>
      </w:tr>
      <w:tr>
        <w:trPr>
          <w:trHeight w:val="216"/>
        </w:trPr>
        <w:tc>
          <w:tcPr>
            <w:tcW w:w="16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97"/>
              </w:rPr>
              <w:t>01/29/2024</w:t>
            </w:r>
          </w:p>
        </w:tc>
        <w:tc>
          <w:tcPr>
            <w:tcW w:w="3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LV II(A) LP</w:t>
            </w:r>
          </w:p>
        </w:tc>
        <w:tc>
          <w:tcPr>
            <w:tcW w:w="1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15.09</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15.16</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7"/>
              </w:rPr>
              <w:t>02/01/2024</w:t>
            </w:r>
          </w:p>
        </w:tc>
        <w:tc>
          <w:tcPr>
            <w:tcW w:w="30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LV LP</w:t>
            </w: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10,793</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15.06</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15.16</w:t>
            </w:r>
          </w:p>
        </w:tc>
      </w:tr>
      <w:tr>
        <w:trPr>
          <w:trHeight w:val="216"/>
        </w:trPr>
        <w:tc>
          <w:tcPr>
            <w:tcW w:w="16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97"/>
              </w:rPr>
              <w:t>02/01/2024</w:t>
            </w:r>
          </w:p>
        </w:tc>
        <w:tc>
          <w:tcPr>
            <w:tcW w:w="3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LV(A) LP</w:t>
            </w:r>
          </w:p>
        </w:tc>
        <w:tc>
          <w:tcPr>
            <w:tcW w:w="1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1,472</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15.06</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15.16</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7"/>
              </w:rPr>
              <w:t>02/01/2024</w:t>
            </w:r>
          </w:p>
        </w:tc>
        <w:tc>
          <w:tcPr>
            <w:tcW w:w="30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LV II LP</w:t>
            </w: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10,413</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15.06</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15.16</w:t>
            </w:r>
          </w:p>
        </w:tc>
      </w:tr>
      <w:tr>
        <w:trPr>
          <w:trHeight w:val="216"/>
        </w:trPr>
        <w:tc>
          <w:tcPr>
            <w:tcW w:w="16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97"/>
              </w:rPr>
              <w:t>02/01/2024</w:t>
            </w:r>
          </w:p>
        </w:tc>
        <w:tc>
          <w:tcPr>
            <w:tcW w:w="3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LV II(A) LP</w:t>
            </w:r>
          </w:p>
        </w:tc>
        <w:tc>
          <w:tcPr>
            <w:tcW w:w="1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619</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15.06</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15.16</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7"/>
              </w:rPr>
              <w:t>02/05/2024</w:t>
            </w:r>
          </w:p>
        </w:tc>
        <w:tc>
          <w:tcPr>
            <w:tcW w:w="30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LV LP</w:t>
            </w: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53,051</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15.59</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15.03</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15.78</w:t>
            </w:r>
          </w:p>
        </w:tc>
      </w:tr>
      <w:tr>
        <w:trPr>
          <w:trHeight w:val="216"/>
        </w:trPr>
        <w:tc>
          <w:tcPr>
            <w:tcW w:w="16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97"/>
              </w:rPr>
              <w:t>02/05/2024</w:t>
            </w:r>
          </w:p>
        </w:tc>
        <w:tc>
          <w:tcPr>
            <w:tcW w:w="3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LV(A) LP</w:t>
            </w:r>
          </w:p>
        </w:tc>
        <w:tc>
          <w:tcPr>
            <w:tcW w:w="1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7,233</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15.59</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15.03</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15.78</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7"/>
              </w:rPr>
              <w:t>02/05/2024</w:t>
            </w:r>
          </w:p>
        </w:tc>
        <w:tc>
          <w:tcPr>
            <w:tcW w:w="30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LV II LP</w:t>
            </w: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51,183</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15.59</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15.03</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15.78</w:t>
            </w:r>
          </w:p>
        </w:tc>
      </w:tr>
      <w:tr>
        <w:trPr>
          <w:trHeight w:val="216"/>
        </w:trPr>
        <w:tc>
          <w:tcPr>
            <w:tcW w:w="16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97"/>
              </w:rPr>
              <w:t>02/05/2024</w:t>
            </w:r>
          </w:p>
        </w:tc>
        <w:tc>
          <w:tcPr>
            <w:tcW w:w="3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LV II(A) LP</w:t>
            </w:r>
          </w:p>
        </w:tc>
        <w:tc>
          <w:tcPr>
            <w:tcW w:w="1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3,041</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15.59</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15.03</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15.78</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7"/>
              </w:rPr>
              <w:t>02/06/2024</w:t>
            </w:r>
          </w:p>
        </w:tc>
        <w:tc>
          <w:tcPr>
            <w:tcW w:w="30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LV LP</w:t>
            </w: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16,811</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15.54</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15.07</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15.95</w:t>
            </w:r>
          </w:p>
        </w:tc>
      </w:tr>
      <w:tr>
        <w:trPr>
          <w:trHeight w:val="216"/>
        </w:trPr>
        <w:tc>
          <w:tcPr>
            <w:tcW w:w="16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97"/>
              </w:rPr>
              <w:t>02/06/2024</w:t>
            </w:r>
          </w:p>
        </w:tc>
        <w:tc>
          <w:tcPr>
            <w:tcW w:w="3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LV(A) LP</w:t>
            </w:r>
          </w:p>
        </w:tc>
        <w:tc>
          <w:tcPr>
            <w:tcW w:w="1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2,292</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15.54</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15.07</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15.95</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7"/>
              </w:rPr>
              <w:t>02/06/2024</w:t>
            </w:r>
          </w:p>
        </w:tc>
        <w:tc>
          <w:tcPr>
            <w:tcW w:w="30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LV II LP</w:t>
            </w: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16,219</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15.54</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15.07</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15.95</w:t>
            </w:r>
          </w:p>
        </w:tc>
      </w:tr>
      <w:tr>
        <w:trPr>
          <w:trHeight w:val="216"/>
        </w:trPr>
        <w:tc>
          <w:tcPr>
            <w:tcW w:w="16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97"/>
              </w:rPr>
              <w:t>02/06/2024</w:t>
            </w:r>
          </w:p>
        </w:tc>
        <w:tc>
          <w:tcPr>
            <w:tcW w:w="3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LV II(A) LP</w:t>
            </w:r>
          </w:p>
        </w:tc>
        <w:tc>
          <w:tcPr>
            <w:tcW w:w="1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963</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15.54</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15.07</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15.95</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7"/>
              </w:rPr>
              <w:t>02/07/2024</w:t>
            </w:r>
          </w:p>
        </w:tc>
        <w:tc>
          <w:tcPr>
            <w:tcW w:w="30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LV LP</w:t>
            </w: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4,822</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15.05</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15.67</w:t>
            </w:r>
          </w:p>
        </w:tc>
      </w:tr>
      <w:tr>
        <w:trPr>
          <w:trHeight w:val="216"/>
        </w:trPr>
        <w:tc>
          <w:tcPr>
            <w:tcW w:w="16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97"/>
              </w:rPr>
              <w:t>02/07/2024</w:t>
            </w:r>
          </w:p>
        </w:tc>
        <w:tc>
          <w:tcPr>
            <w:tcW w:w="3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LV(A) LP</w:t>
            </w:r>
          </w:p>
        </w:tc>
        <w:tc>
          <w:tcPr>
            <w:tcW w:w="1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657</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15.05</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15.67</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7"/>
              </w:rPr>
              <w:t>02/07/2024</w:t>
            </w:r>
          </w:p>
        </w:tc>
        <w:tc>
          <w:tcPr>
            <w:tcW w:w="30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LV II LP</w:t>
            </w: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4,652</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15.05</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15.67</w:t>
            </w:r>
          </w:p>
        </w:tc>
      </w:tr>
      <w:tr>
        <w:trPr>
          <w:trHeight w:val="216"/>
        </w:trPr>
        <w:tc>
          <w:tcPr>
            <w:tcW w:w="16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97"/>
              </w:rPr>
              <w:t>02/07/2024</w:t>
            </w:r>
          </w:p>
        </w:tc>
        <w:tc>
          <w:tcPr>
            <w:tcW w:w="3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LV II(A) LP</w:t>
            </w:r>
          </w:p>
        </w:tc>
        <w:tc>
          <w:tcPr>
            <w:tcW w:w="1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15.05</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15.67</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7"/>
              </w:rPr>
              <w:t>02/08/2024</w:t>
            </w:r>
          </w:p>
        </w:tc>
        <w:tc>
          <w:tcPr>
            <w:tcW w:w="30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LV LP</w:t>
            </w: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15.03</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15.06</w:t>
            </w:r>
          </w:p>
        </w:tc>
      </w:tr>
      <w:tr>
        <w:trPr>
          <w:trHeight w:val="216"/>
        </w:trPr>
        <w:tc>
          <w:tcPr>
            <w:tcW w:w="16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97"/>
              </w:rPr>
              <w:t>02/08/2024</w:t>
            </w:r>
          </w:p>
        </w:tc>
        <w:tc>
          <w:tcPr>
            <w:tcW w:w="3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LV(A) LP</w:t>
            </w:r>
          </w:p>
        </w:tc>
        <w:tc>
          <w:tcPr>
            <w:tcW w:w="1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15.03</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15.06</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7"/>
              </w:rPr>
              <w:t>02/08/2024</w:t>
            </w:r>
          </w:p>
        </w:tc>
        <w:tc>
          <w:tcPr>
            <w:tcW w:w="30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LV II LP</w:t>
            </w: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15.03</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15.06</w:t>
            </w:r>
          </w:p>
        </w:tc>
      </w:tr>
      <w:tr>
        <w:trPr>
          <w:trHeight w:val="216"/>
        </w:trPr>
        <w:tc>
          <w:tcPr>
            <w:tcW w:w="16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97"/>
              </w:rPr>
              <w:t>02/08/2024</w:t>
            </w:r>
          </w:p>
        </w:tc>
        <w:tc>
          <w:tcPr>
            <w:tcW w:w="3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LV II(A) LP</w:t>
            </w:r>
          </w:p>
        </w:tc>
        <w:tc>
          <w:tcPr>
            <w:tcW w:w="1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15.03</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15.06</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7"/>
              </w:rPr>
              <w:t>02/12/2024</w:t>
            </w:r>
          </w:p>
        </w:tc>
        <w:tc>
          <w:tcPr>
            <w:tcW w:w="30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LV LP</w:t>
            </w: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1,561</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16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97"/>
              </w:rPr>
              <w:t>02/12/2024</w:t>
            </w:r>
          </w:p>
        </w:tc>
        <w:tc>
          <w:tcPr>
            <w:tcW w:w="3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LV(A) LP</w:t>
            </w:r>
          </w:p>
        </w:tc>
        <w:tc>
          <w:tcPr>
            <w:tcW w:w="1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7"/>
              </w:rPr>
              <w:t>02/12/2024</w:t>
            </w:r>
          </w:p>
        </w:tc>
        <w:tc>
          <w:tcPr>
            <w:tcW w:w="30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LV II LP</w:t>
            </w: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1,506</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16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97"/>
              </w:rPr>
              <w:t>02/12/2024</w:t>
            </w:r>
          </w:p>
        </w:tc>
        <w:tc>
          <w:tcPr>
            <w:tcW w:w="3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LV II(A) LP</w:t>
            </w:r>
          </w:p>
        </w:tc>
        <w:tc>
          <w:tcPr>
            <w:tcW w:w="1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r>
      <w:tr>
        <w:trPr>
          <w:trHeight w:val="675"/>
        </w:trPr>
        <w:tc>
          <w:tcPr>
            <w:tcW w:w="16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5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t>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hereby agree that a single Schedule 13D (or any amendment thereto) relating to the Common Stock of ALX Oncology Holdings Inc. shall be filed on behalf of each of the undersigned and that this Agreement shall be filed as an exhibit to such Schedule 13D.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Lightstone Ventures, L.P.</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Lightstone Ventures II, L.P.</w:t>
            </w:r>
          </w:p>
        </w:tc>
      </w:tr>
      <w:tr>
        <w:trPr>
          <w:trHeight w:val="41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LSV Associates, LLC</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LSV Associates II, LLC</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r>
      <w:tr>
        <w:trPr>
          <w:trHeight w:val="228"/>
        </w:trPr>
        <w:tc>
          <w:tcPr>
            <w:tcW w:w="460" w:type="dxa"/>
            <w:vAlign w:val="bottom"/>
          </w:tcPr>
          <w:p>
            <w:pPr>
              <w:spacing w:after="0"/>
              <w:rPr>
                <w:sz w:val="19"/>
                <w:szCs w:val="19"/>
                <w:color w:val="auto"/>
              </w:rPr>
            </w:pPr>
          </w:p>
        </w:tc>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Travis Boettner, Attorney-in-Fact</w:t>
            </w:r>
          </w:p>
        </w:tc>
        <w:tc>
          <w:tcPr>
            <w:tcW w:w="680" w:type="dxa"/>
            <w:vAlign w:val="bottom"/>
          </w:tcPr>
          <w:p>
            <w:pPr>
              <w:spacing w:after="0"/>
              <w:rPr>
                <w:sz w:val="19"/>
                <w:szCs w:val="19"/>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Travis Boettner, Attorney-in-Fact</w:t>
            </w:r>
          </w:p>
        </w:tc>
      </w:tr>
      <w:tr>
        <w:trPr>
          <w:trHeight w:val="41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Lightstone Ventures (A), L.P.</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Lightstone Ventures II (A), L.P.</w:t>
            </w:r>
          </w:p>
        </w:tc>
      </w:tr>
      <w:tr>
        <w:trPr>
          <w:trHeight w:val="41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LSV Associates, LLC</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LSV Associates II, LLC</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r>
      <w:tr>
        <w:trPr>
          <w:trHeight w:val="228"/>
        </w:trPr>
        <w:tc>
          <w:tcPr>
            <w:tcW w:w="460" w:type="dxa"/>
            <w:vAlign w:val="bottom"/>
          </w:tcPr>
          <w:p>
            <w:pPr>
              <w:spacing w:after="0"/>
              <w:rPr>
                <w:sz w:val="19"/>
                <w:szCs w:val="19"/>
                <w:color w:val="auto"/>
              </w:rPr>
            </w:pPr>
          </w:p>
        </w:tc>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Travis Boettner, Attorney-in-Fact</w:t>
            </w:r>
          </w:p>
        </w:tc>
        <w:tc>
          <w:tcPr>
            <w:tcW w:w="680" w:type="dxa"/>
            <w:vAlign w:val="bottom"/>
          </w:tcPr>
          <w:p>
            <w:pPr>
              <w:spacing w:after="0"/>
              <w:rPr>
                <w:sz w:val="19"/>
                <w:szCs w:val="19"/>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Travis Boettner, Attorney-in-Fact</w:t>
            </w:r>
          </w:p>
        </w:tc>
      </w:tr>
      <w:tr>
        <w:trPr>
          <w:trHeight w:val="41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LSV Associates, LLC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LSV Associates II, LLC</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r>
      <w:tr>
        <w:trPr>
          <w:trHeight w:val="228"/>
        </w:trPr>
        <w:tc>
          <w:tcPr>
            <w:tcW w:w="460" w:type="dxa"/>
            <w:vAlign w:val="bottom"/>
          </w:tcPr>
          <w:p>
            <w:pPr>
              <w:spacing w:after="0"/>
              <w:rPr>
                <w:sz w:val="19"/>
                <w:szCs w:val="19"/>
                <w:color w:val="auto"/>
              </w:rPr>
            </w:pPr>
          </w:p>
        </w:tc>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Travis Boettner, Attorney-in-Fact</w:t>
            </w:r>
          </w:p>
        </w:tc>
        <w:tc>
          <w:tcPr>
            <w:tcW w:w="680" w:type="dxa"/>
            <w:vAlign w:val="bottom"/>
          </w:tcPr>
          <w:p>
            <w:pPr>
              <w:spacing w:after="0"/>
              <w:rPr>
                <w:sz w:val="19"/>
                <w:szCs w:val="19"/>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Travis Boettner, Attorney-in-Fact</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05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Travis Boettner, Attorney-in-Fact for Michael A. Carusi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05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Travis Boettner, Attorney-in-Fact for Jean M. George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058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Travis Boettner, Attorney-in-Fact for Henry A. Plain,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lowerLetter"/>
      <w:start w:val="1"/>
    </w:lvl>
    <w:lvl w:ilvl="1">
      <w:lvlJc w:val="left"/>
      <w:lvlText w:val="(%2)"/>
      <w:numFmt w:val="decimal"/>
      <w:start w:val="1"/>
    </w:lvl>
  </w:abstractNum>
  <w:abstractNum w:abstractNumId="11">
    <w:nsid w:val="3352255A"/>
    <w:multiLevelType w:val="hybridMultilevel"/>
    <w:lvl w:ilvl="0">
      <w:lvlJc w:val="left"/>
      <w:lvlText w:val="(%1)"/>
      <w:numFmt w:val="lowerLetter"/>
      <w:start w:val="3"/>
    </w:lvl>
    <w:lvl w:ilvl="1">
      <w:lvlJc w:val="left"/>
      <w:lvlText w:val="%2"/>
      <w:numFmt w:val="decimal"/>
      <w:start w:val="1"/>
    </w:lvl>
  </w:abstractNum>
  <w:abstractNum w:abstractNumId="12">
    <w:nsid w:val="109CF92E"/>
    <w:multiLevelType w:val="hybridMultilevel"/>
    <w:lvl w:ilvl="0">
      <w:lvlJc w:val="left"/>
      <w:lvlText w:val="%1."/>
      <w:numFmt w:val="upperLetter"/>
      <w:start w:val="1"/>
    </w:lvl>
  </w:abstractNum>
  <w:abstractNum w:abstractNumId="13">
    <w:nsid w:val="DED7263"/>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2024-02-14T19:06:00Z</dcterms:created>
  <dcterms:modified xsi:type="dcterms:W3CDTF">2024-02-14T19:06:00Z</dcterms:modified>
</cp:coreProperties>
</file>