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lxo-20260806.htm"/>
      <w:bookmarkStart w:id="1" w:name="ksalxo20260806"/>
      <w:bookmarkEnd w:id="0"/>
      <w:bookmarkEnd w:id="1"/>
      <w:r>
        <w:rPr/>
        <w:t> </w:t>
      </w:r>
    </w:p>
    <w:p>
      <w:pPr>
        <w:pStyle w:val="TextBody"/>
        <w:pBdr>
          <w:bottom w:val="double" w:sz="4" w:space="1" w:color="000000"/>
        </w:pBdr>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6" w:space="1" w:color="000000"/>
        </w:pBdr>
        <w:bidi w:val="0"/>
        <w:jc w:val="center"/>
        <w:rPr/>
      </w:pPr>
      <w:r>
        <w:rPr/>
        <w:t> </w:t>
      </w:r>
    </w:p>
    <w:p>
      <w:pPr>
        <w:pStyle w:val="TextBody"/>
        <w:bidi w:val="0"/>
        <w:ind w:left="4320" w:right="4320" w:hanging="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8-K</w:t>
      </w:r>
    </w:p>
    <w:p>
      <w:pPr>
        <w:pStyle w:val="TextBody"/>
        <w:pBdr>
          <w:bottom w:val="single" w:sz="6" w:space="1" w:color="000000"/>
        </w:pBdr>
        <w:bidi w:val="0"/>
        <w:jc w:val="center"/>
        <w:rPr/>
      </w:pPr>
      <w:r>
        <w:rPr/>
        <w:t> </w:t>
      </w:r>
    </w:p>
    <w:p>
      <w:pPr>
        <w:pStyle w:val="TextBody"/>
        <w:bidi w:val="0"/>
        <w:ind w:left="4320" w:right="4320" w:hanging="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20" w:after="283"/>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Date of Report (Date of earliest event reported): August 6, 2026</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ALX ONCOLOGY HOLDINGS INC.</w:t>
      </w:r>
    </w:p>
    <w:p>
      <w:pPr>
        <w:pStyle w:val="TextBody"/>
        <w:bidi w:val="0"/>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jc w:val="center"/>
        <w:rPr/>
      </w:pPr>
      <w:r>
        <w:rPr/>
        <w:t> </w:t>
      </w:r>
    </w:p>
    <w:p>
      <w:pPr>
        <w:pStyle w:val="TextBody"/>
        <w:bidi w:val="0"/>
        <w:jc w:val="left"/>
        <w:rPr/>
      </w:pPr>
      <w:r>
        <w:rPr/>
        <w:t> </w:t>
      </w:r>
    </w:p>
    <w:tbl>
      <w:tblPr>
        <w:tblW w:w="6003" w:type="dxa"/>
        <w:jc w:val="left"/>
        <w:tblInd w:w="0" w:type="dxa"/>
        <w:tblLayout w:type="fixed"/>
        <w:tblCellMar>
          <w:top w:w="28" w:type="dxa"/>
          <w:left w:w="28" w:type="dxa"/>
          <w:bottom w:w="28" w:type="dxa"/>
          <w:right w:w="28" w:type="dxa"/>
        </w:tblCellMar>
      </w:tblPr>
      <w:tblGrid>
        <w:gridCol w:w="2821"/>
        <w:gridCol w:w="1846"/>
        <w:gridCol w:w="1336"/>
      </w:tblGrid>
      <w:tr>
        <w:trPr/>
        <w:tc>
          <w:tcPr>
            <w:tcW w:w="2821"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8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001-39386</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85-0642577</w:t>
            </w:r>
          </w:p>
        </w:tc>
      </w:tr>
      <w:tr>
        <w:trPr/>
        <w:tc>
          <w:tcPr>
            <w:tcW w:w="282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(State or Other Jurisdiction</w:t>
            </w:r>
          </w:p>
          <w:p>
            <w:pPr>
              <w:pStyle w:val="TableContents"/>
              <w:bidi w:val="0"/>
              <w:spacing w:before="0" w:after="15"/>
              <w:jc w:val="center"/>
              <w:rPr>
                <w:rFonts w:ascii="Times New Roman" w:hAnsi="Times New Roman"/>
                <w:b/>
                <w:color w:val="000000"/>
                <w:sz w:val="15"/>
              </w:rPr>
            </w:pPr>
            <w:r>
              <w:rPr>
                <w:rFonts w:ascii="Times New Roman" w:hAnsi="Times New Roman"/>
                <w:b/>
                <w:color w:val="000000"/>
                <w:sz w:val="15"/>
              </w:rP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(IRS Employer</w:t>
            </w:r>
          </w:p>
          <w:p>
            <w:pPr>
              <w:pStyle w:val="TableContents"/>
              <w:bidi w:val="0"/>
              <w:spacing w:before="0" w:after="15"/>
              <w:jc w:val="center"/>
              <w:rPr>
                <w:rFonts w:ascii="Times New Roman" w:hAnsi="Times New Roman"/>
                <w:b/>
                <w:color w:val="000000"/>
                <w:sz w:val="15"/>
              </w:rPr>
            </w:pPr>
            <w:r>
              <w:rPr>
                <w:rFonts w:ascii="Times New Roman" w:hAnsi="Times New Roman"/>
                <w:b/>
                <w:color w:val="000000"/>
                <w:sz w:val="15"/>
              </w:rPr>
              <w:t>Identification No.)</w:t>
            </w:r>
          </w:p>
        </w:tc>
      </w:tr>
      <w:tr>
        <w:trPr/>
        <w:tc>
          <w:tcPr>
            <w:tcW w:w="2821" w:type="dxa"/>
            <w:tcBorders/>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821"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sz w:val="20"/>
              </w:rPr>
            </w:pPr>
            <w:r>
              <w:rPr>
                <w:rFonts w:ascii="Times New Roman" w:hAnsi="Times New Roman"/>
                <w:b/>
                <w:color w:val="000000"/>
                <w:sz w:val="20"/>
              </w:rPr>
              <w:t>323 Allerton Avenue,</w:t>
            </w:r>
            <w:r>
              <w:rPr>
                <w:rFonts w:ascii="Times New Roman" w:hAnsi="Times New Roman"/>
                <w:color w:val="000000"/>
                <w:sz w:val="20"/>
              </w:rPr>
              <w:t xml:space="preserve"> </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South San Francisco, California</w:t>
            </w:r>
          </w:p>
        </w:tc>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94080</w:t>
            </w:r>
          </w:p>
        </w:tc>
      </w:tr>
      <w:tr>
        <w:trPr/>
        <w:tc>
          <w:tcPr>
            <w:tcW w:w="28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650-466-7125</w:t>
      </w:r>
    </w:p>
    <w:p>
      <w:pPr>
        <w:pStyle w:val="TextBody"/>
        <w:bidi w:val="0"/>
        <w:jc w:val="center"/>
        <w:rPr>
          <w:rFonts w:ascii="Times New Roman" w:hAnsi="Times New Roman"/>
          <w:b/>
          <w:color w:val="000000"/>
          <w:sz w:val="20"/>
        </w:rPr>
      </w:pPr>
      <w:r>
        <w:rPr>
          <w:rFonts w:ascii="Times New Roman" w:hAnsi="Times New Roman"/>
          <w:b/>
          <w:color w:val="000000"/>
          <w:sz w:val="20"/>
        </w:rPr>
        <w:t>(Registrant’s Telephone Number, Including Area Code)</w:t>
      </w:r>
    </w:p>
    <w:p>
      <w:pPr>
        <w:pStyle w:val="TextBody"/>
        <w:bidi w:val="0"/>
        <w:jc w:val="center"/>
        <w:rPr>
          <w:rFonts w:ascii="Times New Roman" w:hAnsi="Times New Roman"/>
          <w:b/>
          <w:color w:val="000000"/>
          <w:sz w:val="20"/>
        </w:rPr>
      </w:pPr>
      <w:r>
        <w:rPr>
          <w:rFonts w:ascii="Times New Roman" w:hAnsi="Times New Roman"/>
          <w:b/>
          <w:color w:val="000000"/>
          <w:sz w:val="20"/>
        </w:rPr>
        <w:t>Not applicable</w:t>
      </w:r>
    </w:p>
    <w:p>
      <w:pPr>
        <w:pStyle w:val="TextBody"/>
        <w:bidi w:val="0"/>
        <w:jc w:val="center"/>
        <w:rPr>
          <w:rFonts w:ascii="Times New Roman" w:hAnsi="Times New Roman"/>
          <w:b/>
          <w:color w:val="000000"/>
          <w:sz w:val="20"/>
        </w:rPr>
      </w:pPr>
      <w:r>
        <w:rPr>
          <w:rFonts w:ascii="Times New Roman" w:hAnsi="Times New Roman"/>
          <w:b/>
          <w:color w:val="000000"/>
          <w:sz w:val="20"/>
        </w:rPr>
        <w:t>(Former Name or Former Address, if Changed Since Last Report)</w:t>
      </w:r>
    </w:p>
    <w:p>
      <w:pPr>
        <w:pStyle w:val="TextBody"/>
        <w:pBdr>
          <w:bottom w:val="single" w:sz="6" w:space="1" w:color="000000"/>
        </w:pBdr>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jc w:val="left"/>
        <w:rPr/>
      </w:pPr>
      <w:r>
        <w:rPr/>
        <w:t> </w:t>
      </w:r>
    </w:p>
    <w:tbl>
      <w:tblPr>
        <w:tblW w:w="9557" w:type="dxa"/>
        <w:jc w:val="left"/>
        <w:tblInd w:w="0" w:type="dxa"/>
        <w:tblLayout w:type="fixed"/>
        <w:tblCellMar>
          <w:top w:w="28" w:type="dxa"/>
          <w:left w:w="28" w:type="dxa"/>
          <w:bottom w:w="28" w:type="dxa"/>
          <w:right w:w="28" w:type="dxa"/>
        </w:tblCellMar>
      </w:tblPr>
      <w:tblGrid>
        <w:gridCol w:w="331"/>
        <w:gridCol w:w="9226"/>
      </w:tblGrid>
      <w:tr>
        <w:trPr/>
        <w:tc>
          <w:tcPr>
            <w:tcW w:w="331" w:type="dxa"/>
            <w:tcBorders/>
            <w:vAlign w:val="center"/>
          </w:tcPr>
          <w:p>
            <w:pPr>
              <w:pStyle w:val="TableContents"/>
              <w:bidi w:val="0"/>
              <w:spacing w:before="0" w:after="283"/>
              <w:jc w:val="left"/>
              <w:rPr>
                <w:sz w:val="4"/>
                <w:szCs w:val="4"/>
              </w:rPr>
            </w:pPr>
            <w:r>
              <w:rPr>
                <w:sz w:val="4"/>
                <w:szCs w:val="4"/>
              </w:rPr>
            </w:r>
          </w:p>
        </w:tc>
        <w:tc>
          <w:tcPr>
            <w:tcW w:w="922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Written communications pursuant to Rule 425 under the Securities Act (17 CFR 230.425)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Soliciting material pursuant to Rule 14a-12 under the Exchange Act (17 CFR 240.14a-12)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14d-2(b) under the Exchange Act (17 CFR 240.14d-2(b))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13e-4(c) under the Exchange Act (17 CFR 240.13e-4(c))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left"/>
        <w:rPr/>
      </w:pPr>
      <w:r>
        <w:rPr/>
        <w:t> </w:t>
      </w:r>
    </w:p>
    <w:tbl>
      <w:tblPr>
        <w:tblW w:w="8035" w:type="dxa"/>
        <w:jc w:val="left"/>
        <w:tblInd w:w="0" w:type="dxa"/>
        <w:tblLayout w:type="fixed"/>
        <w:tblCellMar>
          <w:top w:w="28" w:type="dxa"/>
          <w:left w:w="28" w:type="dxa"/>
          <w:bottom w:w="28" w:type="dxa"/>
          <w:right w:w="28" w:type="dxa"/>
        </w:tblCellMar>
      </w:tblPr>
      <w:tblGrid>
        <w:gridCol w:w="3601"/>
        <w:gridCol w:w="146"/>
        <w:gridCol w:w="826"/>
        <w:gridCol w:w="146"/>
        <w:gridCol w:w="3316"/>
      </w:tblGrid>
      <w:tr>
        <w:trPr/>
        <w:tc>
          <w:tcPr>
            <w:tcW w:w="3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6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6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ALXO</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 xml:space="preserve">The Nasdaq </w:t>
            </w:r>
            <w:r>
              <w:rPr>
                <w:rFonts w:ascii="Times New Roman" w:hAnsi="Times New Roman"/>
                <w:color w:val="212529"/>
                <w:sz w:val="20"/>
              </w:rPr>
              <w:t>Global Select Market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ottom w:val="double" w:sz="4" w:space="1" w:color="000000"/>
        </w:pBdr>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On August 6, 2026, ALX Oncology Holdings Inc. (the “Company”), issued a press release announcing its financial results for the second quarter ended June 30, 2026. A copy of this press release is furnished as Exhibit 99.1 to this Current Report on Form 8-K and is incorporated herein by reference.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information contained in this Item 2.02 of this Current Report on Form 8-K, including Exhibit 99.1 hereto shall not be deemed to be “filed” for purposes of Section 18 of the Securities Exchange Act of 1934, as amended, or otherwise subject to the liabilities of that Section, nor shall it be deemed incorporated by reference in any filing under the Securities Act of 1933, as amended, or the Securities Exchange Act of 1934, as amended, except as shall be expressly stated by specific reference in such filing.</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Exhibits.</w:t>
      </w:r>
    </w:p>
    <w:p>
      <w:pPr>
        <w:pStyle w:val="TextBody"/>
        <w:bidi w:val="0"/>
        <w:jc w:val="left"/>
        <w:rPr/>
      </w:pPr>
      <w:r>
        <w:rPr/>
        <w:t> </w:t>
      </w:r>
    </w:p>
    <w:tbl>
      <w:tblPr>
        <w:tblW w:w="5878" w:type="dxa"/>
        <w:jc w:val="left"/>
        <w:tblInd w:w="0" w:type="dxa"/>
        <w:tblLayout w:type="fixed"/>
        <w:tblCellMar>
          <w:top w:w="28" w:type="dxa"/>
          <w:left w:w="28" w:type="dxa"/>
          <w:bottom w:w="28" w:type="dxa"/>
          <w:right w:w="28" w:type="dxa"/>
        </w:tblCellMar>
      </w:tblPr>
      <w:tblGrid>
        <w:gridCol w:w="706"/>
        <w:gridCol w:w="146"/>
        <w:gridCol w:w="5026"/>
      </w:tblGrid>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26" w:type="dxa"/>
            <w:tcBorders/>
            <w:vAlign w:val="center"/>
          </w:tcPr>
          <w:p>
            <w:pPr>
              <w:pStyle w:val="TableContents"/>
              <w:bidi w:val="0"/>
              <w:spacing w:before="0" w:after="283"/>
              <w:jc w:val="left"/>
              <w:rPr>
                <w:sz w:val="4"/>
                <w:szCs w:val="4"/>
              </w:rPr>
            </w:pPr>
            <w:r>
              <w:rPr>
                <w:sz w:val="4"/>
                <w:szCs w:val="4"/>
              </w:rPr>
            </w:r>
          </w:p>
        </w:tc>
      </w:tr>
      <w:tr>
        <w:trPr/>
        <w:tc>
          <w:tcPr>
            <w:tcW w:w="706"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02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alxo-ex99_1.htm">
              <w:r>
                <w:rPr>
                  <w:rStyle w:val="InternetLink"/>
                  <w:rFonts w:ascii="Times New Roman" w:hAnsi="Times New Roman"/>
                  <w:color w:val="0000FF"/>
                  <w:sz w:val="20"/>
                  <w:u w:val="single"/>
                </w:rPr>
                <w:t>Press Release dated August 6, 2026</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w:t>
            </w:r>
          </w:p>
        </w:tc>
      </w:tr>
    </w:tbl>
    <w:p>
      <w:pPr>
        <w:pStyle w:val="TextBody"/>
        <w:bidi w:val="0"/>
        <w:ind w:left="0" w:right="9000" w:hanging="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jc w:val="left"/>
        <w:rPr/>
      </w:pPr>
      <w:r>
        <w:rPr/>
        <w:t> </w:t>
      </w:r>
    </w:p>
    <w:tbl>
      <w:tblPr>
        <w:tblW w:w="5247" w:type="dxa"/>
        <w:jc w:val="left"/>
        <w:tblInd w:w="0" w:type="dxa"/>
        <w:tblLayout w:type="fixed"/>
        <w:tblCellMar>
          <w:top w:w="28" w:type="dxa"/>
          <w:left w:w="28" w:type="dxa"/>
          <w:bottom w:w="28" w:type="dxa"/>
          <w:right w:w="28" w:type="dxa"/>
        </w:tblCellMar>
      </w:tblPr>
      <w:tblGrid>
        <w:gridCol w:w="1846"/>
        <w:gridCol w:w="146"/>
        <w:gridCol w:w="546"/>
        <w:gridCol w:w="2709"/>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709"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ALX ONCOLOGY HOLDINGS INC.</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7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Harish Shantharam</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Harish Shantharam</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alxo-ex99_1.htm"/>
      <w:bookmarkStart w:id="3" w:name="ksalxoex99_1"/>
      <w:bookmarkEnd w:id="2"/>
      <w:bookmarkEnd w:id="3"/>
      <w:r>
        <w:rPr/>
        <w:t> </w:t>
      </w:r>
      <w:r>
        <w:br w:type="page"/>
      </w:r>
    </w:p>
    <w:tbl>
      <w:tblPr>
        <w:tblW w:w="3897" w:type="dxa"/>
        <w:jc w:val="left"/>
        <w:tblInd w:w="0" w:type="dxa"/>
        <w:tblLayout w:type="fixed"/>
        <w:tblCellMar>
          <w:top w:w="28" w:type="dxa"/>
          <w:left w:w="28" w:type="dxa"/>
          <w:bottom w:w="28" w:type="dxa"/>
          <w:right w:w="28" w:type="dxa"/>
        </w:tblCellMar>
      </w:tblPr>
      <w:tblGrid>
        <w:gridCol w:w="2561"/>
        <w:gridCol w:w="1336"/>
      </w:tblGrid>
      <w:tr>
        <w:trPr/>
        <w:tc>
          <w:tcPr>
            <w:tcW w:w="256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56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562100" cy="1019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62100" cy="1019175"/>
                          </a:xfrm>
                          <a:prstGeom prst="rect">
                            <a:avLst/>
                          </a:prstGeom>
                        </pic:spPr>
                      </pic:pic>
                    </a:graphicData>
                  </a:graphic>
                </wp:inline>
              </w:drawing>
            </w:r>
          </w:p>
        </w:tc>
        <w:tc>
          <w:tcPr>
            <w:tcW w:w="13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Exhibit 99.1</w:t>
            </w:r>
          </w:p>
        </w:tc>
      </w:tr>
    </w:tbl>
    <w:p>
      <w:pPr>
        <w:pStyle w:val="TextBody"/>
        <w:bidi w:val="0"/>
        <w:jc w:val="left"/>
        <w:rPr/>
      </w:pPr>
      <w:r>
        <w:rPr/>
        <w:t> </w:t>
      </w:r>
    </w:p>
    <w:p>
      <w:pPr>
        <w:pStyle w:val="TextBody"/>
        <w:bidi w:val="0"/>
        <w:jc w:val="center"/>
        <w:rPr>
          <w:rFonts w:ascii="Times New Roman" w:hAnsi="Times New Roman"/>
          <w:b/>
          <w:color w:val="000000"/>
          <w:sz w:val="28"/>
        </w:rPr>
      </w:pPr>
      <w:r>
        <w:rPr>
          <w:rFonts w:ascii="Times New Roman" w:hAnsi="Times New Roman"/>
          <w:b/>
          <w:color w:val="000000"/>
          <w:sz w:val="28"/>
        </w:rPr>
        <w:t xml:space="preserve">ALX Oncology Reports Second Quarter 2026 Financial Results and </w:t>
        <w:br/>
        <w:t>Provides Corporate Update</w:t>
      </w:r>
    </w:p>
    <w:p>
      <w:pPr>
        <w:pStyle w:val="TextBody"/>
        <w:bidi w:val="0"/>
        <w:jc w:val="left"/>
        <w:rPr/>
      </w:pPr>
      <w:r>
        <w:rPr/>
        <w:t> </w:t>
      </w:r>
    </w:p>
    <w:p>
      <w:pPr>
        <w:pStyle w:val="TextBody"/>
        <w:bidi w:val="0"/>
        <w:spacing w:before="0" w:after="240"/>
        <w:jc w:val="center"/>
        <w:rPr>
          <w:color w:val="000000"/>
        </w:rPr>
      </w:pPr>
      <w:r>
        <w:rPr>
          <w:color w:val="000000"/>
        </w:rPr>
        <w:t xml:space="preserve">– </w:t>
      </w:r>
      <w:r>
        <w:rPr>
          <w:rFonts w:ascii="Times New Roman" w:hAnsi="Times New Roman"/>
          <w:i/>
          <w:color w:val="000000"/>
          <w:sz w:val="24"/>
        </w:rPr>
        <w:t>On track for mid-2027 topline data readout from 80 patients in the Phase 2 ASPEN-09-Breast clinical trial evaluating evorpacept in combination with trastuzumab and chemotherapy in HER2-positive metastatic breast cancer –</w:t>
      </w:r>
    </w:p>
    <w:p>
      <w:pPr>
        <w:pStyle w:val="TextBody"/>
        <w:bidi w:val="0"/>
        <w:spacing w:before="0" w:after="240"/>
        <w:jc w:val="center"/>
        <w:rPr>
          <w:color w:val="000000"/>
        </w:rPr>
      </w:pPr>
      <w:r>
        <w:rPr>
          <w:color w:val="000000"/>
        </w:rPr>
        <w:t xml:space="preserve">– </w:t>
      </w:r>
      <w:r>
        <w:rPr>
          <w:rFonts w:ascii="Times New Roman" w:hAnsi="Times New Roman"/>
          <w:i/>
          <w:color w:val="000000"/>
          <w:sz w:val="24"/>
        </w:rPr>
        <w:t>Presented encouraging Phase 1b/2 breast cancer data at ESMO Breast Cancer 2026 that further validate a biomarker-driven development strategy for evorpacept –</w:t>
      </w:r>
    </w:p>
    <w:p>
      <w:pPr>
        <w:pStyle w:val="TextBody"/>
        <w:bidi w:val="0"/>
        <w:spacing w:before="0" w:after="240"/>
        <w:jc w:val="center"/>
        <w:rPr>
          <w:color w:val="000000"/>
        </w:rPr>
      </w:pPr>
      <w:r>
        <w:rPr>
          <w:color w:val="000000"/>
        </w:rPr>
        <w:t xml:space="preserve">– </w:t>
      </w:r>
      <w:r>
        <w:rPr>
          <w:rFonts w:ascii="Times New Roman" w:hAnsi="Times New Roman"/>
          <w:i/>
          <w:color w:val="000000"/>
          <w:sz w:val="24"/>
        </w:rPr>
        <w:t>Strong enrollment momentum in Phase 1 clinical trial of ALX2004 in EGFR expressing solid tumors with initial safety data on-track for 2H 2026 –</w:t>
      </w:r>
    </w:p>
    <w:p>
      <w:pPr>
        <w:pStyle w:val="TextBody"/>
        <w:bidi w:val="0"/>
        <w:spacing w:before="0" w:after="240"/>
        <w:jc w:val="center"/>
        <w:rPr>
          <w:color w:val="000000"/>
        </w:rPr>
      </w:pPr>
      <w:r>
        <w:rPr>
          <w:color w:val="000000"/>
        </w:rPr>
        <w:t xml:space="preserve">– </w:t>
      </w:r>
      <w:r>
        <w:rPr>
          <w:rFonts w:ascii="Times New Roman" w:hAnsi="Times New Roman"/>
          <w:i/>
          <w:color w:val="000000"/>
          <w:sz w:val="24"/>
        </w:rPr>
        <w:t>Strengthened leadership team with the appointments of Scott Garland as Chairman of the Board of Directors and Michael Listgarten as General Counsel –</w:t>
      </w:r>
    </w:p>
    <w:p>
      <w:pPr>
        <w:pStyle w:val="TextBody"/>
        <w:bidi w:val="0"/>
        <w:jc w:val="left"/>
        <w:rPr>
          <w:rFonts w:ascii="Times New Roman" w:hAnsi="Times New Roman"/>
          <w:sz w:val="20"/>
        </w:rPr>
      </w:pPr>
      <w:r>
        <w:rPr>
          <w:rFonts w:ascii="Times New Roman" w:hAnsi="Times New Roman"/>
          <w:b/>
          <w:color w:val="000000"/>
          <w:sz w:val="22"/>
        </w:rPr>
        <w:t xml:space="preserve">SOUTH SAN FRANCISCO, Calif., August 6, 2026 – </w:t>
      </w:r>
      <w:r>
        <w:rPr>
          <w:rFonts w:ascii="Times New Roman" w:hAnsi="Times New Roman"/>
          <w:color w:val="000000"/>
          <w:sz w:val="22"/>
        </w:rPr>
        <w:t>ALX Oncology Holdings Inc. (“ALX Oncology,” Nasdaq: ALXO), a clinical-stage biotechnology company advancing a pipeline of novel therapies designed to treat cancer and extend patients’ lives, today reported financial results for the second quarter ended June 30, 2026, and provided a corporate update.</w:t>
      </w:r>
      <w:r>
        <w:rPr>
          <w:rFonts w:ascii="Times New Roman" w:hAnsi="Times New Roman"/>
          <w:color w:val="000000"/>
          <w:sz w:val="20"/>
        </w:rPr>
        <w:t xml:space="preserve"> </w:t>
      </w:r>
    </w:p>
    <w:p>
      <w:pPr>
        <w:pStyle w:val="TextBody"/>
        <w:bidi w:val="0"/>
        <w:jc w:val="left"/>
        <w:rPr/>
      </w:pPr>
      <w:r>
        <w:rPr/>
        <w:t> </w:t>
      </w:r>
    </w:p>
    <w:p>
      <w:pPr>
        <w:pStyle w:val="TextBody"/>
        <w:bidi w:val="0"/>
        <w:jc w:val="left"/>
        <w:rPr>
          <w:color w:val="000000"/>
        </w:rPr>
      </w:pPr>
      <w:r>
        <w:rPr>
          <w:color w:val="000000"/>
        </w:rPr>
        <w:t>“</w:t>
      </w:r>
      <w:r>
        <w:rPr>
          <w:rFonts w:ascii="Times New Roman" w:hAnsi="Times New Roman"/>
          <w:color w:val="000000"/>
          <w:sz w:val="22"/>
        </w:rPr>
        <w:t>We continue to execute against our strategy with discipline and focus, advancing both of our clinical programs toward meaningful value-creating milestones,” said Jason Lettmann, Chief Executive Officer of ALX Oncology. “Enrollment in our ASPEN-09-Breast trial remains on track as we work toward a topline data readout from 80 patients in mid-2027, while ALX2004 continues to advance through dose escalation with initial safety data expected later this year. The encouraging clinical data we presented at ESMO Breast Cancer further strengthens our confidence in evorpacept’s biomarker-driven strategy, while ALX2004 continues to advance as a differentiated EGFR-targeted ADC built around a clinically validated target with broad applicability across multiple EGFR-expressing solid tumors. Together, these programs highlight the breadth of our pipeline. Combined with our strong balance sheet, an experienced leadership team, and multiple upcoming catalysts, we believe ALX is well-positioned to advance innovative therapies for cancer patients while creating long-term value for shareholders.”</w:t>
      </w:r>
    </w:p>
    <w:p>
      <w:pPr>
        <w:pStyle w:val="TextBody"/>
        <w:bidi w:val="0"/>
        <w:jc w:val="left"/>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ALX Oncology Q2 2026 Highlights and Recent Developments</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Evorpacept</w:t>
      </w:r>
    </w:p>
    <w:p>
      <w:pPr>
        <w:pStyle w:val="TextBody"/>
        <w:bidi w:val="0"/>
        <w:jc w:val="both"/>
        <w:rPr/>
      </w:pPr>
      <w:r>
        <w:rPr/>
        <w:t> </w:t>
      </w:r>
    </w:p>
    <w:p>
      <w:pPr>
        <w:pStyle w:val="TextBody"/>
        <w:bidi w:val="0"/>
        <w:spacing w:before="0" w:after="0"/>
        <w:ind w:left="144" w:right="0" w:hanging="0"/>
        <w:jc w:val="left"/>
        <w:rPr>
          <w:color w:val="000000"/>
        </w:rPr>
      </w:pPr>
      <w:r>
        <w:rPr>
          <w:color w:val="000000"/>
        </w:rPr>
        <w:t>•</w:t>
      </w:r>
    </w:p>
    <w:p>
      <w:pPr>
        <w:pStyle w:val="TextBody"/>
        <w:bidi w:val="0"/>
        <w:jc w:val="left"/>
        <w:rPr/>
      </w:pPr>
      <w:r>
        <w:rPr>
          <w:rFonts w:ascii="Times New Roman" w:hAnsi="Times New Roman"/>
          <w:color w:val="000000"/>
          <w:sz w:val="22"/>
        </w:rPr>
        <w:t>In May, ALX Oncology presented new data at ESMO Breast Cancer 2026 from exploratory analyses of its Phase 1b/2 clinical trial evaluating the Company’s investigational CD47-inhibitor evorpacept in combination with Jazz Pharmaceuticals’ zanidatamab (ZIIHERA</w:t>
      </w:r>
      <w:r>
        <w:rPr>
          <w:rFonts w:ascii="Times New Roman" w:hAnsi="Times New Roman"/>
          <w:color w:val="000000"/>
          <w:sz w:val="15"/>
        </w:rPr>
        <w:t>®</w:t>
      </w:r>
      <w:r>
        <w:rPr>
          <w:rFonts w:ascii="Times New Roman" w:hAnsi="Times New Roman"/>
          <w:color w:val="000000"/>
          <w:sz w:val="22"/>
        </w:rPr>
        <w:t>). The new data demonstrated promising and durable responses in heavily pre-treated metastatic breast cancer (mBC) patients previously treated with ENHERTU</w:t>
      </w:r>
      <w:r>
        <w:rPr>
          <w:rFonts w:ascii="Times New Roman" w:hAnsi="Times New Roman"/>
          <w:color w:val="000000"/>
          <w:sz w:val="15"/>
        </w:rPr>
        <w:t>®</w:t>
      </w:r>
      <w:r>
        <w:rPr>
          <w:color w:val="000000"/>
        </w:rPr>
        <w:t xml:space="preserve"> </w:t>
      </w:r>
      <w:r>
        <w:rPr>
          <w:rFonts w:ascii="Times New Roman" w:hAnsi="Times New Roman"/>
          <w:color w:val="000000"/>
          <w:sz w:val="22"/>
        </w:rPr>
        <w:t>(fam-trastuzumab deruxtecan-nxki), particularly among patients with centrally confirmed HER2-positive (ccHER2-positive) disease and high CD47 expression.</w:t>
      </w:r>
    </w:p>
    <w:p>
      <w:pPr>
        <w:pStyle w:val="TextBody"/>
        <w:bidi w:val="0"/>
        <w:spacing w:before="120" w:after="283"/>
        <w:jc w:val="center"/>
        <w:rPr>
          <w:rFonts w:ascii="Times New Roman" w:hAnsi="Times New Roman"/>
          <w:color w:val="000000"/>
          <w:sz w:val="22"/>
        </w:rPr>
      </w:pPr>
      <w:r>
        <w:rPr>
          <w:rFonts w:ascii="Times New Roman" w:hAnsi="Times New Roman"/>
          <w:color w:val="000000"/>
          <w:sz w:val="22"/>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144" w:right="0" w:hanging="0"/>
        <w:jc w:val="left"/>
        <w:rPr>
          <w:color w:val="000000"/>
        </w:rPr>
      </w:pPr>
      <w:r>
        <w:rPr>
          <w:color w:val="000000"/>
        </w:rPr>
        <w:t>•</w:t>
      </w:r>
    </w:p>
    <w:p>
      <w:pPr>
        <w:pStyle w:val="TextBody"/>
        <w:bidi w:val="0"/>
        <w:jc w:val="left"/>
        <w:rPr>
          <w:rFonts w:ascii="Times New Roman" w:hAnsi="Times New Roman"/>
          <w:color w:val="000000"/>
          <w:sz w:val="22"/>
        </w:rPr>
      </w:pPr>
      <w:r>
        <w:rPr>
          <w:rFonts w:ascii="Times New Roman" w:hAnsi="Times New Roman"/>
          <w:color w:val="000000"/>
          <w:sz w:val="22"/>
        </w:rPr>
        <w:t>Enrollment in the ongoing ASPEN-09-Breast Phase 2 trial evaluating evorpacept in combination with trastuzumab remains on track, with topline data from 80 patients expected in mid-2027.</w:t>
      </w:r>
    </w:p>
    <w:p>
      <w:pPr>
        <w:pStyle w:val="TextBody"/>
        <w:bidi w:val="0"/>
        <w:jc w:val="left"/>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ALX2004</w:t>
      </w:r>
    </w:p>
    <w:p>
      <w:pPr>
        <w:pStyle w:val="TextBody"/>
        <w:bidi w:val="0"/>
        <w:jc w:val="both"/>
        <w:rPr/>
      </w:pPr>
      <w:r>
        <w:rPr/>
        <w:t> </w:t>
      </w:r>
    </w:p>
    <w:p>
      <w:pPr>
        <w:pStyle w:val="TextBody"/>
        <w:bidi w:val="0"/>
        <w:spacing w:before="0" w:after="0"/>
        <w:ind w:left="144" w:right="0" w:hanging="0"/>
        <w:jc w:val="left"/>
        <w:rPr>
          <w:color w:val="000000"/>
        </w:rPr>
      </w:pPr>
      <w:r>
        <w:rPr>
          <w:color w:val="000000"/>
        </w:rPr>
        <w:t>•</w:t>
      </w:r>
    </w:p>
    <w:p>
      <w:pPr>
        <w:pStyle w:val="TextBody"/>
        <w:bidi w:val="0"/>
        <w:jc w:val="left"/>
        <w:rPr>
          <w:rFonts w:ascii="Times New Roman" w:hAnsi="Times New Roman"/>
          <w:color w:val="000000"/>
          <w:sz w:val="22"/>
        </w:rPr>
      </w:pPr>
      <w:r>
        <w:rPr>
          <w:rFonts w:ascii="Times New Roman" w:hAnsi="Times New Roman"/>
          <w:color w:val="000000"/>
          <w:sz w:val="22"/>
        </w:rPr>
        <w:t>Enrollment continues in the dose-escalation portion of the Phase 1 trial of ALX2004, a novel antibody-drug conjugate (ADC) for the treatment of epidermal growth factor receptor (EGFR)-expressing solid tumors, and is on track to report safety data in the second half of 2026.</w:t>
      </w:r>
    </w:p>
    <w:p>
      <w:pPr>
        <w:pStyle w:val="TextBody"/>
        <w:bidi w:val="0"/>
        <w:jc w:val="left"/>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Corporate Update</w:t>
      </w:r>
    </w:p>
    <w:p>
      <w:pPr>
        <w:pStyle w:val="TextBody"/>
        <w:bidi w:val="0"/>
        <w:jc w:val="both"/>
        <w:rPr/>
      </w:pPr>
      <w:r>
        <w:rPr/>
        <w:t> </w:t>
      </w:r>
    </w:p>
    <w:p>
      <w:pPr>
        <w:pStyle w:val="TextBody"/>
        <w:bidi w:val="0"/>
        <w:spacing w:before="0" w:after="0"/>
        <w:ind w:left="144" w:right="0" w:hanging="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In June, the Company strengthened its leadership team and Board of Directors with the appointments of Scott Garland as Chairman of the Board and Michael Listgarten as General Counsel. A Board member since 2022, Mr. Garland brings more than three decades of biopharmaceutical commercial, operational, and strategic leadership experience, while Mr. Listgarten adds deep expertise in legal affairs, corporate governance, and business development, with a proven track record of guiding biopharmaceutical companies through critical stages of growth and transformation. Together, these appointments reinforce ALX's leadership foundation and enhance the company's ability to execute on its strategic priorities, capitalize on future opportunities, and support long-term growth.</w:t>
      </w:r>
    </w:p>
    <w:p>
      <w:pPr>
        <w:pStyle w:val="TextBody"/>
        <w:bidi w:val="0"/>
        <w:spacing w:before="0" w:after="0"/>
        <w:ind w:left="144" w:right="0" w:hanging="0"/>
        <w:jc w:val="left"/>
        <w:rPr>
          <w:color w:val="000000"/>
        </w:rPr>
      </w:pPr>
      <w:r>
        <w:rPr>
          <w:color w:val="000000"/>
        </w:rPr>
        <w:t>•</w:t>
      </w:r>
    </w:p>
    <w:p>
      <w:pPr>
        <w:pStyle w:val="TextBody"/>
        <w:bidi w:val="0"/>
        <w:jc w:val="left"/>
        <w:rPr>
          <w:rFonts w:ascii="Times New Roman" w:hAnsi="Times New Roman"/>
          <w:color w:val="000000"/>
          <w:sz w:val="22"/>
        </w:rPr>
      </w:pPr>
      <w:r>
        <w:rPr>
          <w:rFonts w:ascii="Times New Roman" w:hAnsi="Times New Roman"/>
          <w:color w:val="000000"/>
          <w:sz w:val="22"/>
        </w:rPr>
        <w:t>Also in June, ALX Oncology strengthened its balance sheet by refinancing its existing $10 million debt with HSBC Ventures USA Inc. and securing the ability to draw up to an additional $20 million at the Company’s discretion through the end of June 2028. The Loan Agreement in totality provides for a secured multi-tranche term loan facility in an aggregate principal amount of up to $50 million, of which $10 million is uncommitted. This new debt facility replaces the Company’s prior loan and security agreement with Oxford Finance LLC and Silicon Valley Bank, significantly lowering ALX Oncology’s cost of capital, enhances financial flexibility and supports the continued advancement of the Company’s clinical portfolio.</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Second Quarter 2026 Financial Results</w:t>
      </w:r>
    </w:p>
    <w:p>
      <w:pPr>
        <w:pStyle w:val="TextBody"/>
        <w:bidi w:val="0"/>
        <w:jc w:val="left"/>
        <w:rPr/>
      </w:pPr>
      <w:r>
        <w:rPr/>
        <w:t> </w:t>
      </w:r>
    </w:p>
    <w:p>
      <w:pPr>
        <w:pStyle w:val="TextBody"/>
        <w:bidi w:val="0"/>
        <w:spacing w:before="0" w:after="0"/>
        <w:ind w:left="144" w:right="0" w:hanging="0"/>
        <w:jc w:val="left"/>
        <w:rPr>
          <w:color w:val="000000"/>
        </w:rPr>
      </w:pPr>
      <w:r>
        <w:rPr>
          <w:color w:val="000000"/>
        </w:rPr>
        <w:t>•</w:t>
      </w:r>
    </w:p>
    <w:p>
      <w:pPr>
        <w:pStyle w:val="TextBody"/>
        <w:bidi w:val="0"/>
        <w:spacing w:before="0" w:after="0"/>
        <w:jc w:val="left"/>
        <w:rPr/>
      </w:pPr>
      <w:r>
        <w:rPr>
          <w:rFonts w:ascii="Times New Roman" w:hAnsi="Times New Roman"/>
          <w:b/>
          <w:color w:val="000000"/>
          <w:sz w:val="22"/>
        </w:rPr>
        <w:t xml:space="preserve">Cash, Cash Equivalents and Investments: </w:t>
      </w:r>
      <w:r>
        <w:rPr>
          <w:rFonts w:ascii="Times New Roman" w:hAnsi="Times New Roman"/>
          <w:color w:val="000000"/>
          <w:sz w:val="22"/>
        </w:rPr>
        <w:t>Cash, cash equivalents and investments as of June 30, 2026, were $153.4 million. The Company believes its cash, cash equivalents and investments are sufficient to fund planned operations through the first half of 2028.</w:t>
      </w:r>
    </w:p>
    <w:p>
      <w:pPr>
        <w:pStyle w:val="TextBody"/>
        <w:bidi w:val="0"/>
        <w:spacing w:before="0" w:after="0"/>
        <w:ind w:left="144" w:right="0" w:hanging="0"/>
        <w:jc w:val="left"/>
        <w:rPr>
          <w:color w:val="000000"/>
        </w:rPr>
      </w:pPr>
      <w:r>
        <w:rPr>
          <w:color w:val="000000"/>
        </w:rPr>
        <w:t>•</w:t>
      </w:r>
    </w:p>
    <w:p>
      <w:pPr>
        <w:pStyle w:val="TextBody"/>
        <w:bidi w:val="0"/>
        <w:spacing w:before="0" w:after="0"/>
        <w:jc w:val="left"/>
        <w:rPr/>
      </w:pPr>
      <w:r>
        <w:rPr>
          <w:rFonts w:ascii="Times New Roman" w:hAnsi="Times New Roman"/>
          <w:b/>
          <w:color w:val="000000"/>
          <w:sz w:val="22"/>
        </w:rPr>
        <w:t xml:space="preserve">Research and Development (“R&amp;D”) Expenses: </w:t>
      </w:r>
      <w:r>
        <w:rPr>
          <w:rFonts w:ascii="Times New Roman" w:hAnsi="Times New Roman"/>
          <w:color w:val="000000"/>
          <w:sz w:val="22"/>
        </w:rPr>
        <w:t>R&amp;D expenses consist primarily of clinical and development costs related to the development of the Company’s current product candidates, evorpacept and ALX2004, and R&amp;D personnel-related expenses, including stock-based compensation. R&amp;D expenses for the three months ended June 30, 2026 were $13.1 million compared to $18.0 million for the prior-year period, or a decrease of $4.9 million. This decrease was primarily attributable to a decrease of $4.8 million in clinical and development costs, reflecting lower expenses associated with legacy trials, partially offset by continued investment in evorpacept ASPEN-09 Phase 2 trial and ALX2004 Phase 1 study.</w:t>
      </w:r>
    </w:p>
    <w:p>
      <w:pPr>
        <w:pStyle w:val="TextBody"/>
        <w:bidi w:val="0"/>
        <w:spacing w:before="0" w:after="0"/>
        <w:ind w:left="144" w:right="0" w:hanging="0"/>
        <w:jc w:val="left"/>
        <w:rPr>
          <w:color w:val="000000"/>
        </w:rPr>
      </w:pPr>
      <w:r>
        <w:rPr>
          <w:color w:val="000000"/>
        </w:rPr>
        <w:t>•</w:t>
      </w:r>
    </w:p>
    <w:p>
      <w:pPr>
        <w:pStyle w:val="TextBody"/>
        <w:bidi w:val="0"/>
        <w:spacing w:before="0" w:after="0"/>
        <w:jc w:val="left"/>
        <w:rPr/>
      </w:pPr>
      <w:r>
        <w:rPr>
          <w:rFonts w:ascii="Times New Roman" w:hAnsi="Times New Roman"/>
          <w:b/>
          <w:color w:val="000000"/>
          <w:sz w:val="22"/>
        </w:rPr>
        <w:t xml:space="preserve">General and Administrative (“G&amp;A”) Expenses: </w:t>
      </w:r>
      <w:r>
        <w:rPr>
          <w:rFonts w:ascii="Times New Roman" w:hAnsi="Times New Roman"/>
          <w:color w:val="000000"/>
          <w:sz w:val="22"/>
        </w:rPr>
        <w:t>G&amp;A expenses consist primarily of administrative personnel-related expenses, including stock-based compensation and other costs such as legal and other professional fees, patent filing and maintenance fees, and insurance. G&amp;A expenses for the three months ended June 30, 2026 were $5.1 million compared to $5.5 million for the prior year period, or a decrease of $0.4 million. This decrease was primarily attributable to a decrease of $0.4 million in corporate legal and patent costs.</w:t>
      </w:r>
    </w:p>
    <w:p>
      <w:pPr>
        <w:pStyle w:val="TextBody"/>
        <w:bidi w:val="0"/>
        <w:spacing w:before="0" w:after="0"/>
        <w:ind w:left="144" w:right="0" w:hanging="0"/>
        <w:jc w:val="left"/>
        <w:rPr>
          <w:color w:val="000000"/>
        </w:rPr>
      </w:pPr>
      <w:r>
        <w:rPr>
          <w:color w:val="000000"/>
        </w:rPr>
        <w:t>•</w:t>
      </w:r>
    </w:p>
    <w:p>
      <w:pPr>
        <w:pStyle w:val="TextBody"/>
        <w:bidi w:val="0"/>
        <w:jc w:val="left"/>
        <w:rPr/>
      </w:pPr>
      <w:r>
        <w:rPr>
          <w:rFonts w:ascii="Times New Roman" w:hAnsi="Times New Roman"/>
          <w:b/>
          <w:color w:val="000000"/>
          <w:sz w:val="22"/>
        </w:rPr>
        <w:t xml:space="preserve">Net loss: </w:t>
      </w:r>
      <w:r>
        <w:rPr>
          <w:rFonts w:ascii="Times New Roman" w:hAnsi="Times New Roman"/>
          <w:color w:val="000000"/>
          <w:sz w:val="22"/>
        </w:rPr>
        <w:t xml:space="preserve">GAAP net loss was ($18.0) million for the three months ended June 30, 2026, or ($0.13) per basic and diluted share, as compared to a GAAP net loss of ($25.9) million for the three months ended June 30, 2025, or ($0.49) per basic and diluted share. The lower net loss is primarily attributed to lower R&amp;D expenses as well absence of the $3.2 million lease impairment charge </w:t>
      </w:r>
    </w:p>
    <w:p>
      <w:pPr>
        <w:pStyle w:val="TextBody"/>
        <w:bidi w:val="0"/>
        <w:spacing w:before="120" w:after="283"/>
        <w:jc w:val="center"/>
        <w:rPr>
          <w:rFonts w:ascii="Times New Roman" w:hAnsi="Times New Roman"/>
          <w:color w:val="000000"/>
          <w:sz w:val="22"/>
        </w:rPr>
      </w:pPr>
      <w:r>
        <w:rPr>
          <w:rFonts w:ascii="Times New Roman" w:hAnsi="Times New Roman"/>
          <w:color w:val="000000"/>
          <w:sz w:val="22"/>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ind w:left="144" w:right="0" w:hanging="0"/>
        <w:jc w:val="left"/>
        <w:rPr>
          <w:rFonts w:ascii="Times New Roman" w:hAnsi="Times New Roman"/>
          <w:color w:val="000000"/>
          <w:sz w:val="22"/>
        </w:rPr>
      </w:pPr>
      <w:r>
        <w:rPr>
          <w:rFonts w:ascii="Times New Roman" w:hAnsi="Times New Roman"/>
          <w:color w:val="000000"/>
          <w:sz w:val="22"/>
        </w:rPr>
        <w:t>recorded in the three months ended June 30, 2025 related to leased lab space following the workforce reduction in preclinical research in March 2025. Non-GAAP net loss was ($14.3) million for the three months ended June 30, 2026, as compared to a non-GAAP net loss of ($20.6) million for the three months ended June 30, 2025. A reconciliation of GAAP to non-GAAP financial results can be found at the end of this news release.</w:t>
      </w:r>
    </w:p>
    <w:p>
      <w:pPr>
        <w:pStyle w:val="TextBody"/>
        <w:bidi w:val="0"/>
        <w:jc w:val="left"/>
        <w:rPr/>
      </w:pPr>
      <w:r>
        <w:rPr/>
        <w:t> </w:t>
      </w:r>
    </w:p>
    <w:p>
      <w:pPr>
        <w:pStyle w:val="TextBody"/>
        <w:bidi w:val="0"/>
        <w:ind w:left="144" w:right="0" w:firstLine="490"/>
        <w:jc w:val="left"/>
        <w:rPr>
          <w:rFonts w:ascii="Times New Roman" w:hAnsi="Times New Roman"/>
          <w:sz w:val="20"/>
        </w:rPr>
      </w:pPr>
      <w:r>
        <w:rPr>
          <w:rFonts w:ascii="Times New Roman" w:hAnsi="Times New Roman"/>
          <w:color w:val="000000"/>
          <w:sz w:val="22"/>
        </w:rPr>
        <w:t>ZIIHERA</w:t>
      </w:r>
      <w:r>
        <w:rPr>
          <w:rFonts w:ascii="Times New Roman" w:hAnsi="Times New Roman"/>
          <w:color w:val="000000"/>
          <w:sz w:val="15"/>
        </w:rPr>
        <w:t>®</w:t>
      </w:r>
      <w:r>
        <w:rPr>
          <w:rFonts w:ascii="Times New Roman" w:hAnsi="Times New Roman"/>
          <w:color w:val="000000"/>
          <w:sz w:val="20"/>
        </w:rPr>
        <w:t xml:space="preserve"> </w:t>
      </w:r>
      <w:r>
        <w:rPr>
          <w:rFonts w:ascii="Times New Roman" w:hAnsi="Times New Roman"/>
          <w:color w:val="000000"/>
          <w:sz w:val="22"/>
        </w:rPr>
        <w:t>and ENHERTU</w:t>
      </w:r>
      <w:r>
        <w:rPr>
          <w:rFonts w:ascii="Times New Roman" w:hAnsi="Times New Roman"/>
          <w:color w:val="000000"/>
          <w:sz w:val="15"/>
        </w:rPr>
        <w:t>®</w:t>
      </w:r>
      <w:r>
        <w:rPr>
          <w:rFonts w:ascii="Times New Roman" w:hAnsi="Times New Roman"/>
          <w:color w:val="000000"/>
          <w:sz w:val="20"/>
        </w:rPr>
        <w:t xml:space="preserve"> </w:t>
      </w:r>
      <w:r>
        <w:rPr>
          <w:rFonts w:ascii="Times New Roman" w:hAnsi="Times New Roman"/>
          <w:color w:val="000000"/>
          <w:sz w:val="22"/>
        </w:rPr>
        <w:t>are the registered trademarks of their respective owners.</w:t>
      </w:r>
    </w:p>
    <w:p>
      <w:pPr>
        <w:pStyle w:val="TextBody"/>
        <w:bidi w:val="0"/>
        <w:ind w:left="144" w:right="0" w:firstLine="49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About ALX Oncology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ALX Oncology (Nasdaq: ALXO) is a clinical-stage biotechnology company advancing a pipeline of novel therapies designed to treat cancer and extend patients’ lives. ALX Oncology’s lead therapeutic candidate, evorpacept, has demonstrated potential to serve as a cornerstone therapy upon which the future of immuno-oncology can be built. Evorpacept is currently being evaluated across multiple ongoing clinical trials in a wide range of cancer indications. ALX Oncology’s second pipeline candidate, ALX2004, is a novel EGFR-targeted antibody-drug conjugate with a differentiated mechanism of action. A Phase 1, dose-escalation trial of ALX2004 is ongoing in patients with EGFR-expressing solid tumors. More information is available at </w:t>
      </w:r>
      <w:r>
        <w:rPr>
          <w:rFonts w:ascii="Times New Roman" w:hAnsi="Times New Roman"/>
          <w:sz w:val="22"/>
        </w:rPr>
        <w:t>www.alxoncology.com</w:t>
      </w:r>
      <w:r>
        <w:rPr>
          <w:rFonts w:ascii="Times New Roman" w:hAnsi="Times New Roman"/>
          <w:color w:val="000000"/>
          <w:sz w:val="20"/>
        </w:rPr>
        <w:t xml:space="preserve"> </w:t>
      </w:r>
      <w:r>
        <w:rPr>
          <w:rFonts w:ascii="Times New Roman" w:hAnsi="Times New Roman"/>
          <w:color w:val="000000"/>
          <w:sz w:val="22"/>
        </w:rPr>
        <w:t xml:space="preserve">and on </w:t>
      </w:r>
      <w:r>
        <w:rPr>
          <w:rFonts w:ascii="Times New Roman" w:hAnsi="Times New Roman"/>
          <w:sz w:val="22"/>
        </w:rPr>
        <w:t>LinkedIn</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sz w:val="22"/>
        </w:rPr>
        <w:t>X</w:t>
      </w:r>
      <w:r>
        <w:rPr>
          <w:rFonts w:ascii="Times New Roman" w:hAnsi="Times New Roman"/>
          <w:color w:val="000000"/>
          <w:sz w:val="22"/>
        </w:rPr>
        <w:t>.</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Cautionary Note Regarding Forward-Looking Statements</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This press release contains forward-looking statements that involve substantial risks and uncertainties. Forward-looking statements include statements regarding future results of operations and financial position, business strategy, product candidates, planned preclinical studies and clinical trials, results of clinical trials, research and development costs, regulatory approvals, timing and likelihood of success, plans and objectives of management for future operations, as well as statements regarding industry trends. Such forward-looking statements are based on ALX Oncology’s beliefs and assumptions and on information currently available to it on the date of this press release. Forward-looking statements may involve known and unknown risks, uncertainties and other factors that may cause ALX Oncology’s actual results, performance or achievements to be materially different from those expressed or implied by the forward-looking statements. These and other risks are described more fully in ALX Oncology’s filings with the Securities and Exchange Commission (SEC), including ALX Oncology’s Annual Reports on Form 10-K, Quarterly Reports on Form 10-Q and other documents ALX Oncology files with the SEC from time to time. Except to the extent required by law, ALX Oncology undertakes no obligation to update such statements to reflect events that occur or circumstances that exist after the date on which they were made.</w:t>
      </w:r>
    </w:p>
    <w:p>
      <w:pPr>
        <w:pStyle w:val="TextBody"/>
        <w:bidi w:val="0"/>
        <w:spacing w:before="120" w:after="283"/>
        <w:jc w:val="left"/>
        <w:rPr/>
      </w:pPr>
      <w:r>
        <w:rPr/>
        <w:t> </w:t>
      </w:r>
    </w:p>
    <w:p>
      <w:pPr>
        <w:pStyle w:val="TextBody"/>
        <w:bidi w:val="0"/>
        <w:spacing w:before="120" w:after="283"/>
        <w:jc w:val="center"/>
        <w:rPr>
          <w:rFonts w:ascii="Times New Roman" w:hAnsi="Times New Roman"/>
          <w:color w:val="000000"/>
          <w:sz w:val="22"/>
        </w:rPr>
      </w:pPr>
      <w:r>
        <w:rPr>
          <w:rFonts w:ascii="Times New Roman" w:hAnsi="Times New Roman"/>
          <w:color w:val="000000"/>
          <w:sz w:val="22"/>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ALX ONCOLOGY HOLDINGS INC.</w:t>
      </w:r>
    </w:p>
    <w:p>
      <w:pPr>
        <w:pStyle w:val="TextBody"/>
        <w:bidi w:val="0"/>
        <w:jc w:val="center"/>
        <w:rPr>
          <w:rFonts w:ascii="Times New Roman" w:hAnsi="Times New Roman"/>
          <w:sz w:val="20"/>
        </w:rPr>
      </w:pPr>
      <w:bookmarkStart w:id="4" w:name="condensed_consolidated_statements_operat"/>
      <w:bookmarkEnd w:id="4"/>
      <w:r>
        <w:rPr>
          <w:rFonts w:ascii="Times New Roman" w:hAnsi="Times New Roman"/>
          <w:b/>
          <w:color w:val="000000"/>
          <w:sz w:val="22"/>
        </w:rPr>
        <w:t>Consolidated Statements of</w:t>
      </w:r>
      <w:r>
        <w:rPr>
          <w:rFonts w:ascii="Times New Roman" w:hAnsi="Times New Roman"/>
          <w:color w:val="000000"/>
          <w:sz w:val="20"/>
        </w:rPr>
        <w:t xml:space="preserve"> </w:t>
      </w:r>
      <w:r>
        <w:rPr>
          <w:rFonts w:ascii="Times New Roman" w:hAnsi="Times New Roman"/>
          <w:b/>
          <w:color w:val="000000"/>
          <w:sz w:val="22"/>
        </w:rPr>
        <w:t>Operations</w:t>
      </w:r>
    </w:p>
    <w:p>
      <w:pPr>
        <w:pStyle w:val="TextBody"/>
        <w:bidi w:val="0"/>
        <w:jc w:val="center"/>
        <w:rPr>
          <w:rFonts w:ascii="Times New Roman" w:hAnsi="Times New Roman"/>
          <w:color w:val="000000"/>
          <w:sz w:val="22"/>
        </w:rPr>
      </w:pPr>
      <w:r>
        <w:rPr>
          <w:rFonts w:ascii="Times New Roman" w:hAnsi="Times New Roman"/>
          <w:color w:val="000000"/>
          <w:sz w:val="22"/>
        </w:rPr>
        <w:t>(unaudited)</w:t>
      </w:r>
    </w:p>
    <w:p>
      <w:pPr>
        <w:pStyle w:val="TextBody"/>
        <w:bidi w:val="0"/>
        <w:jc w:val="center"/>
        <w:rPr>
          <w:rFonts w:ascii="Times New Roman" w:hAnsi="Times New Roman"/>
          <w:sz w:val="20"/>
        </w:rPr>
      </w:pPr>
      <w:r>
        <w:rPr>
          <w:rFonts w:ascii="Times New Roman" w:hAnsi="Times New Roman"/>
          <w:color w:val="000000"/>
          <w:sz w:val="22"/>
        </w:rPr>
        <w:t>(in thousands, except share and per share amounts)</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334"/>
        <w:gridCol w:w="146"/>
        <w:gridCol w:w="211"/>
        <w:gridCol w:w="1141"/>
        <w:gridCol w:w="166"/>
        <w:gridCol w:w="146"/>
        <w:gridCol w:w="211"/>
        <w:gridCol w:w="1036"/>
        <w:gridCol w:w="166"/>
        <w:gridCol w:w="146"/>
        <w:gridCol w:w="211"/>
        <w:gridCol w:w="1141"/>
        <w:gridCol w:w="166"/>
        <w:gridCol w:w="146"/>
        <w:gridCol w:w="211"/>
        <w:gridCol w:w="1036"/>
        <w:gridCol w:w="591"/>
      </w:tblGrid>
      <w:tr>
        <w:trPr/>
        <w:tc>
          <w:tcPr>
            <w:tcW w:w="33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34"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41,910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34"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13,383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34"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Lease termination (gain) and impairment charge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334"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58,468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(58,468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34"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34"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34"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34"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Loss on debt extinguishment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(17,971</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(25,949</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(35,898</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(56,703</w:t>
            </w:r>
          </w:p>
        </w:tc>
        <w:tc>
          <w:tcPr>
            <w:tcW w:w="5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of common stock used to compute net loss per shares,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135,639,684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53,445,631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120,097,125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54,031,176</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Consolidated Balance Sheet Data</w:t>
      </w:r>
    </w:p>
    <w:p>
      <w:pPr>
        <w:pStyle w:val="TextBody"/>
        <w:bidi w:val="0"/>
        <w:jc w:val="center"/>
        <w:rPr>
          <w:rFonts w:ascii="Times New Roman" w:hAnsi="Times New Roman"/>
          <w:color w:val="000000"/>
          <w:sz w:val="22"/>
        </w:rPr>
      </w:pPr>
      <w:r>
        <w:rPr>
          <w:rFonts w:ascii="Times New Roman" w:hAnsi="Times New Roman"/>
          <w:color w:val="000000"/>
          <w:sz w:val="22"/>
        </w:rPr>
        <w:t>(unaudited)</w:t>
      </w:r>
    </w:p>
    <w:p>
      <w:pPr>
        <w:pStyle w:val="TextBody"/>
        <w:bidi w:val="0"/>
        <w:jc w:val="center"/>
        <w:rPr>
          <w:rFonts w:ascii="Times New Roman" w:hAnsi="Times New Roman"/>
          <w:color w:val="000000"/>
          <w:sz w:val="22"/>
        </w:rPr>
      </w:pPr>
      <w:r>
        <w:rPr>
          <w:rFonts w:ascii="Times New Roman" w:hAnsi="Times New Roman"/>
          <w:color w:val="000000"/>
          <w:sz w:val="22"/>
        </w:rPr>
        <w:t>(in thousands)</w:t>
      </w:r>
    </w:p>
    <w:p>
      <w:pPr>
        <w:pStyle w:val="TextBody"/>
        <w:bidi w:val="0"/>
        <w:jc w:val="center"/>
        <w:rPr/>
      </w:pPr>
      <w:r>
        <w:rPr/>
        <w:t> </w:t>
      </w:r>
    </w:p>
    <w:tbl>
      <w:tblPr>
        <w:tblW w:w="6312" w:type="dxa"/>
        <w:jc w:val="left"/>
        <w:tblInd w:w="0" w:type="dxa"/>
        <w:tblLayout w:type="fixed"/>
        <w:tblCellMar>
          <w:top w:w="28" w:type="dxa"/>
          <w:left w:w="28" w:type="dxa"/>
          <w:bottom w:w="28" w:type="dxa"/>
          <w:right w:w="28" w:type="dxa"/>
        </w:tblCellMar>
      </w:tblPr>
      <w:tblGrid>
        <w:gridCol w:w="3331"/>
        <w:gridCol w:w="146"/>
        <w:gridCol w:w="211"/>
        <w:gridCol w:w="841"/>
        <w:gridCol w:w="166"/>
        <w:gridCol w:w="146"/>
        <w:gridCol w:w="252"/>
        <w:gridCol w:w="1008"/>
        <w:gridCol w:w="211"/>
      </w:tblGrid>
      <w:tr>
        <w:trPr/>
        <w:tc>
          <w:tcPr>
            <w:tcW w:w="3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153,376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48,284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160,550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59,046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33,065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(758,715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(722,817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136,187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25,981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120" w:after="283"/>
        <w:jc w:val="center"/>
        <w:rPr>
          <w:rFonts w:ascii="Times New Roman" w:hAnsi="Times New Roman"/>
          <w:color w:val="000000"/>
          <w:sz w:val="22"/>
        </w:rPr>
      </w:pPr>
      <w:r>
        <w:rPr>
          <w:rFonts w:ascii="Times New Roman" w:hAnsi="Times New Roman"/>
          <w:color w:val="000000"/>
          <w:sz w:val="22"/>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2"/>
        </w:rPr>
        <w:t>GAAP to Non-GAAP Reconciliation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22"/>
        </w:rPr>
        <w:t>(unaudited)</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(in thousands)</w:t>
      </w:r>
    </w:p>
    <w:p>
      <w:pPr>
        <w:pStyle w:val="TextBody"/>
        <w:bidi w:val="0"/>
        <w:jc w:val="center"/>
        <w:rPr/>
      </w:pPr>
      <w:r>
        <w:rPr/>
        <w:t> </w:t>
      </w:r>
    </w:p>
    <w:tbl>
      <w:tblPr>
        <w:tblW w:w="9677" w:type="dxa"/>
        <w:jc w:val="left"/>
        <w:tblInd w:w="0" w:type="dxa"/>
        <w:tblLayout w:type="fixed"/>
        <w:tblCellMar>
          <w:top w:w="28" w:type="dxa"/>
          <w:left w:w="28" w:type="dxa"/>
          <w:bottom w:w="28" w:type="dxa"/>
          <w:right w:w="28" w:type="dxa"/>
        </w:tblCellMar>
      </w:tblPr>
      <w:tblGrid>
        <w:gridCol w:w="4416"/>
        <w:gridCol w:w="146"/>
        <w:gridCol w:w="211"/>
        <w:gridCol w:w="736"/>
        <w:gridCol w:w="166"/>
        <w:gridCol w:w="146"/>
        <w:gridCol w:w="211"/>
        <w:gridCol w:w="736"/>
        <w:gridCol w:w="166"/>
        <w:gridCol w:w="146"/>
        <w:gridCol w:w="211"/>
        <w:gridCol w:w="736"/>
        <w:gridCol w:w="166"/>
        <w:gridCol w:w="146"/>
        <w:gridCol w:w="211"/>
        <w:gridCol w:w="736"/>
        <w:gridCol w:w="391"/>
      </w:tblGrid>
      <w:tr>
        <w:trPr/>
        <w:tc>
          <w:tcPr>
            <w:tcW w:w="4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GAAP net loss, as reported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(56,703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41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1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1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Accretion of term loan discount and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1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Lease termination (gain) and impairment charge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1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Loss on disposal of fixed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1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Loss on early debt extinguishment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1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10,663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(46,040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Use of Non-GAAP Financial Measures</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We supplement our consolidated financial statements presented on a GAAP basis by providing additional measures which may be considered “non-GAAP” financial measures under applicable SEC rules. We believe that the disclosure of these non-GAAP financial measures provides our investors with additional information that reflects the amounts and financial basis upon which our management assesses and operates our business. These non-GAAP financial measures are not in accordance with generally accepted accounting principles and should not be viewed in isolation or as a substitute for reported, or GAAP, net loss, and are not a substitute for, or superior to, measures of financial performance performed in conformity with GAAP.</w:t>
      </w:r>
    </w:p>
    <w:p>
      <w:pPr>
        <w:pStyle w:val="TextBody"/>
        <w:bidi w:val="0"/>
        <w:jc w:val="left"/>
        <w:rPr/>
      </w:pPr>
      <w:r>
        <w:rPr/>
        <w:t> </w:t>
      </w:r>
    </w:p>
    <w:p>
      <w:pPr>
        <w:pStyle w:val="TextBody"/>
        <w:bidi w:val="0"/>
        <w:jc w:val="left"/>
        <w:rPr>
          <w:color w:val="000000"/>
        </w:rPr>
      </w:pPr>
      <w:r>
        <w:rPr>
          <w:color w:val="000000"/>
        </w:rPr>
        <w:t>“</w:t>
      </w:r>
      <w:r>
        <w:rPr>
          <w:rFonts w:ascii="Times New Roman" w:hAnsi="Times New Roman"/>
          <w:color w:val="000000"/>
          <w:sz w:val="22"/>
        </w:rPr>
        <w:t>Non-GAAP net loss” is not based on any standardized methodology prescribed by GAAP and represents GAAP net loss adjusted to exclude stock-based compensation expense and accretion of term loan discount and issuance costs. Non-GAAP financial measures used by ALX Oncology may be calculated differently from, and therefore may not be comparable to, non-GAAP measures used by other companies.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2"/>
        </w:rPr>
        <w:t>Investor Relations Contact:</w:t>
      </w:r>
      <w:r>
        <w:rPr>
          <w:rFonts w:ascii="Times New Roman" w:hAnsi="Times New Roman"/>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Kevin Lui</w:t>
      </w:r>
    </w:p>
    <w:p>
      <w:pPr>
        <w:pStyle w:val="TextBody"/>
        <w:bidi w:val="0"/>
        <w:jc w:val="left"/>
        <w:rPr>
          <w:rFonts w:ascii="Times New Roman" w:hAnsi="Times New Roman"/>
          <w:color w:val="000000"/>
          <w:sz w:val="22"/>
        </w:rPr>
      </w:pPr>
      <w:r>
        <w:rPr>
          <w:rFonts w:ascii="Times New Roman" w:hAnsi="Times New Roman"/>
          <w:color w:val="000000"/>
          <w:sz w:val="22"/>
        </w:rPr>
        <w:t>Director, Investor Relations</w:t>
      </w:r>
    </w:p>
    <w:p>
      <w:pPr>
        <w:pStyle w:val="TextBody"/>
        <w:bidi w:val="0"/>
        <w:jc w:val="left"/>
        <w:rPr>
          <w:rFonts w:ascii="Times New Roman" w:hAnsi="Times New Roman"/>
          <w:b/>
          <w:color w:val="000000"/>
          <w:sz w:val="22"/>
        </w:rPr>
      </w:pPr>
      <w:r>
        <w:rPr>
          <w:rFonts w:ascii="Times New Roman" w:hAnsi="Times New Roman"/>
          <w:b/>
          <w:color w:val="000000"/>
          <w:sz w:val="22"/>
        </w:rPr>
        <w:t>Precision AQ</w:t>
      </w:r>
    </w:p>
    <w:p>
      <w:pPr>
        <w:pStyle w:val="TextBody"/>
        <w:bidi w:val="0"/>
        <w:jc w:val="left"/>
        <w:rPr>
          <w:rFonts w:ascii="Times New Roman" w:hAnsi="Times New Roman"/>
          <w:color w:val="000000"/>
          <w:sz w:val="22"/>
          <w:u w:val="single"/>
        </w:rPr>
      </w:pPr>
      <w:r>
        <w:rPr>
          <w:rFonts w:ascii="Times New Roman" w:hAnsi="Times New Roman"/>
          <w:color w:val="000000"/>
          <w:sz w:val="22"/>
          <w:u w:val="single"/>
        </w:rPr>
        <w:t>kevin.lui@precisionaq.com</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2"/>
        </w:rPr>
        <w:t>Media Contact:</w:t>
      </w:r>
      <w:r>
        <w:rPr>
          <w:rFonts w:ascii="Times New Roman" w:hAnsi="Times New Roman"/>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Genevieve Britton</w:t>
      </w:r>
    </w:p>
    <w:p>
      <w:pPr>
        <w:pStyle w:val="TextBody"/>
        <w:bidi w:val="0"/>
        <w:jc w:val="left"/>
        <w:rPr>
          <w:rFonts w:ascii="Times New Roman" w:hAnsi="Times New Roman"/>
          <w:color w:val="000000"/>
          <w:sz w:val="22"/>
        </w:rPr>
      </w:pPr>
      <w:r>
        <w:rPr>
          <w:rFonts w:ascii="Times New Roman" w:hAnsi="Times New Roman"/>
          <w:color w:val="000000"/>
          <w:sz w:val="22"/>
        </w:rPr>
        <w:t>Senior Director, Public Relations</w:t>
      </w:r>
    </w:p>
    <w:p>
      <w:pPr>
        <w:pStyle w:val="TextBody"/>
        <w:bidi w:val="0"/>
        <w:jc w:val="left"/>
        <w:rPr>
          <w:rFonts w:ascii="Times New Roman" w:hAnsi="Times New Roman"/>
          <w:b/>
          <w:color w:val="000000"/>
          <w:sz w:val="22"/>
        </w:rPr>
      </w:pPr>
      <w:r>
        <w:rPr>
          <w:rFonts w:ascii="Times New Roman" w:hAnsi="Times New Roman"/>
          <w:b/>
          <w:color w:val="000000"/>
          <w:sz w:val="22"/>
        </w:rPr>
        <w:t>Precision AQ</w:t>
      </w:r>
    </w:p>
    <w:p>
      <w:pPr>
        <w:pStyle w:val="TextBody"/>
        <w:bidi w:val="0"/>
        <w:jc w:val="left"/>
        <w:rPr>
          <w:rFonts w:ascii="Times New Roman" w:hAnsi="Times New Roman"/>
          <w:color w:val="000000"/>
          <w:sz w:val="22"/>
          <w:u w:val="single"/>
        </w:rPr>
      </w:pPr>
      <w:r>
        <w:rPr>
          <w:rFonts w:ascii="Times New Roman" w:hAnsi="Times New Roman"/>
          <w:color w:val="000000"/>
          <w:sz w:val="22"/>
          <w:u w:val="single"/>
        </w:rPr>
        <w:t>genevieve.britton@precisionaq.com</w:t>
      </w:r>
    </w:p>
    <w:p>
      <w:pPr>
        <w:pStyle w:val="TextBody"/>
        <w:bidi w:val="0"/>
        <w:spacing w:before="120" w:after="283"/>
        <w:jc w:val="center"/>
        <w:rPr>
          <w:rFonts w:ascii="Times New Roman" w:hAnsi="Times New Roman"/>
          <w:color w:val="000000"/>
          <w:sz w:val="22"/>
        </w:rPr>
      </w:pPr>
      <w:r>
        <w:rPr>
          <w:rFonts w:ascii="Times New Roman" w:hAnsi="Times New Roman"/>
          <w:color w:val="000000"/>
          <w:sz w:val="22"/>
        </w:rPr>
        <w:t>5</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2427</Words>
  <Characters>13761</Characters>
  <CharactersWithSpaces>16242</CharactersWithSpaces>
  <Paragraphs>693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