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40509.htm"/>
      <w:bookmarkStart w:id="1" w:name="ksalxo20240509"/>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May 9, 2024</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center"/>
              <w:rPr/>
            </w:pPr>
            <w:r>
              <w:rPr/>
              <w:t> </w:t>
            </w:r>
          </w:p>
        </w:tc>
      </w:tr>
      <w:tr>
        <w:trPr/>
        <w:tc>
          <w:tcPr>
            <w:tcW w:w="2821" w:type="dxa"/>
            <w:tcBorders/>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650-466-7125</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Nasdaq </w:t>
            </w:r>
            <w:r>
              <w:rPr>
                <w:rFonts w:ascii="Times New Roman" w:hAnsi="Times New Roman"/>
                <w:color w:val="212529"/>
                <w:sz w:val="20"/>
              </w:rPr>
              <w:t>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9, 2024, ALX Oncology Holdings Inc. (the "Company"), issued a press release announcing its financial results for the first quarter ended March 31, 2024. A copy of this press release is furnished as Exhibit 99.1 to this Current Report on Form 8-K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706"/>
        <w:gridCol w:w="146"/>
        <w:gridCol w:w="502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lxo-ex99_1.htm">
              <w:r>
                <w:rPr>
                  <w:rStyle w:val="InternetLink"/>
                  <w:rFonts w:ascii="Times New Roman" w:hAnsi="Times New Roman"/>
                  <w:color w:val="0000FF"/>
                  <w:sz w:val="20"/>
                  <w:u w:val="single"/>
                </w:rPr>
                <w:t>Press Release dated May 9,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37" w:type="dxa"/>
        <w:jc w:val="left"/>
        <w:tblInd w:w="0" w:type="dxa"/>
        <w:tblLayout w:type="fixed"/>
        <w:tblCellMar>
          <w:top w:w="28" w:type="dxa"/>
          <w:left w:w="28" w:type="dxa"/>
          <w:bottom w:w="28" w:type="dxa"/>
          <w:right w:w="28" w:type="dxa"/>
        </w:tblCellMar>
      </w:tblPr>
      <w:tblGrid>
        <w:gridCol w:w="1636"/>
        <w:gridCol w:w="146"/>
        <w:gridCol w:w="527"/>
        <w:gridCol w:w="2728"/>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Garcia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Peter Garcia</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alxo-ex99_1.htm"/>
      <w:bookmarkStart w:id="3" w:name="ksalxoex99_1"/>
      <w:bookmarkEnd w:id="2"/>
      <w:bookmarkEnd w:id="3"/>
      <w:r>
        <w:rPr/>
        <w:t> </w:t>
      </w:r>
      <w:r>
        <w:br w:type="page"/>
      </w:r>
    </w:p>
    <w:tbl>
      <w:tblPr>
        <w:tblW w:w="4677" w:type="dxa"/>
        <w:jc w:val="left"/>
        <w:tblInd w:w="0" w:type="dxa"/>
        <w:tblLayout w:type="fixed"/>
        <w:tblCellMar>
          <w:top w:w="28" w:type="dxa"/>
          <w:left w:w="28" w:type="dxa"/>
          <w:bottom w:w="28" w:type="dxa"/>
          <w:right w:w="28" w:type="dxa"/>
        </w:tblCellMar>
      </w:tblPr>
      <w:tblGrid>
        <w:gridCol w:w="3341"/>
        <w:gridCol w:w="1336"/>
      </w:tblGrid>
      <w:tr>
        <w:trPr/>
        <w:tc>
          <w:tcPr>
            <w:tcW w:w="33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drawing>
                <wp:inline distT="0" distB="0" distL="0" distR="0">
                  <wp:extent cx="2019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742950"/>
                          </a:xfrm>
                          <a:prstGeom prst="rect">
                            <a:avLst/>
                          </a:prstGeom>
                        </pic:spPr>
                      </pic:pic>
                    </a:graphicData>
                  </a:graphic>
                </wp:inline>
              </w:drawing>
            </w:r>
            <w:r>
              <w:rPr/>
              <w:t> </w:t>
            </w:r>
          </w:p>
        </w:tc>
        <w:tc>
          <w:tcPr>
            <w:tcW w:w="1336" w:type="dxa"/>
            <w:tcBorders/>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ALX Oncology Reports First Quarter 2024 Financial Results and Provides Corporate Update</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2"/>
        </w:rPr>
        <w:t xml:space="preserve">SOUTH SAN FRANCISCO, Calif., May 9, 2024 (GLOBE NEWSWIRE) -- </w:t>
      </w:r>
      <w:r>
        <w:rPr>
          <w:rFonts w:ascii="Times New Roman" w:hAnsi="Times New Roman"/>
          <w:color w:val="000000"/>
          <w:sz w:val="22"/>
        </w:rPr>
        <w:t>ALX Oncology Holdings Inc., (“ALX Oncology” or the “Company”) (Nasdaq: ALXO), an immuno-oncology company developing therapies that block the CD47 immune checkpoint pathway, today reported financial results for the first quarter ended March 31, 2024, and provided a corporate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We entered the quarter with a great deal of momentum having achieved a key validating development milestone for our platform asset evorpacept in Q4 2023 by reporting positive results in a prespecified randomized interim analysis of ASPEN-06’s Phase 2 clinical trial in advanced HER2-positive gastric/GEJ cancer, becoming the first CD47 blocker to demonstrate anti-tumor activity in a global randomized study in solid tumors,” said Jason Lettmann, Chief Executive Officer of ALX Oncology. “On the heels of this outstanding accomplishment, our first quarter efforts were focused on ensuring optimal clinical and operational execution as we advance our robust and maturing clinical-stage pipeline of best-in-class oncology programs that are reporting multiple value inflection datapoints in the coming months.”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First Quarter 2024 Highlights and Recent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Reported positive data from an ongoing investigator-sponsored trial (“IST”) Phase 1/2 clinical trial of evorpacept in combination with standard-of-care in patients with relapsed or refractory B-cell non-Hodgkin lymphoma (“R/R B-NHL”) in an oral presentation at the American Association for Cancer Research Annual Meeting on April 9, 2024, in San Diego.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color w:val="000000"/>
          <w:sz w:val="22"/>
        </w:rPr>
        <w:t>Twenty patients with indolent (n=18) and aggressive (n=2) R/R B-NHL received evorpacept plus standard rituximab and lenalidomide (“R</w:t>
      </w:r>
      <w:r>
        <w:rPr>
          <w:rFonts w:ascii="Times New Roman" w:hAnsi="Times New Roman"/>
          <w:color w:val="000000"/>
          <w:sz w:val="15"/>
        </w:rPr>
        <w:t>2</w:t>
      </w:r>
      <w:r>
        <w:rPr>
          <w:color w:val="000000"/>
        </w:rPr>
        <w:t>”</w:t>
      </w:r>
      <w:r>
        <w:rPr>
          <w:rFonts w:ascii="Times New Roman" w:hAnsi="Times New Roman"/>
          <w:color w:val="000000"/>
          <w:sz w:val="22"/>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color w:val="000000"/>
          <w:sz w:val="22"/>
        </w:rPr>
        <w:t>Evorpacept plus R</w:t>
      </w:r>
      <w:r>
        <w:rPr>
          <w:rFonts w:ascii="Times New Roman" w:hAnsi="Times New Roman"/>
          <w:color w:val="000000"/>
          <w:sz w:val="15"/>
        </w:rPr>
        <w:t>2</w:t>
      </w:r>
      <w:r>
        <w:rPr>
          <w:color w:val="000000"/>
        </w:rPr>
        <w:t xml:space="preserve"> </w:t>
      </w:r>
      <w:r>
        <w:rPr>
          <w:rFonts w:ascii="Times New Roman" w:hAnsi="Times New Roman"/>
          <w:color w:val="000000"/>
          <w:sz w:val="22"/>
        </w:rPr>
        <w:t>was well tolerated with a safety profile similar to historical R</w:t>
      </w:r>
      <w:r>
        <w:rPr>
          <w:rFonts w:ascii="Times New Roman" w:hAnsi="Times New Roman"/>
          <w:color w:val="000000"/>
          <w:sz w:val="15"/>
        </w:rPr>
        <w:t>2</w:t>
      </w:r>
      <w:r>
        <w:rPr>
          <w:rFonts w:ascii="Times New Roman" w:hAnsi="Times New Roman"/>
          <w:color w:val="000000"/>
          <w:sz w:val="22"/>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color w:val="000000"/>
          <w:sz w:val="22"/>
        </w:rPr>
        <w:t>The combination achieved promising initial activity with a best overall response rate (“ORR”) of 94% and a complete response rate (“CRR”) of 83% in patients with indolent R/R B-NHL (R</w:t>
      </w:r>
      <w:r>
        <w:rPr>
          <w:rFonts w:ascii="Times New Roman" w:hAnsi="Times New Roman"/>
          <w:color w:val="000000"/>
          <w:sz w:val="15"/>
        </w:rPr>
        <w:t>2</w:t>
      </w:r>
      <w:r>
        <w:rPr>
          <w:color w:val="000000"/>
        </w:rPr>
        <w:t xml:space="preserve"> </w:t>
      </w:r>
      <w:r>
        <w:rPr>
          <w:rFonts w:ascii="Times New Roman" w:hAnsi="Times New Roman"/>
          <w:color w:val="000000"/>
          <w:sz w:val="22"/>
        </w:rPr>
        <w:t xml:space="preserve">historical CRR benchmark is 34%).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clinical trial is conducted and sponsored by the University of Texas MD Anderson Cancer Center.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Received acceptance of two evorpacept abstracts from the 2024 American Society of Cancer Oncology (“ASCO”) Annual Meeting taking place in Chicago from May 31-June 4, 2024.</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b/>
          <w:color w:val="000000"/>
          <w:sz w:val="22"/>
        </w:rPr>
        <w:t>Evorpacept plus enfortumab vedotin in patients with locally advanced or metastatic urothelial carcinoma: Phase 1a dose escalation results</w:t>
      </w:r>
      <w:r>
        <w:rPr>
          <w:rFonts w:ascii="Times New Roman" w:hAnsi="Times New Roman"/>
          <w:color w:val="000000"/>
          <w:sz w:val="22"/>
        </w:rPr>
        <w:br/>
        <w:t>Session Type and Title: Poster Presentation – Genitourinary Cancer – Kidney and Bladder</w:t>
        <w:br/>
        <w:t>Session Date and Time: Sunday, June 2, 2024, 9:00 AM – 12:00 PM CDT</w:t>
        <w:br/>
        <w:t>Location: Hall A</w:t>
        <w:br/>
        <w:t>Abstract Number: 4575 (ALX Oncology Sponsored Clinical Trial)</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b/>
          <w:color w:val="000000"/>
          <w:sz w:val="22"/>
        </w:rPr>
        <w:t>Results of a Phase 2 study of evorpacept (ALX148), cetuximab and pembrolizumab in patients with refractory microsatellite stable metastatic colorectal cancer</w:t>
      </w:r>
      <w:r>
        <w:rPr>
          <w:rFonts w:ascii="Times New Roman" w:hAnsi="Times New Roman"/>
          <w:color w:val="000000"/>
          <w:sz w:val="22"/>
        </w:rPr>
        <w:br/>
        <w:t>Session Type and Title: Poster Presentation – Gastrointestinal Cancer – Colorectal and Anal</w:t>
        <w:br/>
      </w:r>
      <w:r>
        <w:rPr>
          <w:color w:val="000000"/>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Session Date and Time: Saturday, June 1, 2024, 1:30 PM – 4:30 PM CDT</w:t>
        <w:br/>
        <w:t>Location: Hall A</w:t>
        <w:br/>
        <w:t>Abstract Number: 3530 (IST conducted by the University of Colorado Cancer Center and sponsored by the Academic GI Cancer Consortium)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Announced initiation of a Phase 2 IST of neoadjuvant radiation and evorpacept in combination with KEYTRUDA® (pembrolizumab) in patients with previously untreated and early-stage locally advanced, resectable, human papillomavirus-mediated oropharyngeal cancer.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clinical trial is conducted and sponsored by the Hanna and Mark Gleiberman Head and Neck Cancer Center at the University of California, San Diego.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Announced appointment of Allison Dillon, Ph.D., as Chief Business Officer. </w:t>
      </w:r>
    </w:p>
    <w:p>
      <w:pPr>
        <w:pStyle w:val="TextBody"/>
        <w:bidi w:val="0"/>
        <w:spacing w:before="240" w:after="283"/>
        <w:jc w:val="both"/>
        <w:rPr>
          <w:rFonts w:ascii="Times New Roman" w:hAnsi="Times New Roman"/>
          <w:sz w:val="20"/>
        </w:rPr>
      </w:pPr>
      <w:r>
        <w:rPr>
          <w:rFonts w:ascii="Times New Roman" w:hAnsi="Times New Roman"/>
          <w:b/>
          <w:color w:val="000000"/>
          <w:sz w:val="22"/>
        </w:rPr>
        <w:t>Upcoming Clinical Milestones for Evorpacept’s Development Pipeline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Urothelial Carcinoma – Data from a Phase 1b ASPEN-07 clinical trial with PADCEV</w:t>
      </w:r>
      <w:r>
        <w:rPr>
          <w:rFonts w:ascii="Times New Roman" w:hAnsi="Times New Roman"/>
          <w:color w:val="000000"/>
          <w:sz w:val="15"/>
        </w:rPr>
        <w:t xml:space="preserve">® </w:t>
      </w:r>
      <w:r>
        <w:rPr>
          <w:rFonts w:ascii="Times New Roman" w:hAnsi="Times New Roman"/>
          <w:color w:val="000000"/>
          <w:sz w:val="22"/>
        </w:rPr>
        <w:t>(enfortumab vedotin-ejfv) (ASCO: Embargo to lift on full abstract May 23,2024; Poster to be presented on June 2,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Gastric/Gastroesophageal Junction (“GEJ”) Cancer – Top line results from all 122 subjects in a Phase 2 randomized clinical trial of ASPEN-06 (July 2024)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Breast Cancer – Top line results from a Phase 1b I-SPY TRIAL with ENHERTU</w:t>
      </w:r>
      <w:r>
        <w:rPr>
          <w:rFonts w:ascii="Times New Roman" w:hAnsi="Times New Roman"/>
          <w:color w:val="000000"/>
          <w:sz w:val="15"/>
        </w:rPr>
        <w:t>®</w:t>
      </w:r>
      <w:r>
        <w:rPr>
          <w:color w:val="000000"/>
        </w:rPr>
        <w:t xml:space="preserve"> </w:t>
      </w:r>
      <w:r>
        <w:rPr>
          <w:rFonts w:ascii="Times New Roman" w:hAnsi="Times New Roman"/>
          <w:color w:val="000000"/>
          <w:sz w:val="22"/>
        </w:rPr>
        <w:t>(fam-trastuzumab deruxtecan-nxki) (Q4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Head and Neck Squamous Cell Carcinoma – Top line results from a Phase 2 randomized clinical trial of ASPEN-03 with KEYTRUDA (Q4 2024/Q1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Head and Neck Squamous Cell Carcinoma – Top line results from a Phase 2 randomized clinical trial of ASPEN-04 with KEYTRUDA and chemotherapy (Q4 2024/Q1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Gastric/GEJ Cancer – Initiation of Phase 3 registrational randomized clinical trial for evorpacept (Q4 2024)</w:t>
      </w:r>
    </w:p>
    <w:p>
      <w:pPr>
        <w:pStyle w:val="TextBody"/>
        <w:bidi w:val="0"/>
        <w:spacing w:before="240" w:after="283"/>
        <w:jc w:val="left"/>
        <w:rPr>
          <w:rFonts w:ascii="Times New Roman" w:hAnsi="Times New Roman"/>
          <w:sz w:val="20"/>
        </w:rPr>
      </w:pPr>
      <w:r>
        <w:rPr>
          <w:rFonts w:ascii="Times New Roman" w:hAnsi="Times New Roman"/>
          <w:b/>
          <w:color w:val="000000"/>
          <w:sz w:val="22"/>
        </w:rPr>
        <w:t>First Quarter 2024 Financial Results: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Cash, Cash Equivalents and Investments: </w:t>
      </w:r>
      <w:r>
        <w:rPr>
          <w:rFonts w:ascii="Times New Roman" w:hAnsi="Times New Roman"/>
          <w:color w:val="000000"/>
          <w:sz w:val="22"/>
        </w:rPr>
        <w:t xml:space="preserve">Cash, cash equivalents and investments as of March 31, 2024, were $184.5 million. Subsequent to March 31, 2024, the Company issued additional shares of common stock under its at-the-market (“ATM”) offering for approximately $26.2 million in net proceeds, after deducting commissions. The Company believes its cash, cash equivalents and investments, recent proceeds from sales under its ATM offering, along with the ability to draw down an additional $40 million of its term loan are sufficient to fund planned operations well into Q1 2026.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Research and Development (“R&amp;D”) Expenses: </w:t>
      </w:r>
      <w:r>
        <w:rPr>
          <w:rFonts w:ascii="Times New Roman" w:hAnsi="Times New Roman"/>
          <w:color w:val="000000"/>
          <w:sz w:val="22"/>
        </w:rPr>
        <w:t xml:space="preserve">R&amp;D expenses consist primarily of pre-clinical, clinical and manufacturing expenses related to the development of the Company’s current lead product candidate, evorpacept, and R&amp;D employee-related expenses. These expenses for the three months ended March 31, 2024, were $31.7 million, compared to $24.8 million for the prior-year period. The $6.9 million increase was primarily attributable to increased clinical development costs from an increased number of active trials and patient enrollment as well as manufacturing of clinical trial materials to support a higher number of active clinical trials and future expected patient enrollment related to evorpacept, an increase of in personnel and related costs primarily driven by headcount growth, an increase in stock-based compensation expense related to a reclassification of stock-based compensation from G&amp;A to R&amp;D because of the change in roles for our former Chief Executive Officer who transitioned to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Chief Scientific Officer in September 2023, and an increase in other research costs primarily due to a development milestone payment related to ScalmiBio.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General and Administrative (“G&amp;A”) Expenses: </w:t>
      </w:r>
      <w:r>
        <w:rPr>
          <w:rFonts w:ascii="Times New Roman" w:hAnsi="Times New Roman"/>
          <w:color w:val="000000"/>
          <w:sz w:val="22"/>
        </w:rPr>
        <w:t>G&amp;A expenses consist primarily of administrative employee-related expenses, legal and other professional fees, patent filing and maintenance fees, and insurance. These expenses for the three months ended March 31, 2024, were $6.0 million, compared to $7.4 million for the prior year period. The $1.4 million decrease was primarily due to lower stock-compensation expense related to a reclassification of stock-based compensation which increased R&amp;D stock-based compensation as detailed under R&amp;D expenses.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color w:val="000000"/>
          <w:sz w:val="22"/>
        </w:rPr>
        <w:t xml:space="preserve">GAAP net loss was $35.6 million for the three months ended March 31, 2024, or ($0.71) per basic and diluted share, as compared to a GAAP net loss of $30.2 million for the three months ended March 31, 2023, or ($0.74) per basic and diluted share. Non-GAAP net loss was $28.5 million for the three months ended March 31, 2024, as compared to a non-GAAP net loss of $23.8 million for the three months ended March 31, 2023. A reconciliation of GAAP to non-GAAP financial results can be found at the end of this news release.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About ALX Oncology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next generation CD47 blocking therapeutic that combines a high-affinity CD47 binding domain with an inactivated, proprietary Fc domain. To date, evorpacept has been dosed in over 500 subjects and has demonstrated promising activity and a favorable tolerability profile across a range of hematologic and solid malignancies in combination with various leading anti-cancer antibodies. ALX Oncology is currently focusing on combining evorpacept with anti-cancer antibodies, antibody-drug conjugates (“ADCs”), and PD-1/PD-L1 immune checkpoint inhibitors.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Evorpacept’s Unique Profile: Anchored by a Rational Design and Dual Development Pillars</w:t>
      </w:r>
    </w:p>
    <w:p>
      <w:pPr>
        <w:pStyle w:val="TextBody"/>
        <w:bidi w:val="0"/>
        <w:spacing w:before="120" w:after="283"/>
        <w:jc w:val="left"/>
        <w:rPr>
          <w:rFonts w:ascii="Times New Roman" w:hAnsi="Times New Roman"/>
          <w:sz w:val="20"/>
        </w:rPr>
      </w:pPr>
      <w:r>
        <w:rPr>
          <w:rFonts w:ascii="Times New Roman" w:hAnsi="Times New Roman"/>
          <w:color w:val="000000"/>
          <w:sz w:val="22"/>
        </w:rPr>
        <w:t>Rationally engineered with an inactive Fc effector function, evorpacept’s clinical data to date has demonstrated a substantially improved safety profile over other anti-CD47 molecules in the clinic with an active Fc (i.e., binding the Fc gamma receptor on macrophages). This best-in-class safety profile allows for higher dosage with minimal overlapping toxicity in the combination treatment setting. CD47 expressed on cancer cells binds to its receptor SIRP alpha, which is predominantly expressed on two cell types: macrophages and dendritic cells. The Company’s pipeline of therapeutic candidates with standard-of-care agents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Anti-cancer antibodies (the “</w:t>
      </w:r>
      <w:r>
        <w:rPr>
          <w:rFonts w:ascii="Times New Roman" w:hAnsi="Times New Roman"/>
          <w:b/>
          <w:i/>
          <w:color w:val="000000"/>
          <w:sz w:val="22"/>
        </w:rPr>
        <w:t>don’t eat me</w:t>
      </w:r>
      <w:r>
        <w:rPr>
          <w:color w:val="000000"/>
        </w:rPr>
        <w:t xml:space="preserve">” </w:t>
      </w:r>
      <w:r>
        <w:rPr>
          <w:rFonts w:ascii="Times New Roman" w:hAnsi="Times New Roman"/>
          <w:b/>
          <w:color w:val="000000"/>
          <w:sz w:val="22"/>
        </w:rPr>
        <w:t>signal):</w:t>
      </w:r>
      <w:r>
        <w:rPr>
          <w:color w:val="000000"/>
        </w:rPr>
        <w:t xml:space="preserve"> </w:t>
      </w:r>
      <w:r>
        <w:rPr>
          <w:rFonts w:ascii="Times New Roman" w:hAnsi="Times New Roman"/>
          <w:color w:val="000000"/>
          <w:sz w:val="22"/>
        </w:rPr>
        <w:t>evorpacept enables Fc-mediated antibody-dependent phagocytosis by macrophages in combination with anti-cancer antibodies (e.g., Herceptin</w:t>
      </w:r>
      <w:r>
        <w:rPr>
          <w:rFonts w:ascii="Times New Roman" w:hAnsi="Times New Roman"/>
          <w:color w:val="000000"/>
          <w:sz w:val="15"/>
        </w:rPr>
        <w:t>®</w:t>
      </w:r>
      <w:r>
        <w:rPr>
          <w:rFonts w:ascii="Times New Roman" w:hAnsi="Times New Roman"/>
          <w:color w:val="000000"/>
          <w:sz w:val="22"/>
        </w:rPr>
        <w:t>) with an active Fc domain, which is otherwise impaired by CD47 expression on cancer cells binding to SIRP alpha on macrophages. This same mechanism of action applies to ADCs.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PD-1/PD-L1 immune checkpoint inhibitors (the “</w:t>
      </w:r>
      <w:r>
        <w:rPr>
          <w:rFonts w:ascii="Times New Roman" w:hAnsi="Times New Roman"/>
          <w:b/>
          <w:i/>
          <w:color w:val="000000"/>
          <w:sz w:val="22"/>
        </w:rPr>
        <w:t>don’t activate T-cells</w:t>
      </w:r>
      <w:r>
        <w:rPr>
          <w:color w:val="000000"/>
        </w:rPr>
        <w:t xml:space="preserve">” </w:t>
      </w:r>
      <w:r>
        <w:rPr>
          <w:rFonts w:ascii="Times New Roman" w:hAnsi="Times New Roman"/>
          <w:b/>
          <w:color w:val="000000"/>
          <w:sz w:val="22"/>
        </w:rPr>
        <w:t>signal)</w:t>
      </w:r>
      <w:r>
        <w:rPr>
          <w:rFonts w:ascii="Times New Roman" w:hAnsi="Times New Roman"/>
          <w:color w:val="000000"/>
          <w:sz w:val="22"/>
        </w:rPr>
        <w:t>: evorpacept enables T-cell activation by dendritic cells that are constitutively inhibited by CD47 expression on cancer cells binding to SIRP alpha on dendritic cells. Activated dendritic cells present neoantigens to T-cells that once activated will kill cancer cells when the PD-1/PD-L1 inhibitory interaction is blocked by T-cell checkpoint inhibitors.</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2"/>
        </w:rPr>
        <w:t>Condensed Consolidated Statements of</w:t>
      </w:r>
      <w:r>
        <w:rPr>
          <w:rFonts w:ascii="Times New Roman" w:hAnsi="Times New Roman"/>
          <w:color w:val="000000"/>
          <w:sz w:val="20"/>
        </w:rPr>
        <w:t xml:space="preserve"> </w:t>
      </w:r>
      <w:r>
        <w:rPr>
          <w:rFonts w:ascii="Times New Roman" w:hAnsi="Times New Roman"/>
          <w:b/>
          <w:color w:val="000000"/>
          <w:sz w:val="22"/>
        </w:rPr>
        <w:t>Operations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rFonts w:ascii="Times New Roman" w:hAnsi="Times New Roman"/>
          <w:sz w:val="20"/>
        </w:rPr>
      </w:pPr>
      <w:r>
        <w:rPr>
          <w:rFonts w:ascii="Times New Roman" w:hAnsi="Times New Roman"/>
          <w:color w:val="000000"/>
          <w:sz w:val="22"/>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7804" w:type="dxa"/>
        <w:jc w:val="left"/>
        <w:tblInd w:w="0" w:type="dxa"/>
        <w:tblLayout w:type="fixed"/>
        <w:tblCellMar>
          <w:top w:w="28" w:type="dxa"/>
          <w:left w:w="28" w:type="dxa"/>
          <w:bottom w:w="28" w:type="dxa"/>
          <w:right w:w="28" w:type="dxa"/>
        </w:tblCellMar>
      </w:tblPr>
      <w:tblGrid>
        <w:gridCol w:w="4261"/>
        <w:gridCol w:w="146"/>
        <w:gridCol w:w="211"/>
        <w:gridCol w:w="1036"/>
        <w:gridCol w:w="166"/>
        <w:gridCol w:w="146"/>
        <w:gridCol w:w="211"/>
        <w:gridCol w:w="1036"/>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91" w:type="dxa"/>
            <w:tcBorders/>
            <w:shd w:fill="FFFFFF" w:val="cle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(32,203</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40,862,513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 Data</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6312"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52"/>
        <w:gridCol w:w="1008"/>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218,147</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189,712</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GAAP to Non-GAAP Reconciliation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7159" w:type="dxa"/>
        <w:jc w:val="left"/>
        <w:tblInd w:w="0" w:type="dxa"/>
        <w:tblLayout w:type="fixed"/>
        <w:tblCellMar>
          <w:top w:w="28" w:type="dxa"/>
          <w:left w:w="28" w:type="dxa"/>
          <w:bottom w:w="28" w:type="dxa"/>
          <w:right w:w="28" w:type="dxa"/>
        </w:tblCellMar>
      </w:tblPr>
      <w:tblGrid>
        <w:gridCol w:w="4416"/>
        <w:gridCol w:w="146"/>
        <w:gridCol w:w="211"/>
        <w:gridCol w:w="736"/>
        <w:gridCol w:w="166"/>
        <w:gridCol w:w="146"/>
        <w:gridCol w:w="211"/>
        <w:gridCol w:w="736"/>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as reported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(30,184</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term loan discount and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120" w:after="283"/>
        <w:jc w:val="left"/>
        <w:rPr>
          <w:rFonts w:ascii="Times New Roman" w:hAnsi="Times New Roman"/>
          <w:sz w:val="20"/>
        </w:rPr>
      </w:pPr>
      <w:r>
        <w:rPr>
          <w:rFonts w:ascii="Times New Roman" w:hAnsi="Times New Roman"/>
          <w:color w:val="000000"/>
          <w:sz w:val="22"/>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r>
        <w:rPr>
          <w:rFonts w:ascii="Times New Roman" w:hAnsi="Times New Roman"/>
          <w:color w:val="000000"/>
          <w:sz w:val="22"/>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Investor and Media Contact: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Caitlyn Doherty</w:t>
      </w:r>
    </w:p>
    <w:p>
      <w:pPr>
        <w:pStyle w:val="TextBody"/>
        <w:bidi w:val="0"/>
        <w:jc w:val="left"/>
        <w:rPr>
          <w:rFonts w:ascii="Times New Roman" w:hAnsi="Times New Roman"/>
          <w:color w:val="000000"/>
          <w:sz w:val="22"/>
        </w:rPr>
      </w:pPr>
      <w:r>
        <w:rPr>
          <w:rFonts w:ascii="Times New Roman" w:hAnsi="Times New Roman"/>
          <w:color w:val="000000"/>
          <w:sz w:val="22"/>
        </w:rPr>
        <w:t>Manager, Investor Relations and Corporate Communications, ALX Oncology</w:t>
      </w:r>
    </w:p>
    <w:p>
      <w:pPr>
        <w:pStyle w:val="TextBody"/>
        <w:bidi w:val="0"/>
        <w:jc w:val="left"/>
        <w:rPr>
          <w:rFonts w:ascii="Times New Roman" w:hAnsi="Times New Roman"/>
          <w:sz w:val="20"/>
        </w:rPr>
      </w:pPr>
      <w:r>
        <w:rPr>
          <w:rFonts w:ascii="Times New Roman" w:hAnsi="Times New Roman"/>
          <w:sz w:val="22"/>
        </w:rPr>
        <w:t>cdoherty@alxoncology.com</w:t>
      </w:r>
      <w:r>
        <w:rPr>
          <w:rFonts w:ascii="Times New Roman" w:hAnsi="Times New Roman"/>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(650) 466-7125</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2592</Words>
  <Characters>14810</Characters>
  <CharactersWithSpaces>17376</CharactersWithSpaces>
  <Paragraphs>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