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June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3320" w:type="dxa"/>
            <w:vAlign w:val="bottom"/>
          </w:tcPr>
          <w:p>
            <w:pPr>
              <w:jc w:val="center"/>
              <w:ind w:right="801"/>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63"/>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5"/>
              </w:rPr>
              <w:t>(State or Other Jurisdiction</w:t>
            </w:r>
          </w:p>
        </w:tc>
        <w:tc>
          <w:tcPr>
            <w:tcW w:w="3620" w:type="dxa"/>
            <w:vAlign w:val="bottom"/>
          </w:tcPr>
          <w:p>
            <w:pPr>
              <w:spacing w:after="0"/>
              <w:rPr>
                <w:sz w:val="14"/>
                <w:szCs w:val="14"/>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6"/>
              </w:rPr>
              <w:t>of Incorporation)</w:t>
            </w:r>
          </w:p>
        </w:tc>
        <w:tc>
          <w:tcPr>
            <w:tcW w:w="3620" w:type="dxa"/>
            <w:vAlign w:val="bottom"/>
          </w:tcPr>
          <w:p>
            <w:pPr>
              <w:jc w:val="center"/>
              <w:ind w:right="261"/>
              <w:spacing w:after="0"/>
              <w:rPr>
                <w:sz w:val="20"/>
                <w:szCs w:val="20"/>
                <w:color w:val="auto"/>
              </w:rPr>
            </w:pPr>
            <w:r>
              <w:rPr>
                <w:rFonts w:ascii="Arial" w:cs="Arial" w:eastAsia="Arial" w:hAnsi="Arial"/>
                <w:sz w:val="13"/>
                <w:szCs w:val="13"/>
                <w:b w:val="1"/>
                <w:bCs w:val="1"/>
                <w:color w:val="auto"/>
                <w:w w:val="94"/>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320" w:type="dxa"/>
            <w:vAlign w:val="bottom"/>
          </w:tcPr>
          <w:p>
            <w:pPr>
              <w:ind w:left="300"/>
              <w:spacing w:after="0"/>
              <w:rPr>
                <w:sz w:val="20"/>
                <w:szCs w:val="20"/>
                <w:color w:val="auto"/>
              </w:rPr>
            </w:pPr>
            <w:r>
              <w:rPr>
                <w:rFonts w:ascii="Arial" w:cs="Arial" w:eastAsia="Arial" w:hAnsi="Arial"/>
                <w:sz w:val="18"/>
                <w:szCs w:val="18"/>
                <w:b w:val="1"/>
                <w:bCs w:val="1"/>
                <w:color w:val="auto"/>
              </w:rPr>
              <w:t>323 Allerton Avenue,</w:t>
            </w:r>
          </w:p>
        </w:tc>
        <w:tc>
          <w:tcPr>
            <w:tcW w:w="3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8"/>
        </w:trPr>
        <w:tc>
          <w:tcPr>
            <w:tcW w:w="3320" w:type="dxa"/>
            <w:vAlign w:val="bottom"/>
          </w:tcPr>
          <w:p>
            <w:pPr>
              <w:jc w:val="center"/>
              <w:ind w:right="781"/>
              <w:spacing w:after="0"/>
              <w:rPr>
                <w:sz w:val="20"/>
                <w:szCs w:val="20"/>
                <w:color w:val="auto"/>
              </w:rPr>
            </w:pPr>
            <w:r>
              <w:rPr>
                <w:rFonts w:ascii="Arial" w:cs="Arial" w:eastAsia="Arial" w:hAnsi="Arial"/>
                <w:sz w:val="18"/>
                <w:szCs w:val="18"/>
                <w:b w:val="1"/>
                <w:bCs w:val="1"/>
                <w:color w:val="auto"/>
                <w:w w:val="90"/>
              </w:rPr>
              <w:t>South San Francisco, California</w:t>
            </w:r>
          </w:p>
        </w:tc>
        <w:tc>
          <w:tcPr>
            <w:tcW w:w="3620" w:type="dxa"/>
            <w:vAlign w:val="bottom"/>
          </w:tcPr>
          <w:p>
            <w:pPr>
              <w:spacing w:after="0"/>
              <w:rPr>
                <w:sz w:val="21"/>
                <w:szCs w:val="21"/>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88"/>
        </w:trPr>
        <w:tc>
          <w:tcPr>
            <w:tcW w:w="3320" w:type="dxa"/>
            <w:vAlign w:val="bottom"/>
          </w:tcPr>
          <w:p>
            <w:pPr>
              <w:jc w:val="center"/>
              <w:ind w:right="8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20" w:type="dxa"/>
            <w:vAlign w:val="bottom"/>
          </w:tcPr>
          <w:p>
            <w:pPr>
              <w:spacing w:after="0"/>
              <w:rPr>
                <w:sz w:val="16"/>
                <w:szCs w:val="16"/>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17" w:lineRule="auto"/>
        <w:tabs>
          <w:tab w:leader="none" w:pos="4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3"/>
                <w:szCs w:val="13"/>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360" w:type="dxa"/>
            <w:vAlign w:val="bottom"/>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June 16, 2023, the Board of Directors (the “Board”) of ALX Oncology Holdings Inc. (the “Company”) approved the Company’s Amended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Restated Bylaws (the “Bylaws”) effective as of June 17, 2023. The Bylaws were amended and restated to, among other things:</w:t>
      </w:r>
    </w:p>
    <w:p>
      <w:pPr>
        <w:spacing w:after="0" w:line="103" w:lineRule="exact"/>
        <w:rPr>
          <w:sz w:val="20"/>
          <w:szCs w:val="20"/>
          <w:color w:val="auto"/>
        </w:rPr>
      </w:pPr>
    </w:p>
    <w:p>
      <w:pPr>
        <w:ind w:left="1020" w:right="60" w:hanging="503"/>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enhance procedural mechanics and disclosure requirements in connection with stockholder nominations of directors and submissions of proposals regarding other business at the Company’s annual meeting of stockholders (except for proposals properly made in accordance with Rule 14a-8 under the Securities Exchange Act of 1934, as amended (the “Exchange Act”)), including to reflect new “universal proxy rules” in accordance with Rule 14a-19 under the Exchange Act, to:</w:t>
      </w:r>
    </w:p>
    <w:p>
      <w:pPr>
        <w:spacing w:after="0" w:line="78" w:lineRule="exact"/>
        <w:rPr>
          <w:rFonts w:ascii="Arial" w:cs="Arial" w:eastAsia="Arial" w:hAnsi="Arial"/>
          <w:sz w:val="18"/>
          <w:szCs w:val="18"/>
          <w:color w:val="auto"/>
        </w:rPr>
      </w:pPr>
    </w:p>
    <w:p>
      <w:pPr>
        <w:ind w:left="1540" w:right="200" w:hanging="509"/>
        <w:spacing w:after="0" w:line="277" w:lineRule="auto"/>
        <w:rPr>
          <w:rFonts w:ascii="Arial" w:cs="Arial" w:eastAsia="Arial" w:hAnsi="Arial"/>
          <w:sz w:val="18"/>
          <w:szCs w:val="18"/>
          <w:color w:val="auto"/>
        </w:rPr>
      </w:pPr>
      <w:r>
        <w:rPr>
          <w:rFonts w:ascii="Arial" w:cs="Arial" w:eastAsia="Arial" w:hAnsi="Arial"/>
          <w:sz w:val="18"/>
          <w:szCs w:val="18"/>
          <w:color w:val="auto"/>
        </w:rPr>
        <w:t>orequire that stockholders making proposals or nominations are stockholders of record from the date of notice through the date of the Company’s annual meeting;</w:t>
      </w:r>
    </w:p>
    <w:p>
      <w:pPr>
        <w:spacing w:after="0" w:line="62" w:lineRule="exact"/>
        <w:rPr>
          <w:rFonts w:ascii="Arial" w:cs="Arial" w:eastAsia="Arial" w:hAnsi="Arial"/>
          <w:sz w:val="18"/>
          <w:szCs w:val="18"/>
          <w:color w:val="auto"/>
        </w:rPr>
      </w:pPr>
    </w:p>
    <w:p>
      <w:pPr>
        <w:ind w:left="1540" w:right="140" w:hanging="509"/>
        <w:spacing w:after="0" w:line="263" w:lineRule="auto"/>
        <w:rPr>
          <w:rFonts w:ascii="Arial" w:cs="Arial" w:eastAsia="Arial" w:hAnsi="Arial"/>
          <w:sz w:val="18"/>
          <w:szCs w:val="18"/>
          <w:color w:val="auto"/>
        </w:rPr>
      </w:pPr>
      <w:r>
        <w:rPr>
          <w:rFonts w:ascii="Arial" w:cs="Arial" w:eastAsia="Arial" w:hAnsi="Arial"/>
          <w:sz w:val="18"/>
          <w:szCs w:val="18"/>
          <w:color w:val="auto"/>
        </w:rPr>
        <w:t>orequire a stockholder submitting a proposal or nomination to make a representation that the stockholder intends to deliver a proxy statement or form of proxy to holders of at least the percentage of the voting power of Company’s then-outstanding stock required to approve or adopt the proposal;</w:t>
      </w:r>
    </w:p>
    <w:p>
      <w:pPr>
        <w:spacing w:after="0" w:line="75" w:lineRule="exact"/>
        <w:rPr>
          <w:rFonts w:ascii="Arial" w:cs="Arial" w:eastAsia="Arial" w:hAnsi="Arial"/>
          <w:sz w:val="18"/>
          <w:szCs w:val="18"/>
          <w:color w:val="auto"/>
        </w:rPr>
      </w:pPr>
    </w:p>
    <w:p>
      <w:pPr>
        <w:ind w:left="1540" w:right="60" w:hanging="509"/>
        <w:spacing w:after="0" w:line="277" w:lineRule="auto"/>
        <w:rPr>
          <w:rFonts w:ascii="Arial" w:cs="Arial" w:eastAsia="Arial" w:hAnsi="Arial"/>
          <w:sz w:val="18"/>
          <w:szCs w:val="18"/>
          <w:color w:val="auto"/>
        </w:rPr>
      </w:pPr>
      <w:r>
        <w:rPr>
          <w:rFonts w:ascii="Arial" w:cs="Arial" w:eastAsia="Arial" w:hAnsi="Arial"/>
          <w:sz w:val="18"/>
          <w:szCs w:val="18"/>
          <w:color w:val="auto"/>
        </w:rPr>
        <w:t>orequire nominating stockholders to submit a questionnaire signed by the nominee with respect to, among other things, the background and qualification of the nominee and to make certain representations to the Company;</w:t>
      </w:r>
    </w:p>
    <w:p>
      <w:pPr>
        <w:spacing w:after="0" w:line="62" w:lineRule="exact"/>
        <w:rPr>
          <w:rFonts w:ascii="Arial" w:cs="Arial" w:eastAsia="Arial" w:hAnsi="Arial"/>
          <w:sz w:val="18"/>
          <w:szCs w:val="18"/>
          <w:color w:val="auto"/>
        </w:rPr>
      </w:pPr>
    </w:p>
    <w:p>
      <w:pPr>
        <w:ind w:left="1540" w:right="440" w:hanging="509"/>
        <w:spacing w:after="0" w:line="277" w:lineRule="auto"/>
        <w:rPr>
          <w:rFonts w:ascii="Arial" w:cs="Arial" w:eastAsia="Arial" w:hAnsi="Arial"/>
          <w:sz w:val="18"/>
          <w:szCs w:val="18"/>
          <w:color w:val="auto"/>
        </w:rPr>
      </w:pPr>
      <w:r>
        <w:rPr>
          <w:rFonts w:ascii="Arial" w:cs="Arial" w:eastAsia="Arial" w:hAnsi="Arial"/>
          <w:sz w:val="18"/>
          <w:szCs w:val="18"/>
          <w:color w:val="auto"/>
        </w:rPr>
        <w:t>orequire the nominating stockholder to provide reasonable evidence no later than five business days before the Company’s annual meeting that the stockholder has met the requirements of Rule 14a-19; and</w:t>
      </w:r>
    </w:p>
    <w:p>
      <w:pPr>
        <w:spacing w:after="0" w:line="62" w:lineRule="exact"/>
        <w:rPr>
          <w:rFonts w:ascii="Arial" w:cs="Arial" w:eastAsia="Arial" w:hAnsi="Arial"/>
          <w:sz w:val="18"/>
          <w:szCs w:val="18"/>
          <w:color w:val="auto"/>
        </w:rPr>
      </w:pPr>
    </w:p>
    <w:p>
      <w:pPr>
        <w:ind w:left="1540" w:right="40" w:hanging="509"/>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provide that if the stockholder provides notice with respect to a proposed nominee and subsequently fails to comply with the requirements of Rule 14a-19, the director nominee proposed by such stockholder shall be ineligible for election at the annual meeting.</w:t>
      </w:r>
    </w:p>
    <w:p>
      <w:pPr>
        <w:spacing w:after="0" w:line="15"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revise certain additional procedures related to stockholder meetings to conform to the provisions of the Delaware General Corporation Law, as recently amended (the “DGCL”), including but not limited to, provisions relating to delivery of notices of stockholder meetings, quorum, communications regarding adjourned stockholder meetings, conduct of business at meetings, and the preparation of the stockholder list in connection with stockholder meetings;</w:t>
      </w:r>
    </w:p>
    <w:p>
      <w:pPr>
        <w:spacing w:after="0" w:line="78"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update various provisions regarding directors, Board committees, and officers, including but not limited to requirements for action by written consent of the Board; and</w:t>
      </w:r>
    </w:p>
    <w:p>
      <w:pPr>
        <w:spacing w:after="0" w:line="62"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make various updates throughout to conform to current Delaware law (including the recent amendments to the DGCL) and to make ministerial changes, clarifications, and other conforming revisions.</w:t>
      </w:r>
    </w:p>
    <w:p>
      <w:pPr>
        <w:spacing w:after="0" w:line="6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foregoing description of the Bylaws does not purport to be complete and is qualified in its entirety by reference to the full text of the Bylaws, a copy of which is filed as Exhibit 3.1 to this Current Report on Form 8-K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ALX Oncology Holdings Inc. (the “Company”) held its Annual Meeting of stockholders (the “Annual Meeting”) on June 16, 2023. The matters voted upon at the Annual Meeting and the voting results for each proposal are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520"/>
              <w:spacing w:after="0"/>
              <w:rPr>
                <w:sz w:val="20"/>
                <w:szCs w:val="20"/>
                <w:color w:val="auto"/>
              </w:rPr>
            </w:pPr>
            <w:r>
              <w:rPr>
                <w:rFonts w:ascii="Arial" w:cs="Arial" w:eastAsia="Arial" w:hAnsi="Arial"/>
                <w:sz w:val="18"/>
                <w:szCs w:val="18"/>
                <w:b w:val="1"/>
                <w:bCs w:val="1"/>
                <w:color w:val="auto"/>
              </w:rPr>
              <w:t>Proposal 1: Election of Three Class III Directors</w:t>
            </w: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780" w:type="dxa"/>
            <w:vAlign w:val="bottom"/>
          </w:tcPr>
          <w:p>
            <w:pPr>
              <w:ind w:left="1720"/>
              <w:spacing w:after="0"/>
              <w:rPr>
                <w:sz w:val="20"/>
                <w:szCs w:val="20"/>
                <w:color w:val="auto"/>
              </w:rPr>
            </w:pPr>
            <w:r>
              <w:rPr>
                <w:rFonts w:ascii="Arial" w:cs="Arial" w:eastAsia="Arial" w:hAnsi="Arial"/>
                <w:sz w:val="18"/>
                <w:szCs w:val="18"/>
                <w:b w:val="1"/>
                <w:bCs w:val="1"/>
                <w:color w:val="auto"/>
              </w:rPr>
              <w:t>Name of Director</w:t>
            </w:r>
          </w:p>
        </w:tc>
        <w:tc>
          <w:tcPr>
            <w:tcW w:w="16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40" w:type="dxa"/>
            <w:vAlign w:val="bottom"/>
          </w:tcPr>
          <w:p>
            <w:pPr>
              <w:spacing w:after="0"/>
              <w:rPr>
                <w:sz w:val="24"/>
                <w:szCs w:val="24"/>
                <w:color w:val="auto"/>
              </w:rPr>
            </w:pPr>
          </w:p>
        </w:tc>
        <w:tc>
          <w:tcPr>
            <w:tcW w:w="2020" w:type="dxa"/>
            <w:vAlign w:val="bottom"/>
          </w:tcPr>
          <w:p>
            <w:pPr>
              <w:ind w:left="640"/>
              <w:spacing w:after="0"/>
              <w:rPr>
                <w:sz w:val="20"/>
                <w:szCs w:val="20"/>
                <w:color w:val="auto"/>
              </w:rPr>
            </w:pPr>
            <w:r>
              <w:rPr>
                <w:rFonts w:ascii="Arial" w:cs="Arial" w:eastAsia="Arial" w:hAnsi="Arial"/>
                <w:sz w:val="18"/>
                <w:szCs w:val="18"/>
                <w:b w:val="1"/>
                <w:bCs w:val="1"/>
                <w:color w:val="auto"/>
              </w:rPr>
              <w:t>Withheld</w:t>
            </w:r>
          </w:p>
        </w:tc>
        <w:tc>
          <w:tcPr>
            <w:tcW w:w="1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8"/>
                <w:szCs w:val="18"/>
                <w:color w:val="auto"/>
              </w:rPr>
              <w:t>Scott Garland</w:t>
            </w:r>
          </w:p>
        </w:tc>
        <w:tc>
          <w:tcPr>
            <w:tcW w:w="160" w:type="dxa"/>
            <w:vAlign w:val="bottom"/>
            <w:vMerge w:val="continue"/>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35,698,803</w:t>
            </w:r>
          </w:p>
        </w:tc>
        <w:tc>
          <w:tcPr>
            <w:tcW w:w="14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200,766</w:t>
            </w:r>
          </w:p>
        </w:tc>
        <w:tc>
          <w:tcPr>
            <w:tcW w:w="120" w:type="dxa"/>
            <w:vAlign w:val="bottom"/>
            <w:vMerge w:val="continue"/>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2,630,389</w:t>
            </w:r>
          </w:p>
        </w:tc>
        <w:tc>
          <w:tcPr>
            <w:tcW w:w="0" w:type="dxa"/>
            <w:vAlign w:val="bottom"/>
          </w:tcPr>
          <w:p>
            <w:pPr>
              <w:spacing w:after="0"/>
              <w:rPr>
                <w:sz w:val="1"/>
                <w:szCs w:val="1"/>
                <w:color w:val="auto"/>
              </w:rPr>
            </w:pPr>
          </w:p>
        </w:tc>
      </w:tr>
      <w:tr>
        <w:trPr>
          <w:trHeight w:val="242"/>
        </w:trPr>
        <w:tc>
          <w:tcPr>
            <w:tcW w:w="4780" w:type="dxa"/>
            <w:vAlign w:val="bottom"/>
          </w:tcPr>
          <w:p>
            <w:pPr>
              <w:ind w:left="20"/>
              <w:spacing w:after="0"/>
              <w:rPr>
                <w:sz w:val="20"/>
                <w:szCs w:val="20"/>
                <w:color w:val="auto"/>
              </w:rPr>
            </w:pPr>
            <w:r>
              <w:rPr>
                <w:rFonts w:ascii="Arial" w:cs="Arial" w:eastAsia="Arial" w:hAnsi="Arial"/>
                <w:sz w:val="18"/>
                <w:szCs w:val="18"/>
                <w:color w:val="auto"/>
              </w:rPr>
              <w:t>Rekha Hemrajani</w:t>
            </w:r>
          </w:p>
        </w:tc>
        <w:tc>
          <w:tcPr>
            <w:tcW w:w="1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31,953,951</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3,945,618</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2,630,389</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Jaume Pons, Ph.D.</w:t>
            </w:r>
          </w:p>
        </w:tc>
        <w:tc>
          <w:tcPr>
            <w:tcW w:w="16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35,591,034</w:t>
            </w:r>
          </w:p>
        </w:tc>
        <w:tc>
          <w:tcPr>
            <w:tcW w:w="14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308,535</w:t>
            </w: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2,630,389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Each director nominee was duly elected to serve until the 2026 annual meeting of stockholders and until their successor is duly elected and qualified, subject to earlier resignation or removal.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Proposal 2: Advisory Vote on the Compensation of the Company’s Named Executive Officers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180" w:type="dxa"/>
            <w:vAlign w:val="bottom"/>
          </w:tcPr>
          <w:p>
            <w:pPr>
              <w:spacing w:after="0"/>
              <w:rPr>
                <w:sz w:val="20"/>
                <w:szCs w:val="20"/>
                <w:color w:val="auto"/>
              </w:rPr>
            </w:pPr>
          </w:p>
        </w:tc>
        <w:tc>
          <w:tcPr>
            <w:tcW w:w="2660" w:type="dxa"/>
            <w:vAlign w:val="bottom"/>
          </w:tcPr>
          <w:p>
            <w:pPr>
              <w:ind w:left="1040"/>
              <w:spacing w:after="0"/>
              <w:rPr>
                <w:sz w:val="20"/>
                <w:szCs w:val="20"/>
                <w:color w:val="auto"/>
              </w:rPr>
            </w:pPr>
            <w:r>
              <w:rPr>
                <w:rFonts w:ascii="Arial" w:cs="Arial" w:eastAsia="Arial" w:hAnsi="Arial"/>
                <w:sz w:val="18"/>
                <w:szCs w:val="18"/>
                <w:b w:val="1"/>
                <w:bCs w:val="1"/>
                <w:color w:val="auto"/>
              </w:rPr>
              <w:t>Against</w:t>
            </w:r>
          </w:p>
        </w:tc>
        <w:tc>
          <w:tcPr>
            <w:tcW w:w="2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1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680" w:type="dxa"/>
            <w:vAlign w:val="bottom"/>
          </w:tcPr>
          <w:p>
            <w:pPr>
              <w:jc w:val="right"/>
              <w:ind w:right="850"/>
              <w:spacing w:after="0"/>
              <w:rPr>
                <w:sz w:val="20"/>
                <w:szCs w:val="20"/>
                <w:color w:val="auto"/>
              </w:rPr>
            </w:pPr>
            <w:r>
              <w:rPr>
                <w:rFonts w:ascii="Arial" w:cs="Arial" w:eastAsia="Arial" w:hAnsi="Arial"/>
                <w:sz w:val="18"/>
                <w:szCs w:val="18"/>
                <w:color w:val="auto"/>
              </w:rPr>
              <w:t>35,476,558</w:t>
            </w:r>
          </w:p>
        </w:tc>
        <w:tc>
          <w:tcPr>
            <w:tcW w:w="180" w:type="dxa"/>
            <w:vAlign w:val="bottom"/>
            <w:vMerge w:val="continue"/>
          </w:tcPr>
          <w:p>
            <w:pPr>
              <w:spacing w:after="0"/>
              <w:rPr>
                <w:sz w:val="19"/>
                <w:szCs w:val="19"/>
                <w:color w:val="auto"/>
              </w:rPr>
            </w:pPr>
          </w:p>
        </w:tc>
        <w:tc>
          <w:tcPr>
            <w:tcW w:w="2660" w:type="dxa"/>
            <w:vAlign w:val="bottom"/>
          </w:tcPr>
          <w:p>
            <w:pPr>
              <w:ind w:left="1040"/>
              <w:spacing w:after="0"/>
              <w:rPr>
                <w:sz w:val="20"/>
                <w:szCs w:val="20"/>
                <w:color w:val="auto"/>
              </w:rPr>
            </w:pPr>
            <w:r>
              <w:rPr>
                <w:rFonts w:ascii="Arial" w:cs="Arial" w:eastAsia="Arial" w:hAnsi="Arial"/>
                <w:sz w:val="18"/>
                <w:szCs w:val="18"/>
                <w:color w:val="auto"/>
              </w:rPr>
              <w:t>413,798</w:t>
            </w:r>
          </w:p>
        </w:tc>
        <w:tc>
          <w:tcPr>
            <w:tcW w:w="200" w:type="dxa"/>
            <w:vAlign w:val="bottom"/>
            <w:vMerge w:val="continue"/>
          </w:tcPr>
          <w:p>
            <w:pPr>
              <w:spacing w:after="0"/>
              <w:rPr>
                <w:sz w:val="19"/>
                <w:szCs w:val="19"/>
                <w:color w:val="auto"/>
              </w:rPr>
            </w:pPr>
          </w:p>
        </w:tc>
        <w:tc>
          <w:tcPr>
            <w:tcW w:w="2680" w:type="dxa"/>
            <w:vAlign w:val="bottom"/>
          </w:tcPr>
          <w:p>
            <w:pPr>
              <w:jc w:val="right"/>
              <w:ind w:right="1050"/>
              <w:spacing w:after="0"/>
              <w:rPr>
                <w:sz w:val="20"/>
                <w:szCs w:val="20"/>
                <w:color w:val="auto"/>
              </w:rPr>
            </w:pPr>
            <w:r>
              <w:rPr>
                <w:rFonts w:ascii="Arial" w:cs="Arial" w:eastAsia="Arial" w:hAnsi="Arial"/>
                <w:sz w:val="18"/>
                <w:szCs w:val="18"/>
                <w:color w:val="auto"/>
              </w:rPr>
              <w:t>9,213</w:t>
            </w:r>
          </w:p>
        </w:tc>
        <w:tc>
          <w:tcPr>
            <w:tcW w:w="160" w:type="dxa"/>
            <w:vAlign w:val="bottom"/>
            <w:vMerge w:val="continue"/>
          </w:tcPr>
          <w:p>
            <w:pPr>
              <w:spacing w:after="0"/>
              <w:rPr>
                <w:sz w:val="19"/>
                <w:szCs w:val="19"/>
                <w:color w:val="auto"/>
              </w:rPr>
            </w:pPr>
          </w:p>
        </w:tc>
        <w:tc>
          <w:tcPr>
            <w:tcW w:w="2680" w:type="dxa"/>
            <w:vAlign w:val="bottom"/>
          </w:tcPr>
          <w:p>
            <w:pPr>
              <w:jc w:val="right"/>
              <w:ind w:right="890"/>
              <w:spacing w:after="0"/>
              <w:rPr>
                <w:sz w:val="20"/>
                <w:szCs w:val="20"/>
                <w:color w:val="auto"/>
              </w:rPr>
            </w:pPr>
            <w:r>
              <w:rPr>
                <w:rFonts w:ascii="Arial" w:cs="Arial" w:eastAsia="Arial" w:hAnsi="Arial"/>
                <w:sz w:val="18"/>
                <w:szCs w:val="18"/>
                <w:color w:val="auto"/>
              </w:rPr>
              <w:t>2,630,389</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stockholders approved, on an advisory basis, the compensation paid to the Company’s named executive officers, as disclosed in the proxy statement for the Annual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520"/>
        <w:spacing w:after="0"/>
        <w:rPr>
          <w:sz w:val="20"/>
          <w:szCs w:val="20"/>
          <w:color w:val="auto"/>
        </w:rPr>
      </w:pPr>
      <w:r>
        <w:rPr>
          <w:rFonts w:ascii="Arial" w:cs="Arial" w:eastAsia="Arial" w:hAnsi="Arial"/>
          <w:sz w:val="18"/>
          <w:szCs w:val="18"/>
          <w:b w:val="1"/>
          <w:bCs w:val="1"/>
          <w:color w:val="auto"/>
        </w:rPr>
        <w:t>Proposal 3: Ratification of the Appointment of Independent Registered Public Accounting Firm</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2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580" w:type="dxa"/>
            <w:vAlign w:val="bottom"/>
          </w:tcPr>
          <w:p>
            <w:pPr>
              <w:jc w:val="right"/>
              <w:ind w:right="1290"/>
              <w:spacing w:after="0"/>
              <w:rPr>
                <w:sz w:val="20"/>
                <w:szCs w:val="20"/>
                <w:color w:val="auto"/>
              </w:rPr>
            </w:pPr>
            <w:r>
              <w:rPr>
                <w:rFonts w:ascii="Arial" w:cs="Arial" w:eastAsia="Arial" w:hAnsi="Arial"/>
                <w:sz w:val="18"/>
                <w:szCs w:val="18"/>
                <w:color w:val="auto"/>
              </w:rPr>
              <w:t>38,518,146</w:t>
            </w:r>
          </w:p>
        </w:tc>
        <w:tc>
          <w:tcPr>
            <w:tcW w:w="240" w:type="dxa"/>
            <w:vAlign w:val="bottom"/>
            <w:vMerge w:val="continue"/>
          </w:tcPr>
          <w:p>
            <w:pPr>
              <w:spacing w:after="0"/>
              <w:rPr>
                <w:sz w:val="19"/>
                <w:szCs w:val="19"/>
                <w:color w:val="auto"/>
              </w:rPr>
            </w:pPr>
          </w:p>
        </w:tc>
        <w:tc>
          <w:tcPr>
            <w:tcW w:w="3600" w:type="dxa"/>
            <w:vAlign w:val="bottom"/>
          </w:tcPr>
          <w:p>
            <w:pPr>
              <w:jc w:val="right"/>
              <w:ind w:right="1510"/>
              <w:spacing w:after="0"/>
              <w:rPr>
                <w:sz w:val="20"/>
                <w:szCs w:val="20"/>
                <w:color w:val="auto"/>
              </w:rPr>
            </w:pPr>
            <w:r>
              <w:rPr>
                <w:rFonts w:ascii="Arial" w:cs="Arial" w:eastAsia="Arial" w:hAnsi="Arial"/>
                <w:sz w:val="18"/>
                <w:szCs w:val="18"/>
                <w:color w:val="auto"/>
              </w:rPr>
              <w:t>8,803</w:t>
            </w:r>
          </w:p>
        </w:tc>
        <w:tc>
          <w:tcPr>
            <w:tcW w:w="220" w:type="dxa"/>
            <w:vAlign w:val="bottom"/>
            <w:vMerge w:val="continue"/>
          </w:tcPr>
          <w:p>
            <w:pPr>
              <w:spacing w:after="0"/>
              <w:rPr>
                <w:sz w:val="19"/>
                <w:szCs w:val="19"/>
                <w:color w:val="auto"/>
              </w:rPr>
            </w:pPr>
          </w:p>
        </w:tc>
        <w:tc>
          <w:tcPr>
            <w:tcW w:w="3600" w:type="dxa"/>
            <w:vAlign w:val="bottom"/>
          </w:tcPr>
          <w:p>
            <w:pPr>
              <w:jc w:val="right"/>
              <w:ind w:right="1490"/>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stockholders ratified the appointment of KPMG LLP as the Company’s independent registered public accounting firm for the fiscal year ending December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00" w:type="dxa"/>
            <w:vAlign w:val="bottom"/>
            <w:vMerge w:val="restart"/>
          </w:tcPr>
          <w:p>
            <w:pPr>
              <w:jc w:val="right"/>
              <w:ind w:right="4708"/>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8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0000FF"/>
              </w:rPr>
              <w:t>Amended and Restated Bylaws</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662"/>
        </w:trPr>
        <w:tc>
          <w:tcPr>
            <w:tcW w:w="820" w:type="dxa"/>
            <w:vAlign w:val="bottom"/>
          </w:tcPr>
          <w:p>
            <w:pPr>
              <w:spacing w:after="0"/>
              <w:rPr>
                <w:sz w:val="24"/>
                <w:szCs w:val="24"/>
                <w:color w:val="auto"/>
              </w:rPr>
            </w:pPr>
          </w:p>
        </w:tc>
        <w:tc>
          <w:tcPr>
            <w:tcW w:w="10420" w:type="dxa"/>
            <w:vAlign w:val="bottom"/>
            <w:gridSpan w:val="3"/>
          </w:tcPr>
          <w:p>
            <w:pPr>
              <w:jc w:val="right"/>
              <w:ind w:right="550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8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8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June 20, 2023</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5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2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Peter Garcia</w:t>
      </w:r>
    </w:p>
    <w:p>
      <w:pPr>
        <w:spacing w:after="0" w:line="36"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7"/>
          <w:szCs w:val="27"/>
          <w:b w:val="1"/>
          <w:bCs w:val="1"/>
          <w:color w:val="auto"/>
        </w:rPr>
        <w:t>ALX ONCOLOGY HOLDINGS INC.</w:t>
      </w:r>
    </w:p>
    <w:p>
      <w:pPr>
        <w:spacing w:after="0" w:line="216" w:lineRule="exact"/>
        <w:rPr>
          <w:sz w:val="20"/>
          <w:szCs w:val="20"/>
          <w:color w:val="auto"/>
        </w:rPr>
      </w:pPr>
    </w:p>
    <w:p>
      <w:pPr>
        <w:jc w:val="center"/>
        <w:ind w:right="1120"/>
        <w:spacing w:after="0"/>
        <w:rPr>
          <w:sz w:val="20"/>
          <w:szCs w:val="20"/>
          <w:color w:val="auto"/>
        </w:rPr>
      </w:pPr>
      <w:r>
        <w:rPr>
          <w:rFonts w:ascii="Arial" w:cs="Arial" w:eastAsia="Arial" w:hAnsi="Arial"/>
          <w:sz w:val="26"/>
          <w:szCs w:val="26"/>
          <w:b w:val="1"/>
          <w:bCs w:val="1"/>
          <w:color w:val="auto"/>
        </w:rPr>
        <w:t>AMENDED AND RESTATED BYLAWS</w:t>
      </w:r>
    </w:p>
    <w:p>
      <w:pPr>
        <w:spacing w:after="0" w:line="23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(initially adopted on April 1, 2020)</w:t>
      </w: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amended effective on June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337185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0"/>
        </w:trPr>
        <w:tc>
          <w:tcPr>
            <w:tcW w:w="1340" w:type="dxa"/>
            <w:vAlign w:val="bottom"/>
          </w:tcPr>
          <w:p>
            <w:pPr>
              <w:spacing w:after="0"/>
              <w:rPr>
                <w:sz w:val="24"/>
                <w:szCs w:val="24"/>
                <w:color w:val="auto"/>
              </w:rPr>
            </w:pPr>
          </w:p>
        </w:tc>
        <w:tc>
          <w:tcPr>
            <w:tcW w:w="8140" w:type="dxa"/>
            <w:vAlign w:val="bottom"/>
          </w:tcPr>
          <w:p>
            <w:pPr>
              <w:ind w:left="3140"/>
              <w:spacing w:after="0"/>
              <w:rPr>
                <w:sz w:val="20"/>
                <w:szCs w:val="20"/>
                <w:color w:val="auto"/>
              </w:rPr>
            </w:pPr>
            <w:r>
              <w:rPr>
                <w:rFonts w:ascii="Arial" w:cs="Arial" w:eastAsia="Arial" w:hAnsi="Arial"/>
                <w:sz w:val="22"/>
                <w:szCs w:val="22"/>
                <w:b w:val="1"/>
                <w:bCs w:val="1"/>
                <w:color w:val="auto"/>
              </w:rPr>
              <w:t>TABLE OF CONTENTS</w:t>
            </w:r>
          </w:p>
        </w:tc>
        <w:tc>
          <w:tcPr>
            <w:tcW w:w="1760" w:type="dxa"/>
            <w:vAlign w:val="bottom"/>
            <w:vMerge w:val="restart"/>
          </w:tcPr>
          <w:p>
            <w:pPr>
              <w:jc w:val="right"/>
              <w:spacing w:after="0"/>
              <w:rPr>
                <w:sz w:val="20"/>
                <w:szCs w:val="20"/>
                <w:color w:val="auto"/>
              </w:rPr>
            </w:pPr>
            <w:r>
              <w:rPr>
                <w:rFonts w:ascii="Arial" w:cs="Arial" w:eastAsia="Arial" w:hAnsi="Arial"/>
                <w:sz w:val="22"/>
                <w:szCs w:val="22"/>
                <w:b w:val="1"/>
                <w:bCs w:val="1"/>
                <w:i w:val="1"/>
                <w:iCs w:val="1"/>
                <w:color w:val="auto"/>
              </w:rPr>
              <w:t>Page</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9480" w:type="dxa"/>
            <w:vAlign w:val="bottom"/>
            <w:gridSpan w:val="2"/>
          </w:tcPr>
          <w:p>
            <w:pPr>
              <w:ind w:left="20"/>
              <w:spacing w:after="0"/>
              <w:rPr>
                <w:sz w:val="20"/>
                <w:szCs w:val="20"/>
                <w:color w:val="auto"/>
              </w:rPr>
            </w:pPr>
            <w:r>
              <w:rPr>
                <w:rFonts w:ascii="Arial" w:cs="Arial" w:eastAsia="Arial" w:hAnsi="Arial"/>
                <w:sz w:val="20"/>
                <w:szCs w:val="20"/>
                <w:color w:val="auto"/>
              </w:rPr>
              <w:t>ARTICLE I - CORPORATE OFFICES</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65"/>
        </w:trPr>
        <w:tc>
          <w:tcPr>
            <w:tcW w:w="1340" w:type="dxa"/>
            <w:vAlign w:val="bottom"/>
          </w:tcPr>
          <w:p>
            <w:pPr>
              <w:ind w:left="660"/>
              <w:spacing w:after="0"/>
              <w:rPr>
                <w:sz w:val="20"/>
                <w:szCs w:val="20"/>
                <w:color w:val="auto"/>
              </w:rPr>
            </w:pPr>
            <w:r>
              <w:rPr>
                <w:rFonts w:ascii="Arial" w:cs="Arial" w:eastAsia="Arial" w:hAnsi="Arial"/>
                <w:sz w:val="20"/>
                <w:szCs w:val="20"/>
                <w:color w:val="auto"/>
              </w:rPr>
              <w:t>1.1</w:t>
            </w:r>
          </w:p>
        </w:tc>
        <w:tc>
          <w:tcPr>
            <w:tcW w:w="8140" w:type="dxa"/>
            <w:vAlign w:val="bottom"/>
          </w:tcPr>
          <w:p>
            <w:pPr>
              <w:ind w:left="320"/>
              <w:spacing w:after="0"/>
              <w:rPr>
                <w:sz w:val="20"/>
                <w:szCs w:val="20"/>
                <w:color w:val="auto"/>
              </w:rPr>
            </w:pPr>
            <w:r>
              <w:rPr>
                <w:rFonts w:ascii="Arial" w:cs="Arial" w:eastAsia="Arial" w:hAnsi="Arial"/>
                <w:sz w:val="20"/>
                <w:szCs w:val="20"/>
                <w:color w:val="auto"/>
              </w:rPr>
              <w:t>REGISTERED OFFICE</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1.2</w:t>
            </w:r>
          </w:p>
        </w:tc>
        <w:tc>
          <w:tcPr>
            <w:tcW w:w="8140" w:type="dxa"/>
            <w:vAlign w:val="bottom"/>
          </w:tcPr>
          <w:p>
            <w:pPr>
              <w:ind w:left="320"/>
              <w:spacing w:after="0"/>
              <w:rPr>
                <w:sz w:val="20"/>
                <w:szCs w:val="20"/>
                <w:color w:val="auto"/>
              </w:rPr>
            </w:pPr>
            <w:r>
              <w:rPr>
                <w:rFonts w:ascii="Arial" w:cs="Arial" w:eastAsia="Arial" w:hAnsi="Arial"/>
                <w:sz w:val="20"/>
                <w:szCs w:val="20"/>
                <w:color w:val="auto"/>
              </w:rPr>
              <w:t>OTHER OFFICES</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64"/>
        </w:trPr>
        <w:tc>
          <w:tcPr>
            <w:tcW w:w="9480" w:type="dxa"/>
            <w:vAlign w:val="bottom"/>
            <w:gridSpan w:val="2"/>
          </w:tcPr>
          <w:p>
            <w:pPr>
              <w:ind w:left="20"/>
              <w:spacing w:after="0"/>
              <w:rPr>
                <w:sz w:val="20"/>
                <w:szCs w:val="20"/>
                <w:color w:val="auto"/>
              </w:rPr>
            </w:pPr>
            <w:r>
              <w:rPr>
                <w:rFonts w:ascii="Arial" w:cs="Arial" w:eastAsia="Arial" w:hAnsi="Arial"/>
                <w:sz w:val="20"/>
                <w:szCs w:val="20"/>
                <w:color w:val="auto"/>
              </w:rPr>
              <w:t>ARTICLE II - MEETINGS OF STOCKHOLDERS</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64"/>
        </w:trPr>
        <w:tc>
          <w:tcPr>
            <w:tcW w:w="1340" w:type="dxa"/>
            <w:vAlign w:val="bottom"/>
          </w:tcPr>
          <w:p>
            <w:pPr>
              <w:ind w:left="660"/>
              <w:spacing w:after="0"/>
              <w:rPr>
                <w:sz w:val="20"/>
                <w:szCs w:val="20"/>
                <w:color w:val="auto"/>
              </w:rPr>
            </w:pPr>
            <w:r>
              <w:rPr>
                <w:rFonts w:ascii="Arial" w:cs="Arial" w:eastAsia="Arial" w:hAnsi="Arial"/>
                <w:sz w:val="20"/>
                <w:szCs w:val="20"/>
                <w:color w:val="auto"/>
              </w:rPr>
              <w:t>2.1</w:t>
            </w:r>
          </w:p>
        </w:tc>
        <w:tc>
          <w:tcPr>
            <w:tcW w:w="8140" w:type="dxa"/>
            <w:vAlign w:val="bottom"/>
          </w:tcPr>
          <w:p>
            <w:pPr>
              <w:ind w:left="320"/>
              <w:spacing w:after="0"/>
              <w:rPr>
                <w:sz w:val="20"/>
                <w:szCs w:val="20"/>
                <w:color w:val="auto"/>
              </w:rPr>
            </w:pPr>
            <w:r>
              <w:rPr>
                <w:rFonts w:ascii="Arial" w:cs="Arial" w:eastAsia="Arial" w:hAnsi="Arial"/>
                <w:sz w:val="20"/>
                <w:szCs w:val="20"/>
                <w:color w:val="auto"/>
              </w:rPr>
              <w:t>PLACE OF MEETINGS</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2.2</w:t>
            </w:r>
          </w:p>
        </w:tc>
        <w:tc>
          <w:tcPr>
            <w:tcW w:w="8140" w:type="dxa"/>
            <w:vAlign w:val="bottom"/>
          </w:tcPr>
          <w:p>
            <w:pPr>
              <w:ind w:left="320"/>
              <w:spacing w:after="0"/>
              <w:rPr>
                <w:sz w:val="20"/>
                <w:szCs w:val="20"/>
                <w:color w:val="auto"/>
              </w:rPr>
            </w:pPr>
            <w:r>
              <w:rPr>
                <w:rFonts w:ascii="Arial" w:cs="Arial" w:eastAsia="Arial" w:hAnsi="Arial"/>
                <w:sz w:val="20"/>
                <w:szCs w:val="20"/>
                <w:color w:val="auto"/>
              </w:rPr>
              <w:t>ANNUAL MEETING</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2.3</w:t>
            </w:r>
          </w:p>
        </w:tc>
        <w:tc>
          <w:tcPr>
            <w:tcW w:w="8140" w:type="dxa"/>
            <w:vAlign w:val="bottom"/>
          </w:tcPr>
          <w:p>
            <w:pPr>
              <w:ind w:left="320"/>
              <w:spacing w:after="0"/>
              <w:rPr>
                <w:sz w:val="20"/>
                <w:szCs w:val="20"/>
                <w:color w:val="auto"/>
              </w:rPr>
            </w:pPr>
            <w:r>
              <w:rPr>
                <w:rFonts w:ascii="Arial" w:cs="Arial" w:eastAsia="Arial" w:hAnsi="Arial"/>
                <w:sz w:val="20"/>
                <w:szCs w:val="20"/>
                <w:color w:val="auto"/>
              </w:rPr>
              <w:t>SPECIAL MEETING</w:t>
            </w:r>
          </w:p>
        </w:tc>
        <w:tc>
          <w:tcPr>
            <w:tcW w:w="17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2.4</w:t>
            </w:r>
          </w:p>
        </w:tc>
        <w:tc>
          <w:tcPr>
            <w:tcW w:w="8140" w:type="dxa"/>
            <w:vAlign w:val="bottom"/>
          </w:tcPr>
          <w:p>
            <w:pPr>
              <w:ind w:left="320"/>
              <w:spacing w:after="0"/>
              <w:rPr>
                <w:sz w:val="20"/>
                <w:szCs w:val="20"/>
                <w:color w:val="auto"/>
              </w:rPr>
            </w:pPr>
            <w:r>
              <w:rPr>
                <w:rFonts w:ascii="Arial" w:cs="Arial" w:eastAsia="Arial" w:hAnsi="Arial"/>
                <w:sz w:val="20"/>
                <w:szCs w:val="20"/>
                <w:color w:val="auto"/>
              </w:rPr>
              <w:t>ADVANCE NOTICE PROCEDURES</w:t>
            </w:r>
          </w:p>
        </w:tc>
        <w:tc>
          <w:tcPr>
            <w:tcW w:w="17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2.5</w:t>
            </w:r>
          </w:p>
        </w:tc>
        <w:tc>
          <w:tcPr>
            <w:tcW w:w="8140" w:type="dxa"/>
            <w:vAlign w:val="bottom"/>
          </w:tcPr>
          <w:p>
            <w:pPr>
              <w:ind w:left="320"/>
              <w:spacing w:after="0"/>
              <w:rPr>
                <w:sz w:val="20"/>
                <w:szCs w:val="20"/>
                <w:color w:val="auto"/>
              </w:rPr>
            </w:pPr>
            <w:r>
              <w:rPr>
                <w:rFonts w:ascii="Arial" w:cs="Arial" w:eastAsia="Arial" w:hAnsi="Arial"/>
                <w:sz w:val="20"/>
                <w:szCs w:val="20"/>
                <w:color w:val="auto"/>
              </w:rPr>
              <w:t>NOTICE OF STOCKHOLDERS’ MEETINGS</w:t>
            </w:r>
          </w:p>
        </w:tc>
        <w:tc>
          <w:tcPr>
            <w:tcW w:w="17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2.6</w:t>
            </w:r>
          </w:p>
        </w:tc>
        <w:tc>
          <w:tcPr>
            <w:tcW w:w="8140" w:type="dxa"/>
            <w:vAlign w:val="bottom"/>
          </w:tcPr>
          <w:p>
            <w:pPr>
              <w:ind w:left="320"/>
              <w:spacing w:after="0"/>
              <w:rPr>
                <w:sz w:val="20"/>
                <w:szCs w:val="20"/>
                <w:color w:val="auto"/>
              </w:rPr>
            </w:pPr>
            <w:r>
              <w:rPr>
                <w:rFonts w:ascii="Arial" w:cs="Arial" w:eastAsia="Arial" w:hAnsi="Arial"/>
                <w:sz w:val="20"/>
                <w:szCs w:val="20"/>
                <w:color w:val="auto"/>
              </w:rPr>
              <w:t>QUORUM</w:t>
            </w:r>
          </w:p>
        </w:tc>
        <w:tc>
          <w:tcPr>
            <w:tcW w:w="17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2.7</w:t>
            </w:r>
          </w:p>
        </w:tc>
        <w:tc>
          <w:tcPr>
            <w:tcW w:w="8140" w:type="dxa"/>
            <w:vAlign w:val="bottom"/>
          </w:tcPr>
          <w:p>
            <w:pPr>
              <w:ind w:left="320"/>
              <w:spacing w:after="0"/>
              <w:rPr>
                <w:sz w:val="20"/>
                <w:szCs w:val="20"/>
                <w:color w:val="auto"/>
              </w:rPr>
            </w:pPr>
            <w:r>
              <w:rPr>
                <w:rFonts w:ascii="Arial" w:cs="Arial" w:eastAsia="Arial" w:hAnsi="Arial"/>
                <w:sz w:val="20"/>
                <w:szCs w:val="20"/>
                <w:color w:val="auto"/>
              </w:rPr>
              <w:t>ADJOURNED MEETING; NOTICE</w:t>
            </w:r>
          </w:p>
        </w:tc>
        <w:tc>
          <w:tcPr>
            <w:tcW w:w="17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2.8</w:t>
            </w:r>
          </w:p>
        </w:tc>
        <w:tc>
          <w:tcPr>
            <w:tcW w:w="8140" w:type="dxa"/>
            <w:vAlign w:val="bottom"/>
          </w:tcPr>
          <w:p>
            <w:pPr>
              <w:ind w:left="320"/>
              <w:spacing w:after="0"/>
              <w:rPr>
                <w:sz w:val="20"/>
                <w:szCs w:val="20"/>
                <w:color w:val="auto"/>
              </w:rPr>
            </w:pPr>
            <w:r>
              <w:rPr>
                <w:rFonts w:ascii="Arial" w:cs="Arial" w:eastAsia="Arial" w:hAnsi="Arial"/>
                <w:sz w:val="20"/>
                <w:szCs w:val="20"/>
                <w:color w:val="auto"/>
              </w:rPr>
              <w:t>CONDUCT OF BUSINESS</w:t>
            </w:r>
          </w:p>
        </w:tc>
        <w:tc>
          <w:tcPr>
            <w:tcW w:w="17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2.9</w:t>
            </w:r>
          </w:p>
        </w:tc>
        <w:tc>
          <w:tcPr>
            <w:tcW w:w="8140" w:type="dxa"/>
            <w:vAlign w:val="bottom"/>
          </w:tcPr>
          <w:p>
            <w:pPr>
              <w:ind w:left="320"/>
              <w:spacing w:after="0"/>
              <w:rPr>
                <w:sz w:val="20"/>
                <w:szCs w:val="20"/>
                <w:color w:val="auto"/>
              </w:rPr>
            </w:pPr>
            <w:r>
              <w:rPr>
                <w:rFonts w:ascii="Arial" w:cs="Arial" w:eastAsia="Arial" w:hAnsi="Arial"/>
                <w:sz w:val="20"/>
                <w:szCs w:val="20"/>
                <w:color w:val="auto"/>
              </w:rPr>
              <w:t>VOTING</w:t>
            </w:r>
          </w:p>
        </w:tc>
        <w:tc>
          <w:tcPr>
            <w:tcW w:w="17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2.10</w:t>
            </w:r>
          </w:p>
        </w:tc>
        <w:tc>
          <w:tcPr>
            <w:tcW w:w="8140" w:type="dxa"/>
            <w:vAlign w:val="bottom"/>
          </w:tcPr>
          <w:p>
            <w:pPr>
              <w:ind w:left="320"/>
              <w:spacing w:after="0"/>
              <w:rPr>
                <w:sz w:val="20"/>
                <w:szCs w:val="20"/>
                <w:color w:val="auto"/>
              </w:rPr>
            </w:pPr>
            <w:r>
              <w:rPr>
                <w:rFonts w:ascii="Arial" w:cs="Arial" w:eastAsia="Arial" w:hAnsi="Arial"/>
                <w:sz w:val="20"/>
                <w:szCs w:val="20"/>
                <w:color w:val="auto"/>
              </w:rPr>
              <w:t>STOCKHOLDER ACTION BY WRITTEN CONSENT WITHOUT A MEETING</w:t>
            </w:r>
          </w:p>
        </w:tc>
        <w:tc>
          <w:tcPr>
            <w:tcW w:w="17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2.11</w:t>
            </w:r>
          </w:p>
        </w:tc>
        <w:tc>
          <w:tcPr>
            <w:tcW w:w="8140" w:type="dxa"/>
            <w:vAlign w:val="bottom"/>
          </w:tcPr>
          <w:p>
            <w:pPr>
              <w:ind w:left="320"/>
              <w:spacing w:after="0"/>
              <w:rPr>
                <w:sz w:val="20"/>
                <w:szCs w:val="20"/>
                <w:color w:val="auto"/>
              </w:rPr>
            </w:pPr>
            <w:r>
              <w:rPr>
                <w:rFonts w:ascii="Arial" w:cs="Arial" w:eastAsia="Arial" w:hAnsi="Arial"/>
                <w:sz w:val="20"/>
                <w:szCs w:val="20"/>
                <w:color w:val="auto"/>
              </w:rPr>
              <w:t>RECORD DATES</w:t>
            </w:r>
          </w:p>
        </w:tc>
        <w:tc>
          <w:tcPr>
            <w:tcW w:w="17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2.12</w:t>
            </w:r>
          </w:p>
        </w:tc>
        <w:tc>
          <w:tcPr>
            <w:tcW w:w="8140" w:type="dxa"/>
            <w:vAlign w:val="bottom"/>
          </w:tcPr>
          <w:p>
            <w:pPr>
              <w:ind w:left="320"/>
              <w:spacing w:after="0"/>
              <w:rPr>
                <w:sz w:val="20"/>
                <w:szCs w:val="20"/>
                <w:color w:val="auto"/>
              </w:rPr>
            </w:pPr>
            <w:r>
              <w:rPr>
                <w:rFonts w:ascii="Arial" w:cs="Arial" w:eastAsia="Arial" w:hAnsi="Arial"/>
                <w:sz w:val="20"/>
                <w:szCs w:val="20"/>
                <w:color w:val="auto"/>
              </w:rPr>
              <w:t>PROXIES</w:t>
            </w:r>
          </w:p>
        </w:tc>
        <w:tc>
          <w:tcPr>
            <w:tcW w:w="17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2.13</w:t>
            </w:r>
          </w:p>
        </w:tc>
        <w:tc>
          <w:tcPr>
            <w:tcW w:w="8140" w:type="dxa"/>
            <w:vAlign w:val="bottom"/>
          </w:tcPr>
          <w:p>
            <w:pPr>
              <w:ind w:left="320"/>
              <w:spacing w:after="0"/>
              <w:rPr>
                <w:sz w:val="20"/>
                <w:szCs w:val="20"/>
                <w:color w:val="auto"/>
              </w:rPr>
            </w:pPr>
            <w:r>
              <w:rPr>
                <w:rFonts w:ascii="Arial" w:cs="Arial" w:eastAsia="Arial" w:hAnsi="Arial"/>
                <w:sz w:val="20"/>
                <w:szCs w:val="20"/>
                <w:color w:val="auto"/>
              </w:rPr>
              <w:t>LIST OF STOCKHOLDERS ENTITLED TO VOTE</w:t>
            </w:r>
          </w:p>
        </w:tc>
        <w:tc>
          <w:tcPr>
            <w:tcW w:w="176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2.14</w:t>
            </w:r>
          </w:p>
        </w:tc>
        <w:tc>
          <w:tcPr>
            <w:tcW w:w="8140" w:type="dxa"/>
            <w:vAlign w:val="bottom"/>
          </w:tcPr>
          <w:p>
            <w:pPr>
              <w:ind w:left="320"/>
              <w:spacing w:after="0"/>
              <w:rPr>
                <w:sz w:val="20"/>
                <w:szCs w:val="20"/>
                <w:color w:val="auto"/>
              </w:rPr>
            </w:pPr>
            <w:r>
              <w:rPr>
                <w:rFonts w:ascii="Arial" w:cs="Arial" w:eastAsia="Arial" w:hAnsi="Arial"/>
                <w:sz w:val="20"/>
                <w:szCs w:val="20"/>
                <w:color w:val="auto"/>
              </w:rPr>
              <w:t>INSPECTORS OF ELECTION</w:t>
            </w:r>
          </w:p>
        </w:tc>
        <w:tc>
          <w:tcPr>
            <w:tcW w:w="176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364"/>
        </w:trPr>
        <w:tc>
          <w:tcPr>
            <w:tcW w:w="9480" w:type="dxa"/>
            <w:vAlign w:val="bottom"/>
            <w:gridSpan w:val="2"/>
          </w:tcPr>
          <w:p>
            <w:pPr>
              <w:ind w:left="20"/>
              <w:spacing w:after="0"/>
              <w:rPr>
                <w:sz w:val="20"/>
                <w:szCs w:val="20"/>
                <w:color w:val="auto"/>
              </w:rPr>
            </w:pPr>
            <w:r>
              <w:rPr>
                <w:rFonts w:ascii="Arial" w:cs="Arial" w:eastAsia="Arial" w:hAnsi="Arial"/>
                <w:sz w:val="20"/>
                <w:szCs w:val="20"/>
                <w:color w:val="auto"/>
              </w:rPr>
              <w:t>ARTICLE III -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364"/>
        </w:trPr>
        <w:tc>
          <w:tcPr>
            <w:tcW w:w="1340" w:type="dxa"/>
            <w:vAlign w:val="bottom"/>
          </w:tcPr>
          <w:p>
            <w:pPr>
              <w:ind w:left="660"/>
              <w:spacing w:after="0"/>
              <w:rPr>
                <w:sz w:val="20"/>
                <w:szCs w:val="20"/>
                <w:color w:val="auto"/>
              </w:rPr>
            </w:pPr>
            <w:r>
              <w:rPr>
                <w:rFonts w:ascii="Arial" w:cs="Arial" w:eastAsia="Arial" w:hAnsi="Arial"/>
                <w:sz w:val="20"/>
                <w:szCs w:val="20"/>
                <w:color w:val="auto"/>
              </w:rPr>
              <w:t>3.1</w:t>
            </w:r>
          </w:p>
        </w:tc>
        <w:tc>
          <w:tcPr>
            <w:tcW w:w="8140" w:type="dxa"/>
            <w:vAlign w:val="bottom"/>
          </w:tcPr>
          <w:p>
            <w:pPr>
              <w:ind w:left="320"/>
              <w:spacing w:after="0"/>
              <w:rPr>
                <w:sz w:val="20"/>
                <w:szCs w:val="20"/>
                <w:color w:val="auto"/>
              </w:rPr>
            </w:pPr>
            <w:r>
              <w:rPr>
                <w:rFonts w:ascii="Arial" w:cs="Arial" w:eastAsia="Arial" w:hAnsi="Arial"/>
                <w:sz w:val="20"/>
                <w:szCs w:val="20"/>
                <w:color w:val="auto"/>
              </w:rPr>
              <w:t>POWERS</w:t>
            </w:r>
          </w:p>
        </w:tc>
        <w:tc>
          <w:tcPr>
            <w:tcW w:w="17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3.2</w:t>
            </w:r>
          </w:p>
        </w:tc>
        <w:tc>
          <w:tcPr>
            <w:tcW w:w="8140" w:type="dxa"/>
            <w:vAlign w:val="bottom"/>
          </w:tcPr>
          <w:p>
            <w:pPr>
              <w:ind w:left="320"/>
              <w:spacing w:after="0"/>
              <w:rPr>
                <w:sz w:val="20"/>
                <w:szCs w:val="20"/>
                <w:color w:val="auto"/>
              </w:rPr>
            </w:pPr>
            <w:r>
              <w:rPr>
                <w:rFonts w:ascii="Arial" w:cs="Arial" w:eastAsia="Arial" w:hAnsi="Arial"/>
                <w:sz w:val="20"/>
                <w:szCs w:val="20"/>
                <w:color w:val="auto"/>
              </w:rPr>
              <w:t>NUMBER OF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3.3</w:t>
            </w:r>
          </w:p>
        </w:tc>
        <w:tc>
          <w:tcPr>
            <w:tcW w:w="8140" w:type="dxa"/>
            <w:vAlign w:val="bottom"/>
          </w:tcPr>
          <w:p>
            <w:pPr>
              <w:ind w:left="320"/>
              <w:spacing w:after="0"/>
              <w:rPr>
                <w:sz w:val="20"/>
                <w:szCs w:val="20"/>
                <w:color w:val="auto"/>
              </w:rPr>
            </w:pPr>
            <w:r>
              <w:rPr>
                <w:rFonts w:ascii="Arial" w:cs="Arial" w:eastAsia="Arial" w:hAnsi="Arial"/>
                <w:sz w:val="20"/>
                <w:szCs w:val="20"/>
                <w:color w:val="auto"/>
              </w:rPr>
              <w:t>ELECTION, QUALIFICATION AND TERM OF OFFICE OF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3.4</w:t>
            </w:r>
          </w:p>
        </w:tc>
        <w:tc>
          <w:tcPr>
            <w:tcW w:w="8140" w:type="dxa"/>
            <w:vAlign w:val="bottom"/>
          </w:tcPr>
          <w:p>
            <w:pPr>
              <w:ind w:left="320"/>
              <w:spacing w:after="0"/>
              <w:rPr>
                <w:sz w:val="20"/>
                <w:szCs w:val="20"/>
                <w:color w:val="auto"/>
              </w:rPr>
            </w:pPr>
            <w:r>
              <w:rPr>
                <w:rFonts w:ascii="Arial" w:cs="Arial" w:eastAsia="Arial" w:hAnsi="Arial"/>
                <w:sz w:val="20"/>
                <w:szCs w:val="20"/>
                <w:color w:val="auto"/>
              </w:rPr>
              <w:t>RESIGNATION AND VACANCIES</w:t>
            </w:r>
          </w:p>
        </w:tc>
        <w:tc>
          <w:tcPr>
            <w:tcW w:w="17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3.5</w:t>
            </w:r>
          </w:p>
        </w:tc>
        <w:tc>
          <w:tcPr>
            <w:tcW w:w="8140" w:type="dxa"/>
            <w:vAlign w:val="bottom"/>
          </w:tcPr>
          <w:p>
            <w:pPr>
              <w:ind w:left="320"/>
              <w:spacing w:after="0"/>
              <w:rPr>
                <w:sz w:val="20"/>
                <w:szCs w:val="20"/>
                <w:color w:val="auto"/>
              </w:rPr>
            </w:pPr>
            <w:r>
              <w:rPr>
                <w:rFonts w:ascii="Arial" w:cs="Arial" w:eastAsia="Arial" w:hAnsi="Arial"/>
                <w:sz w:val="20"/>
                <w:szCs w:val="20"/>
                <w:color w:val="auto"/>
              </w:rPr>
              <w:t>PLACE OF MEETINGS; MEETINGS BY TELEPHONE</w:t>
            </w:r>
          </w:p>
        </w:tc>
        <w:tc>
          <w:tcPr>
            <w:tcW w:w="17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3.6</w:t>
            </w:r>
          </w:p>
        </w:tc>
        <w:tc>
          <w:tcPr>
            <w:tcW w:w="8140" w:type="dxa"/>
            <w:vAlign w:val="bottom"/>
          </w:tcPr>
          <w:p>
            <w:pPr>
              <w:ind w:left="320"/>
              <w:spacing w:after="0"/>
              <w:rPr>
                <w:sz w:val="20"/>
                <w:szCs w:val="20"/>
                <w:color w:val="auto"/>
              </w:rPr>
            </w:pPr>
            <w:r>
              <w:rPr>
                <w:rFonts w:ascii="Arial" w:cs="Arial" w:eastAsia="Arial" w:hAnsi="Arial"/>
                <w:sz w:val="20"/>
                <w:szCs w:val="20"/>
                <w:color w:val="auto"/>
              </w:rPr>
              <w:t>REGULAR MEETINGS</w:t>
            </w:r>
          </w:p>
        </w:tc>
        <w:tc>
          <w:tcPr>
            <w:tcW w:w="17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3.7</w:t>
            </w:r>
          </w:p>
        </w:tc>
        <w:tc>
          <w:tcPr>
            <w:tcW w:w="8140" w:type="dxa"/>
            <w:vAlign w:val="bottom"/>
          </w:tcPr>
          <w:p>
            <w:pPr>
              <w:ind w:left="320"/>
              <w:spacing w:after="0"/>
              <w:rPr>
                <w:sz w:val="20"/>
                <w:szCs w:val="20"/>
                <w:color w:val="auto"/>
              </w:rPr>
            </w:pPr>
            <w:r>
              <w:rPr>
                <w:rFonts w:ascii="Arial" w:cs="Arial" w:eastAsia="Arial" w:hAnsi="Arial"/>
                <w:sz w:val="20"/>
                <w:szCs w:val="20"/>
                <w:color w:val="auto"/>
              </w:rPr>
              <w:t>SPECIAL MEETINGS; NOTICE</w:t>
            </w:r>
          </w:p>
        </w:tc>
        <w:tc>
          <w:tcPr>
            <w:tcW w:w="17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3.8</w:t>
            </w:r>
          </w:p>
        </w:tc>
        <w:tc>
          <w:tcPr>
            <w:tcW w:w="8140" w:type="dxa"/>
            <w:vAlign w:val="bottom"/>
          </w:tcPr>
          <w:p>
            <w:pPr>
              <w:ind w:left="320"/>
              <w:spacing w:after="0"/>
              <w:rPr>
                <w:sz w:val="20"/>
                <w:szCs w:val="20"/>
                <w:color w:val="auto"/>
              </w:rPr>
            </w:pPr>
            <w:r>
              <w:rPr>
                <w:rFonts w:ascii="Arial" w:cs="Arial" w:eastAsia="Arial" w:hAnsi="Arial"/>
                <w:sz w:val="20"/>
                <w:szCs w:val="20"/>
                <w:color w:val="auto"/>
              </w:rPr>
              <w:t>QUORUM; VOTING</w:t>
            </w:r>
          </w:p>
        </w:tc>
        <w:tc>
          <w:tcPr>
            <w:tcW w:w="17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3.9</w:t>
            </w:r>
          </w:p>
        </w:tc>
        <w:tc>
          <w:tcPr>
            <w:tcW w:w="8140" w:type="dxa"/>
            <w:vAlign w:val="bottom"/>
          </w:tcPr>
          <w:p>
            <w:pPr>
              <w:ind w:left="320"/>
              <w:spacing w:after="0"/>
              <w:rPr>
                <w:sz w:val="20"/>
                <w:szCs w:val="20"/>
                <w:color w:val="auto"/>
              </w:rPr>
            </w:pPr>
            <w:r>
              <w:rPr>
                <w:rFonts w:ascii="Arial" w:cs="Arial" w:eastAsia="Arial" w:hAnsi="Arial"/>
                <w:sz w:val="20"/>
                <w:szCs w:val="20"/>
                <w:color w:val="auto"/>
              </w:rPr>
              <w:t>BOARD ACTION BY WRITTEN CONSENT WITHOUT A MEETING</w:t>
            </w:r>
          </w:p>
        </w:tc>
        <w:tc>
          <w:tcPr>
            <w:tcW w:w="17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3.10</w:t>
            </w:r>
          </w:p>
        </w:tc>
        <w:tc>
          <w:tcPr>
            <w:tcW w:w="8140" w:type="dxa"/>
            <w:vAlign w:val="bottom"/>
          </w:tcPr>
          <w:p>
            <w:pPr>
              <w:ind w:left="320"/>
              <w:spacing w:after="0"/>
              <w:rPr>
                <w:sz w:val="20"/>
                <w:szCs w:val="20"/>
                <w:color w:val="auto"/>
              </w:rPr>
            </w:pPr>
            <w:r>
              <w:rPr>
                <w:rFonts w:ascii="Arial" w:cs="Arial" w:eastAsia="Arial" w:hAnsi="Arial"/>
                <w:sz w:val="20"/>
                <w:szCs w:val="20"/>
                <w:color w:val="auto"/>
              </w:rPr>
              <w:t>FEES AND COMPENSATION OF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3.11</w:t>
            </w:r>
          </w:p>
        </w:tc>
        <w:tc>
          <w:tcPr>
            <w:tcW w:w="8140" w:type="dxa"/>
            <w:vAlign w:val="bottom"/>
          </w:tcPr>
          <w:p>
            <w:pPr>
              <w:ind w:left="320"/>
              <w:spacing w:after="0"/>
              <w:rPr>
                <w:sz w:val="20"/>
                <w:szCs w:val="20"/>
                <w:color w:val="auto"/>
              </w:rPr>
            </w:pPr>
            <w:r>
              <w:rPr>
                <w:rFonts w:ascii="Arial" w:cs="Arial" w:eastAsia="Arial" w:hAnsi="Arial"/>
                <w:sz w:val="20"/>
                <w:szCs w:val="20"/>
                <w:color w:val="auto"/>
              </w:rPr>
              <w:t>REMOVAL OF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364"/>
        </w:trPr>
        <w:tc>
          <w:tcPr>
            <w:tcW w:w="9480" w:type="dxa"/>
            <w:vAlign w:val="bottom"/>
            <w:gridSpan w:val="2"/>
          </w:tcPr>
          <w:p>
            <w:pPr>
              <w:ind w:left="20"/>
              <w:spacing w:after="0"/>
              <w:rPr>
                <w:sz w:val="20"/>
                <w:szCs w:val="20"/>
                <w:color w:val="auto"/>
              </w:rPr>
            </w:pPr>
            <w:r>
              <w:rPr>
                <w:rFonts w:ascii="Arial" w:cs="Arial" w:eastAsia="Arial" w:hAnsi="Arial"/>
                <w:sz w:val="20"/>
                <w:szCs w:val="20"/>
                <w:color w:val="auto"/>
              </w:rPr>
              <w:t>ARTICLE IV - COMMITTEES</w:t>
            </w:r>
          </w:p>
        </w:tc>
        <w:tc>
          <w:tcPr>
            <w:tcW w:w="17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365"/>
        </w:trPr>
        <w:tc>
          <w:tcPr>
            <w:tcW w:w="1340" w:type="dxa"/>
            <w:vAlign w:val="bottom"/>
          </w:tcPr>
          <w:p>
            <w:pPr>
              <w:ind w:left="660"/>
              <w:spacing w:after="0"/>
              <w:rPr>
                <w:sz w:val="20"/>
                <w:szCs w:val="20"/>
                <w:color w:val="auto"/>
              </w:rPr>
            </w:pPr>
            <w:r>
              <w:rPr>
                <w:rFonts w:ascii="Arial" w:cs="Arial" w:eastAsia="Arial" w:hAnsi="Arial"/>
                <w:sz w:val="20"/>
                <w:szCs w:val="20"/>
                <w:color w:val="auto"/>
              </w:rPr>
              <w:t>4.1</w:t>
            </w:r>
          </w:p>
        </w:tc>
        <w:tc>
          <w:tcPr>
            <w:tcW w:w="8140" w:type="dxa"/>
            <w:vAlign w:val="bottom"/>
          </w:tcPr>
          <w:p>
            <w:pPr>
              <w:ind w:left="320"/>
              <w:spacing w:after="0"/>
              <w:rPr>
                <w:sz w:val="20"/>
                <w:szCs w:val="20"/>
                <w:color w:val="auto"/>
              </w:rPr>
            </w:pPr>
            <w:r>
              <w:rPr>
                <w:rFonts w:ascii="Arial" w:cs="Arial" w:eastAsia="Arial" w:hAnsi="Arial"/>
                <w:sz w:val="20"/>
                <w:szCs w:val="20"/>
                <w:color w:val="auto"/>
              </w:rPr>
              <w:t>COMMITTEES OF DIRECTORS</w:t>
            </w:r>
          </w:p>
        </w:tc>
        <w:tc>
          <w:tcPr>
            <w:tcW w:w="17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4.2</w:t>
            </w:r>
          </w:p>
        </w:tc>
        <w:tc>
          <w:tcPr>
            <w:tcW w:w="8140" w:type="dxa"/>
            <w:vAlign w:val="bottom"/>
          </w:tcPr>
          <w:p>
            <w:pPr>
              <w:ind w:left="320"/>
              <w:spacing w:after="0"/>
              <w:rPr>
                <w:sz w:val="20"/>
                <w:szCs w:val="20"/>
                <w:color w:val="auto"/>
              </w:rPr>
            </w:pPr>
            <w:r>
              <w:rPr>
                <w:rFonts w:ascii="Arial" w:cs="Arial" w:eastAsia="Arial" w:hAnsi="Arial"/>
                <w:sz w:val="20"/>
                <w:szCs w:val="20"/>
                <w:color w:val="auto"/>
              </w:rPr>
              <w:t>COMMITTEE MINUTES</w:t>
            </w:r>
          </w:p>
        </w:tc>
        <w:tc>
          <w:tcPr>
            <w:tcW w:w="176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4.3</w:t>
            </w:r>
          </w:p>
        </w:tc>
        <w:tc>
          <w:tcPr>
            <w:tcW w:w="8140" w:type="dxa"/>
            <w:vAlign w:val="bottom"/>
          </w:tcPr>
          <w:p>
            <w:pPr>
              <w:ind w:left="320"/>
              <w:spacing w:after="0"/>
              <w:rPr>
                <w:sz w:val="20"/>
                <w:szCs w:val="20"/>
                <w:color w:val="auto"/>
              </w:rPr>
            </w:pPr>
            <w:r>
              <w:rPr>
                <w:rFonts w:ascii="Arial" w:cs="Arial" w:eastAsia="Arial" w:hAnsi="Arial"/>
                <w:sz w:val="20"/>
                <w:szCs w:val="20"/>
                <w:color w:val="auto"/>
              </w:rPr>
              <w:t>MEETINGS AND ACTION OF COMMITTEES</w:t>
            </w:r>
          </w:p>
        </w:tc>
        <w:tc>
          <w:tcPr>
            <w:tcW w:w="176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4.4</w:t>
            </w:r>
          </w:p>
        </w:tc>
        <w:tc>
          <w:tcPr>
            <w:tcW w:w="8140" w:type="dxa"/>
            <w:vAlign w:val="bottom"/>
          </w:tcPr>
          <w:p>
            <w:pPr>
              <w:ind w:left="320"/>
              <w:spacing w:after="0"/>
              <w:rPr>
                <w:sz w:val="20"/>
                <w:szCs w:val="20"/>
                <w:color w:val="auto"/>
              </w:rPr>
            </w:pPr>
            <w:r>
              <w:rPr>
                <w:rFonts w:ascii="Arial" w:cs="Arial" w:eastAsia="Arial" w:hAnsi="Arial"/>
                <w:sz w:val="20"/>
                <w:szCs w:val="20"/>
                <w:color w:val="auto"/>
              </w:rPr>
              <w:t>SUBCOMMITTEES</w:t>
            </w:r>
          </w:p>
        </w:tc>
        <w:tc>
          <w:tcPr>
            <w:tcW w:w="17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65"/>
        </w:trPr>
        <w:tc>
          <w:tcPr>
            <w:tcW w:w="9480" w:type="dxa"/>
            <w:vAlign w:val="bottom"/>
            <w:gridSpan w:val="2"/>
          </w:tcPr>
          <w:p>
            <w:pPr>
              <w:ind w:left="20"/>
              <w:spacing w:after="0"/>
              <w:rPr>
                <w:sz w:val="20"/>
                <w:szCs w:val="20"/>
                <w:color w:val="auto"/>
              </w:rPr>
            </w:pPr>
            <w:r>
              <w:rPr>
                <w:rFonts w:ascii="Arial" w:cs="Arial" w:eastAsia="Arial" w:hAnsi="Arial"/>
                <w:sz w:val="20"/>
                <w:szCs w:val="20"/>
                <w:color w:val="auto"/>
              </w:rPr>
              <w:t>ARTICLE V - OFFICERS</w:t>
            </w:r>
          </w:p>
        </w:tc>
        <w:tc>
          <w:tcPr>
            <w:tcW w:w="17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64"/>
        </w:trPr>
        <w:tc>
          <w:tcPr>
            <w:tcW w:w="1340" w:type="dxa"/>
            <w:vAlign w:val="bottom"/>
          </w:tcPr>
          <w:p>
            <w:pPr>
              <w:ind w:left="660"/>
              <w:spacing w:after="0"/>
              <w:rPr>
                <w:sz w:val="20"/>
                <w:szCs w:val="20"/>
                <w:color w:val="auto"/>
              </w:rPr>
            </w:pPr>
            <w:r>
              <w:rPr>
                <w:rFonts w:ascii="Arial" w:cs="Arial" w:eastAsia="Arial" w:hAnsi="Arial"/>
                <w:sz w:val="20"/>
                <w:szCs w:val="20"/>
                <w:color w:val="auto"/>
              </w:rPr>
              <w:t>5.1</w:t>
            </w:r>
          </w:p>
        </w:tc>
        <w:tc>
          <w:tcPr>
            <w:tcW w:w="8140" w:type="dxa"/>
            <w:vAlign w:val="bottom"/>
          </w:tcPr>
          <w:p>
            <w:pPr>
              <w:ind w:left="320"/>
              <w:spacing w:after="0"/>
              <w:rPr>
                <w:sz w:val="20"/>
                <w:szCs w:val="20"/>
                <w:color w:val="auto"/>
              </w:rPr>
            </w:pPr>
            <w:r>
              <w:rPr>
                <w:rFonts w:ascii="Arial" w:cs="Arial" w:eastAsia="Arial" w:hAnsi="Arial"/>
                <w:sz w:val="20"/>
                <w:szCs w:val="20"/>
                <w:color w:val="auto"/>
              </w:rPr>
              <w:t>OFFICERS</w:t>
            </w:r>
          </w:p>
        </w:tc>
        <w:tc>
          <w:tcPr>
            <w:tcW w:w="17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7"/>
        </w:trPr>
        <w:tc>
          <w:tcPr>
            <w:tcW w:w="1340" w:type="dxa"/>
            <w:vAlign w:val="bottom"/>
          </w:tcPr>
          <w:p>
            <w:pPr>
              <w:ind w:left="660"/>
              <w:spacing w:after="0"/>
              <w:rPr>
                <w:sz w:val="20"/>
                <w:szCs w:val="20"/>
                <w:color w:val="auto"/>
              </w:rPr>
            </w:pPr>
            <w:r>
              <w:rPr>
                <w:rFonts w:ascii="Arial" w:cs="Arial" w:eastAsia="Arial" w:hAnsi="Arial"/>
                <w:sz w:val="20"/>
                <w:szCs w:val="20"/>
                <w:color w:val="auto"/>
              </w:rPr>
              <w:t>5.2</w:t>
            </w:r>
          </w:p>
        </w:tc>
        <w:tc>
          <w:tcPr>
            <w:tcW w:w="8140" w:type="dxa"/>
            <w:vAlign w:val="bottom"/>
          </w:tcPr>
          <w:p>
            <w:pPr>
              <w:ind w:left="320"/>
              <w:spacing w:after="0"/>
              <w:rPr>
                <w:sz w:val="20"/>
                <w:szCs w:val="20"/>
                <w:color w:val="auto"/>
              </w:rPr>
            </w:pPr>
            <w:r>
              <w:rPr>
                <w:rFonts w:ascii="Arial" w:cs="Arial" w:eastAsia="Arial" w:hAnsi="Arial"/>
                <w:sz w:val="20"/>
                <w:szCs w:val="20"/>
                <w:color w:val="auto"/>
              </w:rPr>
              <w:t>APPOINTMENT OF OFFICERS</w:t>
            </w:r>
          </w:p>
        </w:tc>
        <w:tc>
          <w:tcPr>
            <w:tcW w:w="17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56"/>
        </w:trPr>
        <w:tc>
          <w:tcPr>
            <w:tcW w:w="1340" w:type="dxa"/>
            <w:vAlign w:val="bottom"/>
          </w:tcPr>
          <w:p>
            <w:pPr>
              <w:ind w:left="660"/>
              <w:spacing w:after="0"/>
              <w:rPr>
                <w:sz w:val="20"/>
                <w:szCs w:val="20"/>
                <w:color w:val="auto"/>
              </w:rPr>
            </w:pPr>
            <w:r>
              <w:rPr>
                <w:rFonts w:ascii="Arial" w:cs="Arial" w:eastAsia="Arial" w:hAnsi="Arial"/>
                <w:sz w:val="20"/>
                <w:szCs w:val="20"/>
                <w:color w:val="auto"/>
              </w:rPr>
              <w:t>5.3</w:t>
            </w:r>
          </w:p>
        </w:tc>
        <w:tc>
          <w:tcPr>
            <w:tcW w:w="8140" w:type="dxa"/>
            <w:vAlign w:val="bottom"/>
          </w:tcPr>
          <w:p>
            <w:pPr>
              <w:ind w:left="320"/>
              <w:spacing w:after="0"/>
              <w:rPr>
                <w:sz w:val="20"/>
                <w:szCs w:val="20"/>
                <w:color w:val="auto"/>
              </w:rPr>
            </w:pPr>
            <w:r>
              <w:rPr>
                <w:rFonts w:ascii="Arial" w:cs="Arial" w:eastAsia="Arial" w:hAnsi="Arial"/>
                <w:sz w:val="20"/>
                <w:szCs w:val="20"/>
                <w:color w:val="auto"/>
              </w:rPr>
              <w:t>SUBORDINATE OFFICERS</w:t>
            </w:r>
          </w:p>
        </w:tc>
        <w:tc>
          <w:tcPr>
            <w:tcW w:w="17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354"/>
        </w:trPr>
        <w:tc>
          <w:tcPr>
            <w:tcW w:w="1340" w:type="dxa"/>
            <w:vAlign w:val="bottom"/>
            <w:tcBorders>
              <w:bottom w:val="single" w:sz="8" w:color="9A9A9A"/>
            </w:tcBorders>
          </w:tcPr>
          <w:p>
            <w:pPr>
              <w:spacing w:after="0"/>
              <w:rPr>
                <w:sz w:val="24"/>
                <w:szCs w:val="24"/>
                <w:color w:val="auto"/>
              </w:rPr>
            </w:pPr>
          </w:p>
        </w:tc>
        <w:tc>
          <w:tcPr>
            <w:tcW w:w="8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(continued)</w:t>
      </w: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1"/>
                <w:szCs w:val="21"/>
                <w:color w:val="auto"/>
              </w:rPr>
            </w:pPr>
          </w:p>
        </w:tc>
        <w:tc>
          <w:tcPr>
            <w:tcW w:w="9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Page</w:t>
            </w:r>
          </w:p>
        </w:tc>
      </w:tr>
      <w:tr>
        <w:trPr>
          <w:trHeight w:val="483"/>
        </w:trPr>
        <w:tc>
          <w:tcPr>
            <w:tcW w:w="1320" w:type="dxa"/>
            <w:vAlign w:val="bottom"/>
          </w:tcPr>
          <w:p>
            <w:pPr>
              <w:ind w:left="640"/>
              <w:spacing w:after="0"/>
              <w:rPr>
                <w:sz w:val="20"/>
                <w:szCs w:val="20"/>
                <w:color w:val="auto"/>
              </w:rPr>
            </w:pPr>
            <w:r>
              <w:rPr>
                <w:rFonts w:ascii="Arial" w:cs="Arial" w:eastAsia="Arial" w:hAnsi="Arial"/>
                <w:sz w:val="20"/>
                <w:szCs w:val="20"/>
                <w:color w:val="auto"/>
              </w:rPr>
              <w:t>5.4</w:t>
            </w:r>
          </w:p>
        </w:tc>
        <w:tc>
          <w:tcPr>
            <w:tcW w:w="9160" w:type="dxa"/>
            <w:vAlign w:val="bottom"/>
          </w:tcPr>
          <w:p>
            <w:pPr>
              <w:ind w:left="320"/>
              <w:spacing w:after="0"/>
              <w:rPr>
                <w:sz w:val="20"/>
                <w:szCs w:val="20"/>
                <w:color w:val="auto"/>
              </w:rPr>
            </w:pPr>
            <w:r>
              <w:rPr>
                <w:rFonts w:ascii="Arial" w:cs="Arial" w:eastAsia="Arial" w:hAnsi="Arial"/>
                <w:sz w:val="20"/>
                <w:szCs w:val="20"/>
                <w:color w:val="auto"/>
              </w:rPr>
              <w:t>REMOVAL AND RESIGNATION OF OFFICERS</w:t>
            </w:r>
          </w:p>
        </w:tc>
        <w:tc>
          <w:tcPr>
            <w:tcW w:w="74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5.5</w:t>
            </w:r>
          </w:p>
        </w:tc>
        <w:tc>
          <w:tcPr>
            <w:tcW w:w="9160" w:type="dxa"/>
            <w:vAlign w:val="bottom"/>
          </w:tcPr>
          <w:p>
            <w:pPr>
              <w:ind w:left="320"/>
              <w:spacing w:after="0"/>
              <w:rPr>
                <w:sz w:val="20"/>
                <w:szCs w:val="20"/>
                <w:color w:val="auto"/>
              </w:rPr>
            </w:pPr>
            <w:r>
              <w:rPr>
                <w:rFonts w:ascii="Arial" w:cs="Arial" w:eastAsia="Arial" w:hAnsi="Arial"/>
                <w:sz w:val="20"/>
                <w:szCs w:val="20"/>
                <w:color w:val="auto"/>
              </w:rPr>
              <w:t>VACANCIES IN OFFICES</w:t>
            </w:r>
          </w:p>
        </w:tc>
        <w:tc>
          <w:tcPr>
            <w:tcW w:w="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5.6</w:t>
            </w:r>
          </w:p>
        </w:tc>
        <w:tc>
          <w:tcPr>
            <w:tcW w:w="9160" w:type="dxa"/>
            <w:vAlign w:val="bottom"/>
          </w:tcPr>
          <w:p>
            <w:pPr>
              <w:ind w:left="320"/>
              <w:spacing w:after="0"/>
              <w:rPr>
                <w:sz w:val="20"/>
                <w:szCs w:val="20"/>
                <w:color w:val="auto"/>
              </w:rPr>
            </w:pPr>
            <w:r>
              <w:rPr>
                <w:rFonts w:ascii="Arial" w:cs="Arial" w:eastAsia="Arial" w:hAnsi="Arial"/>
                <w:sz w:val="20"/>
                <w:szCs w:val="20"/>
                <w:color w:val="auto"/>
              </w:rPr>
              <w:t>REPRESENTATION OF SECURITIES OF OTHER ENTITIES</w:t>
            </w:r>
          </w:p>
        </w:tc>
        <w:tc>
          <w:tcPr>
            <w:tcW w:w="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5.7</w:t>
            </w:r>
          </w:p>
        </w:tc>
        <w:tc>
          <w:tcPr>
            <w:tcW w:w="9160" w:type="dxa"/>
            <w:vAlign w:val="bottom"/>
          </w:tcPr>
          <w:p>
            <w:pPr>
              <w:ind w:left="320"/>
              <w:spacing w:after="0"/>
              <w:rPr>
                <w:sz w:val="20"/>
                <w:szCs w:val="20"/>
                <w:color w:val="auto"/>
              </w:rPr>
            </w:pPr>
            <w:r>
              <w:rPr>
                <w:rFonts w:ascii="Arial" w:cs="Arial" w:eastAsia="Arial" w:hAnsi="Arial"/>
                <w:sz w:val="20"/>
                <w:szCs w:val="20"/>
                <w:color w:val="auto"/>
              </w:rPr>
              <w:t>AUTHORITY AND DUTIES OF OFFICERS</w:t>
            </w:r>
          </w:p>
        </w:tc>
        <w:tc>
          <w:tcPr>
            <w:tcW w:w="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64"/>
        </w:trPr>
        <w:tc>
          <w:tcPr>
            <w:tcW w:w="10480" w:type="dxa"/>
            <w:vAlign w:val="bottom"/>
            <w:gridSpan w:val="2"/>
          </w:tcPr>
          <w:p>
            <w:pPr>
              <w:spacing w:after="0"/>
              <w:rPr>
                <w:sz w:val="20"/>
                <w:szCs w:val="20"/>
                <w:color w:val="auto"/>
              </w:rPr>
            </w:pPr>
            <w:r>
              <w:rPr>
                <w:rFonts w:ascii="Arial" w:cs="Arial" w:eastAsia="Arial" w:hAnsi="Arial"/>
                <w:sz w:val="20"/>
                <w:szCs w:val="20"/>
                <w:color w:val="auto"/>
              </w:rPr>
              <w:t>ARTICLE VI - STOCK</w:t>
            </w:r>
          </w:p>
        </w:tc>
        <w:tc>
          <w:tcPr>
            <w:tcW w:w="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64"/>
        </w:trPr>
        <w:tc>
          <w:tcPr>
            <w:tcW w:w="1320" w:type="dxa"/>
            <w:vAlign w:val="bottom"/>
          </w:tcPr>
          <w:p>
            <w:pPr>
              <w:ind w:left="640"/>
              <w:spacing w:after="0"/>
              <w:rPr>
                <w:sz w:val="20"/>
                <w:szCs w:val="20"/>
                <w:color w:val="auto"/>
              </w:rPr>
            </w:pPr>
            <w:r>
              <w:rPr>
                <w:rFonts w:ascii="Arial" w:cs="Arial" w:eastAsia="Arial" w:hAnsi="Arial"/>
                <w:sz w:val="20"/>
                <w:szCs w:val="20"/>
                <w:color w:val="auto"/>
              </w:rPr>
              <w:t>6.1</w:t>
            </w:r>
          </w:p>
        </w:tc>
        <w:tc>
          <w:tcPr>
            <w:tcW w:w="9160" w:type="dxa"/>
            <w:vAlign w:val="bottom"/>
          </w:tcPr>
          <w:p>
            <w:pPr>
              <w:ind w:left="320"/>
              <w:spacing w:after="0"/>
              <w:rPr>
                <w:sz w:val="20"/>
                <w:szCs w:val="20"/>
                <w:color w:val="auto"/>
              </w:rPr>
            </w:pPr>
            <w:r>
              <w:rPr>
                <w:rFonts w:ascii="Arial" w:cs="Arial" w:eastAsia="Arial" w:hAnsi="Arial"/>
                <w:sz w:val="20"/>
                <w:szCs w:val="20"/>
                <w:color w:val="auto"/>
              </w:rPr>
              <w:t>STOCK CERTIFICATES; PARTLY PAID SHARES</w:t>
            </w:r>
          </w:p>
        </w:tc>
        <w:tc>
          <w:tcPr>
            <w:tcW w:w="74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6.2</w:t>
            </w:r>
          </w:p>
        </w:tc>
        <w:tc>
          <w:tcPr>
            <w:tcW w:w="9160" w:type="dxa"/>
            <w:vAlign w:val="bottom"/>
          </w:tcPr>
          <w:p>
            <w:pPr>
              <w:ind w:left="320"/>
              <w:spacing w:after="0"/>
              <w:rPr>
                <w:sz w:val="20"/>
                <w:szCs w:val="20"/>
                <w:color w:val="auto"/>
              </w:rPr>
            </w:pPr>
            <w:r>
              <w:rPr>
                <w:rFonts w:ascii="Arial" w:cs="Arial" w:eastAsia="Arial" w:hAnsi="Arial"/>
                <w:sz w:val="20"/>
                <w:szCs w:val="20"/>
                <w:color w:val="auto"/>
              </w:rPr>
              <w:t>SPECIAL DESIGNATION ON CERTIFICATES</w:t>
            </w:r>
          </w:p>
        </w:tc>
        <w:tc>
          <w:tcPr>
            <w:tcW w:w="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6.3</w:t>
            </w:r>
          </w:p>
        </w:tc>
        <w:tc>
          <w:tcPr>
            <w:tcW w:w="9160" w:type="dxa"/>
            <w:vAlign w:val="bottom"/>
          </w:tcPr>
          <w:p>
            <w:pPr>
              <w:ind w:left="320"/>
              <w:spacing w:after="0"/>
              <w:rPr>
                <w:sz w:val="20"/>
                <w:szCs w:val="20"/>
                <w:color w:val="auto"/>
              </w:rPr>
            </w:pPr>
            <w:r>
              <w:rPr>
                <w:rFonts w:ascii="Arial" w:cs="Arial" w:eastAsia="Arial" w:hAnsi="Arial"/>
                <w:sz w:val="20"/>
                <w:szCs w:val="20"/>
                <w:color w:val="auto"/>
              </w:rPr>
              <w:t>LOST CERTIFICATES</w:t>
            </w:r>
          </w:p>
        </w:tc>
        <w:tc>
          <w:tcPr>
            <w:tcW w:w="74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6.4</w:t>
            </w:r>
          </w:p>
        </w:tc>
        <w:tc>
          <w:tcPr>
            <w:tcW w:w="9160" w:type="dxa"/>
            <w:vAlign w:val="bottom"/>
          </w:tcPr>
          <w:p>
            <w:pPr>
              <w:ind w:left="320"/>
              <w:spacing w:after="0"/>
              <w:rPr>
                <w:sz w:val="20"/>
                <w:szCs w:val="20"/>
                <w:color w:val="auto"/>
              </w:rPr>
            </w:pPr>
            <w:r>
              <w:rPr>
                <w:rFonts w:ascii="Arial" w:cs="Arial" w:eastAsia="Arial" w:hAnsi="Arial"/>
                <w:sz w:val="20"/>
                <w:szCs w:val="20"/>
                <w:color w:val="auto"/>
              </w:rPr>
              <w:t>DIVIDENDS</w:t>
            </w:r>
          </w:p>
        </w:tc>
        <w:tc>
          <w:tcPr>
            <w:tcW w:w="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6.5</w:t>
            </w:r>
          </w:p>
        </w:tc>
        <w:tc>
          <w:tcPr>
            <w:tcW w:w="9160" w:type="dxa"/>
            <w:vAlign w:val="bottom"/>
          </w:tcPr>
          <w:p>
            <w:pPr>
              <w:ind w:left="320"/>
              <w:spacing w:after="0"/>
              <w:rPr>
                <w:sz w:val="20"/>
                <w:szCs w:val="20"/>
                <w:color w:val="auto"/>
              </w:rPr>
            </w:pPr>
            <w:r>
              <w:rPr>
                <w:rFonts w:ascii="Arial" w:cs="Arial" w:eastAsia="Arial" w:hAnsi="Arial"/>
                <w:sz w:val="20"/>
                <w:szCs w:val="20"/>
                <w:color w:val="auto"/>
              </w:rPr>
              <w:t>TRANSFER OF STOCK</w:t>
            </w:r>
          </w:p>
        </w:tc>
        <w:tc>
          <w:tcPr>
            <w:tcW w:w="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6.6</w:t>
            </w:r>
          </w:p>
        </w:tc>
        <w:tc>
          <w:tcPr>
            <w:tcW w:w="9160" w:type="dxa"/>
            <w:vAlign w:val="bottom"/>
          </w:tcPr>
          <w:p>
            <w:pPr>
              <w:ind w:left="320"/>
              <w:spacing w:after="0"/>
              <w:rPr>
                <w:sz w:val="20"/>
                <w:szCs w:val="20"/>
                <w:color w:val="auto"/>
              </w:rPr>
            </w:pPr>
            <w:r>
              <w:rPr>
                <w:rFonts w:ascii="Arial" w:cs="Arial" w:eastAsia="Arial" w:hAnsi="Arial"/>
                <w:sz w:val="20"/>
                <w:szCs w:val="20"/>
                <w:color w:val="auto"/>
              </w:rPr>
              <w:t>STOCK TRANSFER AGREEMENTS</w:t>
            </w:r>
          </w:p>
        </w:tc>
        <w:tc>
          <w:tcPr>
            <w:tcW w:w="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6.7</w:t>
            </w:r>
          </w:p>
        </w:tc>
        <w:tc>
          <w:tcPr>
            <w:tcW w:w="9160" w:type="dxa"/>
            <w:vAlign w:val="bottom"/>
          </w:tcPr>
          <w:p>
            <w:pPr>
              <w:ind w:left="320"/>
              <w:spacing w:after="0"/>
              <w:rPr>
                <w:sz w:val="20"/>
                <w:szCs w:val="20"/>
                <w:color w:val="auto"/>
              </w:rPr>
            </w:pPr>
            <w:r>
              <w:rPr>
                <w:rFonts w:ascii="Arial" w:cs="Arial" w:eastAsia="Arial" w:hAnsi="Arial"/>
                <w:sz w:val="20"/>
                <w:szCs w:val="20"/>
                <w:color w:val="auto"/>
              </w:rPr>
              <w:t>REGISTERED STOCKHOLDERS</w:t>
            </w:r>
          </w:p>
        </w:tc>
        <w:tc>
          <w:tcPr>
            <w:tcW w:w="74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64"/>
        </w:trPr>
        <w:tc>
          <w:tcPr>
            <w:tcW w:w="10480" w:type="dxa"/>
            <w:vAlign w:val="bottom"/>
            <w:gridSpan w:val="2"/>
          </w:tcPr>
          <w:p>
            <w:pPr>
              <w:spacing w:after="0"/>
              <w:rPr>
                <w:sz w:val="20"/>
                <w:szCs w:val="20"/>
                <w:color w:val="auto"/>
              </w:rPr>
            </w:pPr>
            <w:r>
              <w:rPr>
                <w:rFonts w:ascii="Arial" w:cs="Arial" w:eastAsia="Arial" w:hAnsi="Arial"/>
                <w:sz w:val="20"/>
                <w:szCs w:val="20"/>
                <w:color w:val="auto"/>
              </w:rPr>
              <w:t>ARTICLE VII - MANNER OF GIVING NOTICE AND WAIVER</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65"/>
        </w:trPr>
        <w:tc>
          <w:tcPr>
            <w:tcW w:w="1320" w:type="dxa"/>
            <w:vAlign w:val="bottom"/>
          </w:tcPr>
          <w:p>
            <w:pPr>
              <w:ind w:left="640"/>
              <w:spacing w:after="0"/>
              <w:rPr>
                <w:sz w:val="20"/>
                <w:szCs w:val="20"/>
                <w:color w:val="auto"/>
              </w:rPr>
            </w:pPr>
            <w:r>
              <w:rPr>
                <w:rFonts w:ascii="Arial" w:cs="Arial" w:eastAsia="Arial" w:hAnsi="Arial"/>
                <w:sz w:val="20"/>
                <w:szCs w:val="20"/>
                <w:color w:val="auto"/>
              </w:rPr>
              <w:t>7.1</w:t>
            </w:r>
          </w:p>
        </w:tc>
        <w:tc>
          <w:tcPr>
            <w:tcW w:w="9160" w:type="dxa"/>
            <w:vAlign w:val="bottom"/>
          </w:tcPr>
          <w:p>
            <w:pPr>
              <w:ind w:left="320"/>
              <w:spacing w:after="0"/>
              <w:rPr>
                <w:sz w:val="20"/>
                <w:szCs w:val="20"/>
                <w:color w:val="auto"/>
              </w:rPr>
            </w:pPr>
            <w:r>
              <w:rPr>
                <w:rFonts w:ascii="Arial" w:cs="Arial" w:eastAsia="Arial" w:hAnsi="Arial"/>
                <w:sz w:val="20"/>
                <w:szCs w:val="20"/>
                <w:color w:val="auto"/>
              </w:rPr>
              <w:t>NOTICE OF STOCKHOLDERS’ MEETINGS</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7.2</w:t>
            </w:r>
          </w:p>
        </w:tc>
        <w:tc>
          <w:tcPr>
            <w:tcW w:w="9160" w:type="dxa"/>
            <w:vAlign w:val="bottom"/>
          </w:tcPr>
          <w:p>
            <w:pPr>
              <w:ind w:left="320"/>
              <w:spacing w:after="0"/>
              <w:rPr>
                <w:sz w:val="20"/>
                <w:szCs w:val="20"/>
                <w:color w:val="auto"/>
              </w:rPr>
            </w:pPr>
            <w:r>
              <w:rPr>
                <w:rFonts w:ascii="Arial" w:cs="Arial" w:eastAsia="Arial" w:hAnsi="Arial"/>
                <w:sz w:val="20"/>
                <w:szCs w:val="20"/>
                <w:color w:val="auto"/>
              </w:rPr>
              <w:t>NOTICE TO STOCKHOLDERS SHARING AN ADDRESS</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7.3</w:t>
            </w:r>
          </w:p>
        </w:tc>
        <w:tc>
          <w:tcPr>
            <w:tcW w:w="9160" w:type="dxa"/>
            <w:vAlign w:val="bottom"/>
          </w:tcPr>
          <w:p>
            <w:pPr>
              <w:ind w:left="320"/>
              <w:spacing w:after="0"/>
              <w:rPr>
                <w:sz w:val="20"/>
                <w:szCs w:val="20"/>
                <w:color w:val="auto"/>
              </w:rPr>
            </w:pPr>
            <w:r>
              <w:rPr>
                <w:rFonts w:ascii="Arial" w:cs="Arial" w:eastAsia="Arial" w:hAnsi="Arial"/>
                <w:sz w:val="20"/>
                <w:szCs w:val="20"/>
                <w:color w:val="auto"/>
              </w:rPr>
              <w:t>NOTICE TO PERSON WITH WHOM COMMUNICATION IS UNLAWFUL</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7.4</w:t>
            </w:r>
          </w:p>
        </w:tc>
        <w:tc>
          <w:tcPr>
            <w:tcW w:w="9160" w:type="dxa"/>
            <w:vAlign w:val="bottom"/>
          </w:tcPr>
          <w:p>
            <w:pPr>
              <w:ind w:left="320"/>
              <w:spacing w:after="0"/>
              <w:rPr>
                <w:sz w:val="20"/>
                <w:szCs w:val="20"/>
                <w:color w:val="auto"/>
              </w:rPr>
            </w:pPr>
            <w:r>
              <w:rPr>
                <w:rFonts w:ascii="Arial" w:cs="Arial" w:eastAsia="Arial" w:hAnsi="Arial"/>
                <w:sz w:val="20"/>
                <w:szCs w:val="20"/>
                <w:color w:val="auto"/>
              </w:rPr>
              <w:t>WAIVER OF NOTICE</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65"/>
        </w:trPr>
        <w:tc>
          <w:tcPr>
            <w:tcW w:w="10480" w:type="dxa"/>
            <w:vAlign w:val="bottom"/>
            <w:gridSpan w:val="2"/>
          </w:tcPr>
          <w:p>
            <w:pPr>
              <w:spacing w:after="0"/>
              <w:rPr>
                <w:sz w:val="20"/>
                <w:szCs w:val="20"/>
                <w:color w:val="auto"/>
              </w:rPr>
            </w:pPr>
            <w:r>
              <w:rPr>
                <w:rFonts w:ascii="Arial" w:cs="Arial" w:eastAsia="Arial" w:hAnsi="Arial"/>
                <w:sz w:val="20"/>
                <w:szCs w:val="20"/>
                <w:color w:val="auto"/>
              </w:rPr>
              <w:t>ARTICLE VIII - INDEMNIFICATION</w:t>
            </w: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64"/>
        </w:trPr>
        <w:tc>
          <w:tcPr>
            <w:tcW w:w="1320" w:type="dxa"/>
            <w:vAlign w:val="bottom"/>
          </w:tcPr>
          <w:p>
            <w:pPr>
              <w:ind w:left="640"/>
              <w:spacing w:after="0"/>
              <w:rPr>
                <w:sz w:val="20"/>
                <w:szCs w:val="20"/>
                <w:color w:val="auto"/>
              </w:rPr>
            </w:pPr>
            <w:r>
              <w:rPr>
                <w:rFonts w:ascii="Arial" w:cs="Arial" w:eastAsia="Arial" w:hAnsi="Arial"/>
                <w:sz w:val="20"/>
                <w:szCs w:val="20"/>
                <w:color w:val="auto"/>
              </w:rPr>
              <w:t>8.1</w:t>
            </w:r>
          </w:p>
        </w:tc>
        <w:tc>
          <w:tcPr>
            <w:tcW w:w="9160" w:type="dxa"/>
            <w:vAlign w:val="bottom"/>
          </w:tcPr>
          <w:p>
            <w:pPr>
              <w:ind w:left="320"/>
              <w:spacing w:after="0"/>
              <w:rPr>
                <w:sz w:val="20"/>
                <w:szCs w:val="20"/>
                <w:color w:val="auto"/>
              </w:rPr>
            </w:pPr>
            <w:r>
              <w:rPr>
                <w:rFonts w:ascii="Arial" w:cs="Arial" w:eastAsia="Arial" w:hAnsi="Arial"/>
                <w:sz w:val="20"/>
                <w:szCs w:val="20"/>
                <w:color w:val="auto"/>
              </w:rPr>
              <w:t>INDEMNIFICATION OF DIRECTORS AND OFFICERS IN THIRD PARTY PROCEEDINGS</w:t>
            </w: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36"/>
        </w:trPr>
        <w:tc>
          <w:tcPr>
            <w:tcW w:w="1320" w:type="dxa"/>
            <w:vAlign w:val="bottom"/>
          </w:tcPr>
          <w:p>
            <w:pPr>
              <w:ind w:left="640"/>
              <w:spacing w:after="0"/>
              <w:rPr>
                <w:sz w:val="20"/>
                <w:szCs w:val="20"/>
                <w:color w:val="auto"/>
              </w:rPr>
            </w:pPr>
            <w:r>
              <w:rPr>
                <w:rFonts w:ascii="Arial" w:cs="Arial" w:eastAsia="Arial" w:hAnsi="Arial"/>
                <w:sz w:val="20"/>
                <w:szCs w:val="20"/>
                <w:color w:val="auto"/>
              </w:rPr>
              <w:t>8.2</w:t>
            </w:r>
          </w:p>
        </w:tc>
        <w:tc>
          <w:tcPr>
            <w:tcW w:w="9160" w:type="dxa"/>
            <w:vAlign w:val="bottom"/>
          </w:tcPr>
          <w:p>
            <w:pPr>
              <w:ind w:left="320"/>
              <w:spacing w:after="0"/>
              <w:rPr>
                <w:sz w:val="20"/>
                <w:szCs w:val="20"/>
                <w:color w:val="auto"/>
              </w:rPr>
            </w:pPr>
            <w:r>
              <w:rPr>
                <w:rFonts w:ascii="Arial" w:cs="Arial" w:eastAsia="Arial" w:hAnsi="Arial"/>
                <w:sz w:val="20"/>
                <w:szCs w:val="20"/>
                <w:color w:val="auto"/>
                <w:w w:val="98"/>
              </w:rPr>
              <w:t>INDEMNIFICATION OF DIRECTORS AND OFFICERS IN ACTIONS BY OR IN THE RIGHT OF THE</w:t>
            </w:r>
          </w:p>
        </w:tc>
        <w:tc>
          <w:tcPr>
            <w:tcW w:w="740" w:type="dxa"/>
            <w:vAlign w:val="bottom"/>
          </w:tcPr>
          <w:p>
            <w:pPr>
              <w:spacing w:after="0"/>
              <w:rPr>
                <w:sz w:val="20"/>
                <w:szCs w:val="20"/>
                <w:color w:val="auto"/>
              </w:rPr>
            </w:pPr>
          </w:p>
        </w:tc>
      </w:tr>
      <w:tr>
        <w:trPr>
          <w:trHeight w:val="250"/>
        </w:trPr>
        <w:tc>
          <w:tcPr>
            <w:tcW w:w="1320" w:type="dxa"/>
            <w:vAlign w:val="bottom"/>
          </w:tcPr>
          <w:p>
            <w:pPr>
              <w:spacing w:after="0"/>
              <w:rPr>
                <w:sz w:val="21"/>
                <w:szCs w:val="21"/>
                <w:color w:val="auto"/>
              </w:rPr>
            </w:pPr>
          </w:p>
        </w:tc>
        <w:tc>
          <w:tcPr>
            <w:tcW w:w="9160" w:type="dxa"/>
            <w:vAlign w:val="bottom"/>
          </w:tcPr>
          <w:p>
            <w:pPr>
              <w:ind w:left="320"/>
              <w:spacing w:after="0"/>
              <w:rPr>
                <w:sz w:val="20"/>
                <w:szCs w:val="20"/>
                <w:color w:val="auto"/>
              </w:rPr>
            </w:pPr>
            <w:r>
              <w:rPr>
                <w:rFonts w:ascii="Arial" w:cs="Arial" w:eastAsia="Arial" w:hAnsi="Arial"/>
                <w:sz w:val="20"/>
                <w:szCs w:val="20"/>
                <w:color w:val="auto"/>
              </w:rPr>
              <w:t>CORPORATION</w:t>
            </w:r>
          </w:p>
        </w:tc>
        <w:tc>
          <w:tcPr>
            <w:tcW w:w="74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8.3</w:t>
            </w:r>
          </w:p>
        </w:tc>
        <w:tc>
          <w:tcPr>
            <w:tcW w:w="9160" w:type="dxa"/>
            <w:vAlign w:val="bottom"/>
          </w:tcPr>
          <w:p>
            <w:pPr>
              <w:ind w:left="320"/>
              <w:spacing w:after="0"/>
              <w:rPr>
                <w:sz w:val="20"/>
                <w:szCs w:val="20"/>
                <w:color w:val="auto"/>
              </w:rPr>
            </w:pPr>
            <w:r>
              <w:rPr>
                <w:rFonts w:ascii="Arial" w:cs="Arial" w:eastAsia="Arial" w:hAnsi="Arial"/>
                <w:sz w:val="20"/>
                <w:szCs w:val="20"/>
                <w:color w:val="auto"/>
              </w:rPr>
              <w:t>SUCCESSFUL DEFENSE</w:t>
            </w: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8.4</w:t>
            </w:r>
          </w:p>
        </w:tc>
        <w:tc>
          <w:tcPr>
            <w:tcW w:w="9160" w:type="dxa"/>
            <w:vAlign w:val="bottom"/>
          </w:tcPr>
          <w:p>
            <w:pPr>
              <w:ind w:left="320"/>
              <w:spacing w:after="0"/>
              <w:rPr>
                <w:sz w:val="20"/>
                <w:szCs w:val="20"/>
                <w:color w:val="auto"/>
              </w:rPr>
            </w:pPr>
            <w:r>
              <w:rPr>
                <w:rFonts w:ascii="Arial" w:cs="Arial" w:eastAsia="Arial" w:hAnsi="Arial"/>
                <w:sz w:val="20"/>
                <w:szCs w:val="20"/>
                <w:color w:val="auto"/>
              </w:rPr>
              <w:t>INDEMNIFICATION OF OTHERS</w:t>
            </w: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8.5</w:t>
            </w:r>
          </w:p>
        </w:tc>
        <w:tc>
          <w:tcPr>
            <w:tcW w:w="9160" w:type="dxa"/>
            <w:vAlign w:val="bottom"/>
          </w:tcPr>
          <w:p>
            <w:pPr>
              <w:ind w:left="320"/>
              <w:spacing w:after="0"/>
              <w:rPr>
                <w:sz w:val="20"/>
                <w:szCs w:val="20"/>
                <w:color w:val="auto"/>
              </w:rPr>
            </w:pPr>
            <w:r>
              <w:rPr>
                <w:rFonts w:ascii="Arial" w:cs="Arial" w:eastAsia="Arial" w:hAnsi="Arial"/>
                <w:sz w:val="20"/>
                <w:szCs w:val="20"/>
                <w:color w:val="auto"/>
              </w:rPr>
              <w:t>ADVANCED PAYMENT OF EXPENSES</w:t>
            </w:r>
          </w:p>
        </w:tc>
        <w:tc>
          <w:tcPr>
            <w:tcW w:w="74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8.6</w:t>
            </w:r>
          </w:p>
        </w:tc>
        <w:tc>
          <w:tcPr>
            <w:tcW w:w="9160" w:type="dxa"/>
            <w:vAlign w:val="bottom"/>
          </w:tcPr>
          <w:p>
            <w:pPr>
              <w:ind w:left="320"/>
              <w:spacing w:after="0"/>
              <w:rPr>
                <w:sz w:val="20"/>
                <w:szCs w:val="20"/>
                <w:color w:val="auto"/>
              </w:rPr>
            </w:pPr>
            <w:r>
              <w:rPr>
                <w:rFonts w:ascii="Arial" w:cs="Arial" w:eastAsia="Arial" w:hAnsi="Arial"/>
                <w:sz w:val="20"/>
                <w:szCs w:val="20"/>
                <w:color w:val="auto"/>
              </w:rPr>
              <w:t>LIMITATION ON INDEMNIFICATION</w:t>
            </w:r>
          </w:p>
        </w:tc>
        <w:tc>
          <w:tcPr>
            <w:tcW w:w="7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8.7</w:t>
            </w:r>
          </w:p>
        </w:tc>
        <w:tc>
          <w:tcPr>
            <w:tcW w:w="9160" w:type="dxa"/>
            <w:vAlign w:val="bottom"/>
          </w:tcPr>
          <w:p>
            <w:pPr>
              <w:ind w:left="320"/>
              <w:spacing w:after="0"/>
              <w:rPr>
                <w:sz w:val="20"/>
                <w:szCs w:val="20"/>
                <w:color w:val="auto"/>
              </w:rPr>
            </w:pPr>
            <w:r>
              <w:rPr>
                <w:rFonts w:ascii="Arial" w:cs="Arial" w:eastAsia="Arial" w:hAnsi="Arial"/>
                <w:sz w:val="20"/>
                <w:szCs w:val="20"/>
                <w:color w:val="auto"/>
              </w:rPr>
              <w:t>DETERMINATION; CLAIM</w:t>
            </w:r>
          </w:p>
        </w:tc>
        <w:tc>
          <w:tcPr>
            <w:tcW w:w="7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8.8</w:t>
            </w:r>
          </w:p>
        </w:tc>
        <w:tc>
          <w:tcPr>
            <w:tcW w:w="9160" w:type="dxa"/>
            <w:vAlign w:val="bottom"/>
          </w:tcPr>
          <w:p>
            <w:pPr>
              <w:ind w:left="320"/>
              <w:spacing w:after="0"/>
              <w:rPr>
                <w:sz w:val="20"/>
                <w:szCs w:val="20"/>
                <w:color w:val="auto"/>
              </w:rPr>
            </w:pPr>
            <w:r>
              <w:rPr>
                <w:rFonts w:ascii="Arial" w:cs="Arial" w:eastAsia="Arial" w:hAnsi="Arial"/>
                <w:sz w:val="20"/>
                <w:szCs w:val="20"/>
                <w:color w:val="auto"/>
              </w:rPr>
              <w:t>NON-EXCLUSIVITY OF RIGHTS</w:t>
            </w: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8.9</w:t>
            </w:r>
          </w:p>
        </w:tc>
        <w:tc>
          <w:tcPr>
            <w:tcW w:w="9160" w:type="dxa"/>
            <w:vAlign w:val="bottom"/>
          </w:tcPr>
          <w:p>
            <w:pPr>
              <w:ind w:left="320"/>
              <w:spacing w:after="0"/>
              <w:rPr>
                <w:sz w:val="20"/>
                <w:szCs w:val="20"/>
                <w:color w:val="auto"/>
              </w:rPr>
            </w:pPr>
            <w:r>
              <w:rPr>
                <w:rFonts w:ascii="Arial" w:cs="Arial" w:eastAsia="Arial" w:hAnsi="Arial"/>
                <w:sz w:val="20"/>
                <w:szCs w:val="20"/>
                <w:color w:val="auto"/>
              </w:rPr>
              <w:t>INSURANCE</w:t>
            </w: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8.10</w:t>
            </w:r>
          </w:p>
        </w:tc>
        <w:tc>
          <w:tcPr>
            <w:tcW w:w="9160" w:type="dxa"/>
            <w:vAlign w:val="bottom"/>
          </w:tcPr>
          <w:p>
            <w:pPr>
              <w:ind w:left="320"/>
              <w:spacing w:after="0"/>
              <w:rPr>
                <w:sz w:val="20"/>
                <w:szCs w:val="20"/>
                <w:color w:val="auto"/>
              </w:rPr>
            </w:pPr>
            <w:r>
              <w:rPr>
                <w:rFonts w:ascii="Arial" w:cs="Arial" w:eastAsia="Arial" w:hAnsi="Arial"/>
                <w:sz w:val="20"/>
                <w:szCs w:val="20"/>
                <w:color w:val="auto"/>
              </w:rPr>
              <w:t>SURVIVAL</w:t>
            </w: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8.11</w:t>
            </w:r>
          </w:p>
        </w:tc>
        <w:tc>
          <w:tcPr>
            <w:tcW w:w="9160" w:type="dxa"/>
            <w:vAlign w:val="bottom"/>
          </w:tcPr>
          <w:p>
            <w:pPr>
              <w:ind w:left="320"/>
              <w:spacing w:after="0"/>
              <w:rPr>
                <w:sz w:val="20"/>
                <w:szCs w:val="20"/>
                <w:color w:val="auto"/>
              </w:rPr>
            </w:pPr>
            <w:r>
              <w:rPr>
                <w:rFonts w:ascii="Arial" w:cs="Arial" w:eastAsia="Arial" w:hAnsi="Arial"/>
                <w:sz w:val="20"/>
                <w:szCs w:val="20"/>
                <w:color w:val="auto"/>
              </w:rPr>
              <w:t>EFFECT OF REPEAL OR MODIFICATION</w:t>
            </w: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8.12</w:t>
            </w:r>
          </w:p>
        </w:tc>
        <w:tc>
          <w:tcPr>
            <w:tcW w:w="9160" w:type="dxa"/>
            <w:vAlign w:val="bottom"/>
          </w:tcPr>
          <w:p>
            <w:pPr>
              <w:ind w:left="320"/>
              <w:spacing w:after="0"/>
              <w:rPr>
                <w:sz w:val="20"/>
                <w:szCs w:val="20"/>
                <w:color w:val="auto"/>
              </w:rPr>
            </w:pPr>
            <w:r>
              <w:rPr>
                <w:rFonts w:ascii="Arial" w:cs="Arial" w:eastAsia="Arial" w:hAnsi="Arial"/>
                <w:sz w:val="20"/>
                <w:szCs w:val="20"/>
                <w:color w:val="auto"/>
              </w:rPr>
              <w:t>CERTAIN DEFINITIONS</w:t>
            </w:r>
          </w:p>
        </w:tc>
        <w:tc>
          <w:tcPr>
            <w:tcW w:w="7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65"/>
        </w:trPr>
        <w:tc>
          <w:tcPr>
            <w:tcW w:w="10480" w:type="dxa"/>
            <w:vAlign w:val="bottom"/>
            <w:gridSpan w:val="2"/>
          </w:tcPr>
          <w:p>
            <w:pPr>
              <w:spacing w:after="0"/>
              <w:rPr>
                <w:sz w:val="20"/>
                <w:szCs w:val="20"/>
                <w:color w:val="auto"/>
              </w:rPr>
            </w:pPr>
            <w:r>
              <w:rPr>
                <w:rFonts w:ascii="Arial" w:cs="Arial" w:eastAsia="Arial" w:hAnsi="Arial"/>
                <w:sz w:val="20"/>
                <w:szCs w:val="20"/>
                <w:color w:val="auto"/>
              </w:rPr>
              <w:t>ARTICLE IX - GENERAL MATTERS</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65"/>
        </w:trPr>
        <w:tc>
          <w:tcPr>
            <w:tcW w:w="1320" w:type="dxa"/>
            <w:vAlign w:val="bottom"/>
          </w:tcPr>
          <w:p>
            <w:pPr>
              <w:ind w:left="640"/>
              <w:spacing w:after="0"/>
              <w:rPr>
                <w:sz w:val="20"/>
                <w:szCs w:val="20"/>
                <w:color w:val="auto"/>
              </w:rPr>
            </w:pPr>
            <w:r>
              <w:rPr>
                <w:rFonts w:ascii="Arial" w:cs="Arial" w:eastAsia="Arial" w:hAnsi="Arial"/>
                <w:sz w:val="20"/>
                <w:szCs w:val="20"/>
                <w:color w:val="auto"/>
              </w:rPr>
              <w:t>9.1</w:t>
            </w:r>
          </w:p>
        </w:tc>
        <w:tc>
          <w:tcPr>
            <w:tcW w:w="9160" w:type="dxa"/>
            <w:vAlign w:val="bottom"/>
          </w:tcPr>
          <w:p>
            <w:pPr>
              <w:ind w:left="320"/>
              <w:spacing w:after="0"/>
              <w:rPr>
                <w:sz w:val="20"/>
                <w:szCs w:val="20"/>
                <w:color w:val="auto"/>
              </w:rPr>
            </w:pPr>
            <w:r>
              <w:rPr>
                <w:rFonts w:ascii="Arial" w:cs="Arial" w:eastAsia="Arial" w:hAnsi="Arial"/>
                <w:sz w:val="20"/>
                <w:szCs w:val="20"/>
                <w:color w:val="auto"/>
              </w:rPr>
              <w:t>EXECUTION OF CORPORATE CONTRACTS AND INSTRUMENTS</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9.2</w:t>
            </w:r>
          </w:p>
        </w:tc>
        <w:tc>
          <w:tcPr>
            <w:tcW w:w="9160" w:type="dxa"/>
            <w:vAlign w:val="bottom"/>
          </w:tcPr>
          <w:p>
            <w:pPr>
              <w:ind w:left="320"/>
              <w:spacing w:after="0"/>
              <w:rPr>
                <w:sz w:val="20"/>
                <w:szCs w:val="20"/>
                <w:color w:val="auto"/>
              </w:rPr>
            </w:pPr>
            <w:r>
              <w:rPr>
                <w:rFonts w:ascii="Arial" w:cs="Arial" w:eastAsia="Arial" w:hAnsi="Arial"/>
                <w:sz w:val="20"/>
                <w:szCs w:val="20"/>
                <w:color w:val="auto"/>
              </w:rPr>
              <w:t>FISCAL YEAR</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7"/>
        </w:trPr>
        <w:tc>
          <w:tcPr>
            <w:tcW w:w="1320" w:type="dxa"/>
            <w:vAlign w:val="bottom"/>
          </w:tcPr>
          <w:p>
            <w:pPr>
              <w:ind w:left="640"/>
              <w:spacing w:after="0"/>
              <w:rPr>
                <w:sz w:val="20"/>
                <w:szCs w:val="20"/>
                <w:color w:val="auto"/>
              </w:rPr>
            </w:pPr>
            <w:r>
              <w:rPr>
                <w:rFonts w:ascii="Arial" w:cs="Arial" w:eastAsia="Arial" w:hAnsi="Arial"/>
                <w:sz w:val="20"/>
                <w:szCs w:val="20"/>
                <w:color w:val="auto"/>
              </w:rPr>
              <w:t>9.3</w:t>
            </w:r>
          </w:p>
        </w:tc>
        <w:tc>
          <w:tcPr>
            <w:tcW w:w="9160" w:type="dxa"/>
            <w:vAlign w:val="bottom"/>
          </w:tcPr>
          <w:p>
            <w:pPr>
              <w:ind w:left="320"/>
              <w:spacing w:after="0"/>
              <w:rPr>
                <w:sz w:val="20"/>
                <w:szCs w:val="20"/>
                <w:color w:val="auto"/>
              </w:rPr>
            </w:pPr>
            <w:r>
              <w:rPr>
                <w:rFonts w:ascii="Arial" w:cs="Arial" w:eastAsia="Arial" w:hAnsi="Arial"/>
                <w:sz w:val="20"/>
                <w:szCs w:val="20"/>
                <w:color w:val="auto"/>
              </w:rPr>
              <w:t>SEAL</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6"/>
        </w:trPr>
        <w:tc>
          <w:tcPr>
            <w:tcW w:w="1320" w:type="dxa"/>
            <w:vAlign w:val="bottom"/>
          </w:tcPr>
          <w:p>
            <w:pPr>
              <w:ind w:left="640"/>
              <w:spacing w:after="0"/>
              <w:rPr>
                <w:sz w:val="20"/>
                <w:szCs w:val="20"/>
                <w:color w:val="auto"/>
              </w:rPr>
            </w:pPr>
            <w:r>
              <w:rPr>
                <w:rFonts w:ascii="Arial" w:cs="Arial" w:eastAsia="Arial" w:hAnsi="Arial"/>
                <w:sz w:val="20"/>
                <w:szCs w:val="20"/>
                <w:color w:val="auto"/>
              </w:rPr>
              <w:t>9.4</w:t>
            </w:r>
          </w:p>
        </w:tc>
        <w:tc>
          <w:tcPr>
            <w:tcW w:w="9160" w:type="dxa"/>
            <w:vAlign w:val="bottom"/>
          </w:tcPr>
          <w:p>
            <w:pPr>
              <w:ind w:left="320"/>
              <w:spacing w:after="0"/>
              <w:rPr>
                <w:sz w:val="20"/>
                <w:szCs w:val="20"/>
                <w:color w:val="auto"/>
              </w:rPr>
            </w:pPr>
            <w:r>
              <w:rPr>
                <w:rFonts w:ascii="Arial" w:cs="Arial" w:eastAsia="Arial" w:hAnsi="Arial"/>
                <w:sz w:val="20"/>
                <w:szCs w:val="20"/>
                <w:color w:val="auto"/>
              </w:rPr>
              <w:t>CONSTRUCTION; DEFINITIONS</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bl>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60" w:type="dxa"/>
            <w:vAlign w:val="bottom"/>
          </w:tcPr>
          <w:p>
            <w:pPr>
              <w:spacing w:after="0"/>
              <w:rPr>
                <w:sz w:val="20"/>
                <w:szCs w:val="20"/>
                <w:color w:val="auto"/>
              </w:rPr>
            </w:pPr>
            <w:r>
              <w:rPr>
                <w:rFonts w:ascii="Arial" w:cs="Arial" w:eastAsia="Arial" w:hAnsi="Arial"/>
                <w:sz w:val="20"/>
                <w:szCs w:val="20"/>
                <w:color w:val="auto"/>
              </w:rPr>
              <w:t>ARTICLE X - AMENDMENTS</w:t>
            </w:r>
          </w:p>
        </w:tc>
        <w:tc>
          <w:tcPr>
            <w:tcW w:w="414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73"/>
        </w:trPr>
        <w:tc>
          <w:tcPr>
            <w:tcW w:w="7060" w:type="dxa"/>
            <w:vAlign w:val="bottom"/>
          </w:tcPr>
          <w:p>
            <w:pPr>
              <w:spacing w:after="0"/>
              <w:rPr>
                <w:sz w:val="20"/>
                <w:szCs w:val="20"/>
                <w:color w:val="auto"/>
              </w:rPr>
            </w:pPr>
            <w:r>
              <w:rPr>
                <w:rFonts w:ascii="Arial" w:cs="Arial" w:eastAsia="Arial" w:hAnsi="Arial"/>
                <w:sz w:val="20"/>
                <w:szCs w:val="20"/>
                <w:color w:val="auto"/>
              </w:rPr>
              <w:t>ARTICLE XI - EXCLUSIVE FORUM</w:t>
            </w:r>
          </w:p>
        </w:tc>
        <w:tc>
          <w:tcPr>
            <w:tcW w:w="4140" w:type="dxa"/>
            <w:vAlign w:val="bottom"/>
          </w:tcPr>
          <w:p>
            <w:pPr>
              <w:jc w:val="right"/>
              <w:spacing w:after="0"/>
              <w:rPr>
                <w:sz w:val="20"/>
                <w:szCs w:val="20"/>
                <w:color w:val="auto"/>
              </w:rPr>
            </w:pPr>
            <w:r>
              <w:rPr>
                <w:rFonts w:ascii="Arial" w:cs="Arial" w:eastAsia="Arial" w:hAnsi="Arial"/>
                <w:sz w:val="20"/>
                <w:szCs w:val="20"/>
                <w:color w:val="auto"/>
              </w:rPr>
              <w:t>31</w:t>
            </w:r>
          </w:p>
        </w:tc>
      </w:tr>
    </w:tbl>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BYLAWS OF ALX ONCOLOGY HOLDINGS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REGISTERED OFFICE</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registered office of ALX Oncology Holdings Inc. shall be fixed in the corporation’s certificate of incorporation, as the same may be amended from time to time.</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OTHER OFFICES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corporation’s board of directors (the “</w:t>
      </w:r>
      <w:r>
        <w:rPr>
          <w:rFonts w:ascii="Arial" w:cs="Arial" w:eastAsia="Arial" w:hAnsi="Arial"/>
          <w:sz w:val="19"/>
          <w:szCs w:val="19"/>
          <w:b w:val="1"/>
          <w:bCs w:val="1"/>
          <w:color w:val="auto"/>
        </w:rPr>
        <w:t>board of directors</w:t>
      </w:r>
      <w:r>
        <w:rPr>
          <w:rFonts w:ascii="Arial" w:cs="Arial" w:eastAsia="Arial" w:hAnsi="Arial"/>
          <w:sz w:val="19"/>
          <w:szCs w:val="19"/>
          <w:color w:val="auto"/>
        </w:rPr>
        <w:t>”) may at any time establish other offices at any place or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places.</w:t>
      </w:r>
    </w:p>
    <w:p>
      <w:pPr>
        <w:spacing w:after="0" w:line="398" w:lineRule="exact"/>
        <w:rPr>
          <w:sz w:val="20"/>
          <w:szCs w:val="20"/>
          <w:color w:val="auto"/>
        </w:rPr>
      </w:pPr>
    </w:p>
    <w:p>
      <w:pPr>
        <w:ind w:left="760" w:right="3240" w:firstLine="2491"/>
        <w:spacing w:after="0" w:line="438" w:lineRule="auto"/>
        <w:rPr>
          <w:sz w:val="20"/>
          <w:szCs w:val="20"/>
          <w:color w:val="auto"/>
        </w:rPr>
      </w:pPr>
      <w:r>
        <w:rPr>
          <w:rFonts w:ascii="Arial" w:cs="Arial" w:eastAsia="Arial" w:hAnsi="Arial"/>
          <w:sz w:val="22"/>
          <w:szCs w:val="22"/>
          <w:b w:val="1"/>
          <w:bCs w:val="1"/>
          <w:color w:val="auto"/>
        </w:rPr>
        <w:t xml:space="preserve">ARTICLE II - MEETINGS OF STOCKHOLDERS </w:t>
      </w:r>
      <w:r>
        <w:rPr>
          <w:rFonts w:ascii="Arial" w:cs="Arial" w:eastAsia="Arial" w:hAnsi="Arial"/>
          <w:sz w:val="22"/>
          <w:szCs w:val="22"/>
          <w:color w:val="auto"/>
        </w:rPr>
        <w:t>2.1 PLACE OF MEETINGS</w:t>
      </w:r>
    </w:p>
    <w:p>
      <w:pPr>
        <w:spacing w:after="0" w:line="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Meetings of stockholders shall be held at any place, within or outside the State of Delaware, determined by the board of directors.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22"/>
          <w:szCs w:val="22"/>
          <w:b w:val="1"/>
          <w:bCs w:val="1"/>
          <w:color w:val="auto"/>
        </w:rPr>
        <w:t>DGCL</w:t>
      </w:r>
      <w:r>
        <w:rPr>
          <w:rFonts w:ascii="Arial" w:cs="Arial" w:eastAsia="Arial" w:hAnsi="Arial"/>
          <w:sz w:val="22"/>
          <w:szCs w:val="22"/>
          <w:color w:val="auto"/>
        </w:rPr>
        <w:t>”). In the absence of any such designation or determination, stockholders’ meetings shall be held at the corporation’s principal executive office.</w:t>
      </w:r>
    </w:p>
    <w:p>
      <w:pPr>
        <w:spacing w:after="0" w:line="18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color w:val="auto"/>
        </w:rPr>
        <w:t>ANNUAL MEETING</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annual meeting of stockholders shall be held at such place, on such day and at such time as may be fixed by the board of directors each year.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22"/>
          <w:szCs w:val="22"/>
          <w:b w:val="1"/>
          <w:bCs w:val="1"/>
          <w:color w:val="auto"/>
        </w:rPr>
        <w:t>Whole Board</w:t>
      </w:r>
      <w:r>
        <w:rPr>
          <w:rFonts w:ascii="Arial" w:cs="Arial" w:eastAsia="Arial" w:hAnsi="Arial"/>
          <w:sz w:val="22"/>
          <w:szCs w:val="22"/>
          <w:color w:val="auto"/>
        </w:rPr>
        <w:t>” shall mean the total number of authorized directorships whether or not there exist any vacancies or other unfilled seats in previously authorized directorships.</w:t>
      </w:r>
    </w:p>
    <w:p>
      <w:pPr>
        <w:spacing w:after="0" w:line="191"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SPECIAL MEETING</w:t>
      </w:r>
    </w:p>
    <w:p>
      <w:pPr>
        <w:spacing w:after="0" w:line="206" w:lineRule="exact"/>
        <w:rPr>
          <w:sz w:val="20"/>
          <w:szCs w:val="20"/>
          <w:color w:val="auto"/>
        </w:rPr>
      </w:pPr>
    </w:p>
    <w:p>
      <w:pPr>
        <w:jc w:val="both"/>
        <w:ind w:firstLine="1505"/>
        <w:spacing w:after="0"/>
        <w:tabs>
          <w:tab w:leader="none" w:pos="2161" w:val="left"/>
        </w:tabs>
        <w:numPr>
          <w:ilvl w:val="0"/>
          <w:numId w:val="3"/>
        </w:numPr>
        <w:rPr>
          <w:rFonts w:ascii="Arial" w:cs="Arial" w:eastAsia="Arial" w:hAnsi="Arial"/>
          <w:sz w:val="22"/>
          <w:szCs w:val="22"/>
          <w:color w:val="auto"/>
        </w:rPr>
      </w:pPr>
      <w:r>
        <w:rPr>
          <w:rFonts w:ascii="Arial" w:cs="Arial" w:eastAsia="Arial" w:hAnsi="Arial"/>
          <w:sz w:val="22"/>
          <w:szCs w:val="22"/>
          <w:color w:val="auto"/>
        </w:rPr>
        <w:t>A special meeting of the stockholders, other than as required by statute, may be called at any time by (A) the board of directors acting pursuant to a resolution adopted by a majority of the Whole Board, (B) the chairperson of the board of directors, (C) the chief executive officer or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jc w:val="both"/>
        <w:spacing w:after="0" w:line="252" w:lineRule="auto"/>
        <w:rPr>
          <w:sz w:val="20"/>
          <w:szCs w:val="20"/>
          <w:color w:val="auto"/>
        </w:rPr>
      </w:pPr>
      <w:r>
        <w:rPr>
          <w:rFonts w:ascii="Arial" w:cs="Arial" w:eastAsia="Arial" w:hAnsi="Arial"/>
          <w:sz w:val="21"/>
          <w:szCs w:val="21"/>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74" w:lineRule="exact"/>
        <w:rPr>
          <w:sz w:val="20"/>
          <w:szCs w:val="20"/>
          <w:color w:val="auto"/>
        </w:rPr>
      </w:pPr>
    </w:p>
    <w:p>
      <w:pPr>
        <w:jc w:val="both"/>
        <w:ind w:firstLine="1505"/>
        <w:spacing w:after="0" w:line="249" w:lineRule="auto"/>
        <w:tabs>
          <w:tab w:leader="none" w:pos="2185"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chairperson of the board of directors, the chief executive officer or the president (in the absence of a chief executive officer). Nothing contained in this Section 2.3(ii) shall be construed as limiting, fixing or affecting the time when a meeting of stockholders called by action of the board of directors may be held.</w:t>
      </w:r>
    </w:p>
    <w:p>
      <w:pPr>
        <w:spacing w:after="0" w:line="17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ADVANCE NOTICE PROCEDURES</w:t>
      </w:r>
    </w:p>
    <w:p>
      <w:pPr>
        <w:spacing w:after="0" w:line="206" w:lineRule="exact"/>
        <w:rPr>
          <w:sz w:val="20"/>
          <w:szCs w:val="20"/>
          <w:color w:val="auto"/>
        </w:rPr>
      </w:pPr>
    </w:p>
    <w:p>
      <w:pPr>
        <w:jc w:val="both"/>
        <w:ind w:firstLine="1505"/>
        <w:spacing w:after="0" w:line="273" w:lineRule="auto"/>
        <w:tabs>
          <w:tab w:leader="none" w:pos="2175" w:val="left"/>
        </w:tabs>
        <w:numPr>
          <w:ilvl w:val="1"/>
          <w:numId w:val="5"/>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Stockholder Business. </w:t>
      </w:r>
      <w:r>
        <w:rPr>
          <w:rFonts w:ascii="Arial" w:cs="Arial" w:eastAsia="Arial" w:hAnsi="Arial"/>
          <w:sz w:val="19"/>
          <w:szCs w:val="19"/>
          <w:color w:val="auto"/>
        </w:rPr>
        <w:t>At an annual meeting of the stockholders, only such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conducted as shall have been properly brought before the meeting. To be properly brought before an annual meeting, business must be brought (A) pursuant to the corporation’s proxy materials with respect to such meeting (or supplement thereto),</w:t>
      </w:r>
    </w:p>
    <w:p>
      <w:pPr>
        <w:spacing w:after="0" w:line="1" w:lineRule="exact"/>
        <w:rPr>
          <w:rFonts w:ascii="Arial" w:cs="Arial" w:eastAsia="Arial" w:hAnsi="Arial"/>
          <w:sz w:val="19"/>
          <w:szCs w:val="19"/>
          <w:color w:val="auto"/>
        </w:rPr>
      </w:pPr>
    </w:p>
    <w:p>
      <w:pPr>
        <w:jc w:val="both"/>
        <w:ind w:firstLine="8"/>
        <w:spacing w:after="0" w:line="270" w:lineRule="auto"/>
        <w:tabs>
          <w:tab w:leader="none" w:pos="342" w:val="left"/>
        </w:tabs>
        <w:numPr>
          <w:ilvl w:val="0"/>
          <w:numId w:val="6"/>
        </w:numPr>
        <w:rPr>
          <w:rFonts w:ascii="Arial" w:cs="Arial" w:eastAsia="Arial" w:hAnsi="Arial"/>
          <w:sz w:val="19"/>
          <w:szCs w:val="19"/>
          <w:color w:val="auto"/>
        </w:rPr>
      </w:pPr>
      <w:r>
        <w:rPr>
          <w:rFonts w:ascii="Arial" w:cs="Arial" w:eastAsia="Arial" w:hAnsi="Arial"/>
          <w:sz w:val="19"/>
          <w:szCs w:val="19"/>
          <w:color w:val="auto"/>
        </w:rPr>
        <w:t>by or at the direction of the board of directors, or any committee thereof that has been formally delegated authority to propose such business pursuant to a resolution adopted by a majority of the Whole Board, (C) by a stockholder of the corporation who (1) is a stockholder of record at the time of the giving of the notice required by this Section 2.4(i); (2) is a stockholder of record on the record date for the determination of stockholders entitled to notice of the annual meeting; (3) is a stockholder of record on the record date for the determination of stockholders entitled to vote at the annual meeting; (4) is a stockholder of record at the time of the annual meeting; and (5) has timely complied in proper written form with the notice procedures set forth in this Section 2.4(i), or (D) as may be provided in the certificate of designations for any class or series of preferred stock. In addition, for business to be properly brought before an annual meeting by a stockholder, such business must be a proper matter for stockholder action pursuant to these bylaws and applicable law. Except for proposals properly made in accordance with Rule 14a-8 under the Securities Exchange Act of 1934, as amended, or any successor thereto, and the rules and regulations thereunder (as so amended and inclusive of such rules and regulations, the “</w:t>
      </w:r>
      <w:r>
        <w:rPr>
          <w:rFonts w:ascii="Arial" w:cs="Arial" w:eastAsia="Arial" w:hAnsi="Arial"/>
          <w:sz w:val="19"/>
          <w:szCs w:val="19"/>
          <w:b w:val="1"/>
          <w:bCs w:val="1"/>
          <w:color w:val="auto"/>
        </w:rPr>
        <w:t>1934 Act</w:t>
      </w:r>
      <w:r>
        <w:rPr>
          <w:rFonts w:ascii="Arial" w:cs="Arial" w:eastAsia="Arial" w:hAnsi="Arial"/>
          <w:sz w:val="19"/>
          <w:szCs w:val="19"/>
          <w:color w:val="auto"/>
        </w:rPr>
        <w:t>”), and included in the notice of meeting given by or at the direction of the board of directors, for the avoidance of doubt, subject to clause (D) above, clause (C) above shall be the exclusive means for a stockholder to bring business before an annual meeting of stockholders.</w:t>
      </w:r>
    </w:p>
    <w:p>
      <w:pPr>
        <w:spacing w:after="0" w:line="161" w:lineRule="exact"/>
        <w:rPr>
          <w:rFonts w:ascii="Arial" w:cs="Arial" w:eastAsia="Arial" w:hAnsi="Arial"/>
          <w:sz w:val="19"/>
          <w:szCs w:val="19"/>
          <w:color w:val="auto"/>
        </w:rPr>
      </w:pPr>
    </w:p>
    <w:p>
      <w:pPr>
        <w:jc w:val="both"/>
        <w:ind w:firstLine="2254"/>
        <w:spacing w:after="0" w:line="233" w:lineRule="auto"/>
        <w:tabs>
          <w:tab w:leader="none" w:pos="2642" w:val="left"/>
        </w:tabs>
        <w:numPr>
          <w:ilvl w:val="2"/>
          <w:numId w:val="6"/>
        </w:numPr>
        <w:rPr>
          <w:rFonts w:ascii="Arial" w:cs="Arial" w:eastAsia="Arial" w:hAnsi="Arial"/>
          <w:sz w:val="22"/>
          <w:szCs w:val="22"/>
          <w:color w:val="auto"/>
        </w:rPr>
      </w:pPr>
      <w:r>
        <w:rPr>
          <w:rFonts w:ascii="Arial" w:cs="Arial" w:eastAsia="Arial" w:hAnsi="Arial"/>
          <w:sz w:val="22"/>
          <w:szCs w:val="22"/>
          <w:color w:val="auto"/>
        </w:rPr>
        <w:t>To comply with clause (C) of Section 2.4(i) above, a stockholder’s notice must set forth all information required under this Section 2.4(i) and must be timely received by the secretary of the corporation (the “</w:t>
      </w:r>
      <w:r>
        <w:rPr>
          <w:rFonts w:ascii="Arial" w:cs="Arial" w:eastAsia="Arial" w:hAnsi="Arial"/>
          <w:sz w:val="22"/>
          <w:szCs w:val="22"/>
          <w:b w:val="1"/>
          <w:bCs w:val="1"/>
          <w:color w:val="auto"/>
        </w:rPr>
        <w:t>secretary</w:t>
      </w:r>
      <w:r>
        <w:rPr>
          <w:rFonts w:ascii="Arial" w:cs="Arial" w:eastAsia="Arial" w:hAnsi="Arial"/>
          <w:sz w:val="22"/>
          <w:szCs w:val="22"/>
          <w:color w:val="auto"/>
        </w:rPr>
        <w:t xml:space="preserve">”). To be timely, a stockholder’s notice must be received by the secretary at the principal executive offices of the corporation not later than 5:00 p.m., Pacific time, on the 45th day nor earlier than 8:00 a.m., Pacific time, on the 75th day before the one-year anniversary of the date on which the corporation first mailed its proxy materials or a notice of availability of proxy materials (whichever is earlier) for the preceding year’s annual meeting;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that no annual meeting was held in the previous year or if the date of the</w:t>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9"/>
          <w:szCs w:val="19"/>
          <w:color w:val="auto"/>
        </w:rPr>
        <w:t>annual meeting for the current year is changed by more than 25 days from the one-year anniversary of the date of the previous year’s annual meeting, then, for notice by the stockholder to be timely, it must be so received by the secretary at the then-principal place of business of the corporation not earlier than 5:00 p.m., Pacific time on the 120th day prior to such annual meeting and not later than 5:00 p.m., Pacific time on the later of (i) the 90th day prior to such annual meeting, or (ii) the tenth day following the day on which Public Announcement (as defined below) of the date of such annual meeting is first made. In no event shall any adjournment, rescheduling, postponement or other delay of an annual meeting or the announcement thereof commence a new time period (or extend any time period) for the giving of a stockholder’s notice as described in this Section 2.4(i)(a). “</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disclosure in a press release reported by a national news service or in a document publicly filed by the corporation with the Securities and Exchange Commission pursuant to Section 13, 14 or 15(d) of the 1934 Act or by such other means as is reasonably designed to inform the public or stockholders of the corporation in general of such information, including, without limitation, posting on the corporation’s investor relations website.</w:t>
      </w:r>
    </w:p>
    <w:p>
      <w:pPr>
        <w:spacing w:after="0" w:line="155" w:lineRule="exact"/>
        <w:rPr>
          <w:sz w:val="20"/>
          <w:szCs w:val="20"/>
          <w:color w:val="auto"/>
        </w:rPr>
      </w:pPr>
    </w:p>
    <w:p>
      <w:pPr>
        <w:ind w:firstLine="2254"/>
        <w:spacing w:after="0" w:line="250" w:lineRule="auto"/>
        <w:tabs>
          <w:tab w:leader="none" w:pos="2595" w:val="left"/>
        </w:tabs>
        <w:numPr>
          <w:ilvl w:val="0"/>
          <w:numId w:val="7"/>
        </w:numPr>
        <w:rPr>
          <w:rFonts w:ascii="Arial" w:cs="Arial" w:eastAsia="Arial" w:hAnsi="Arial"/>
          <w:sz w:val="22"/>
          <w:szCs w:val="22"/>
          <w:color w:val="auto"/>
        </w:rPr>
      </w:pPr>
      <w:r>
        <w:rPr>
          <w:rFonts w:ascii="Arial" w:cs="Arial" w:eastAsia="Arial" w:hAnsi="Arial"/>
          <w:sz w:val="22"/>
          <w:szCs w:val="22"/>
          <w:color w:val="auto"/>
        </w:rPr>
        <w:t>To be in proper written form, a stockholder’s notice to the secretary must set forth as to each matter of business the stockholder intends to bring before the annual meeting:</w:t>
      </w:r>
    </w:p>
    <w:p>
      <w:pPr>
        <w:spacing w:after="0" w:line="174" w:lineRule="exact"/>
        <w:rPr>
          <w:rFonts w:ascii="Arial" w:cs="Arial" w:eastAsia="Arial" w:hAnsi="Arial"/>
          <w:sz w:val="22"/>
          <w:szCs w:val="22"/>
          <w:color w:val="auto"/>
        </w:rPr>
      </w:pPr>
    </w:p>
    <w:p>
      <w:pPr>
        <w:jc w:val="both"/>
        <w:ind w:firstLine="3003"/>
        <w:spacing w:after="0" w:line="297" w:lineRule="auto"/>
        <w:tabs>
          <w:tab w:leader="none" w:pos="3492" w:val="left"/>
        </w:tabs>
        <w:numPr>
          <w:ilvl w:val="1"/>
          <w:numId w:val="7"/>
        </w:numPr>
        <w:rPr>
          <w:rFonts w:ascii="Arial" w:cs="Arial" w:eastAsia="Arial" w:hAnsi="Arial"/>
          <w:sz w:val="19"/>
          <w:szCs w:val="19"/>
          <w:color w:val="auto"/>
        </w:rPr>
      </w:pPr>
      <w:r>
        <w:rPr>
          <w:rFonts w:ascii="Arial" w:cs="Arial" w:eastAsia="Arial" w:hAnsi="Arial"/>
          <w:sz w:val="19"/>
          <w:szCs w:val="19"/>
          <w:color w:val="auto"/>
        </w:rPr>
        <w:t>a brief description of the business intended to be brought before the annual meeting, including the text of any proposed resolutions and in the event that such business includes a proposal to amend the bylaws of the corporation, the language of the proposed amendment and the reasons for conducting such business at the annual meeting,</w:t>
      </w:r>
    </w:p>
    <w:p>
      <w:pPr>
        <w:spacing w:after="0" w:line="133" w:lineRule="exact"/>
        <w:rPr>
          <w:rFonts w:ascii="Arial" w:cs="Arial" w:eastAsia="Arial" w:hAnsi="Arial"/>
          <w:sz w:val="19"/>
          <w:szCs w:val="19"/>
          <w:color w:val="auto"/>
        </w:rPr>
      </w:pPr>
    </w:p>
    <w:p>
      <w:pPr>
        <w:ind w:firstLine="3003"/>
        <w:spacing w:after="0" w:line="250" w:lineRule="auto"/>
        <w:tabs>
          <w:tab w:leader="none" w:pos="3594" w:val="left"/>
        </w:tabs>
        <w:numPr>
          <w:ilvl w:val="1"/>
          <w:numId w:val="7"/>
        </w:numPr>
        <w:rPr>
          <w:rFonts w:ascii="Arial" w:cs="Arial" w:eastAsia="Arial" w:hAnsi="Arial"/>
          <w:sz w:val="20"/>
          <w:szCs w:val="20"/>
          <w:color w:val="auto"/>
        </w:rPr>
      </w:pPr>
      <w:r>
        <w:rPr>
          <w:rFonts w:ascii="Arial" w:cs="Arial" w:eastAsia="Arial" w:hAnsi="Arial"/>
          <w:sz w:val="22"/>
          <w:szCs w:val="22"/>
          <w:color w:val="auto"/>
        </w:rPr>
        <w:t>the name and address, as they appear on the corporation’s books, of the stockholder proposing such business and any Stockholder Associated Person (as defined below),</w:t>
      </w:r>
    </w:p>
    <w:p>
      <w:pPr>
        <w:spacing w:after="0" w:line="174" w:lineRule="exact"/>
        <w:rPr>
          <w:rFonts w:ascii="Arial" w:cs="Arial" w:eastAsia="Arial" w:hAnsi="Arial"/>
          <w:sz w:val="20"/>
          <w:szCs w:val="20"/>
          <w:color w:val="auto"/>
        </w:rPr>
      </w:pPr>
    </w:p>
    <w:p>
      <w:pPr>
        <w:jc w:val="both"/>
        <w:ind w:firstLine="3003"/>
        <w:spacing w:after="0" w:line="252" w:lineRule="auto"/>
        <w:tabs>
          <w:tab w:leader="none" w:pos="3563" w:val="left"/>
        </w:tabs>
        <w:numPr>
          <w:ilvl w:val="1"/>
          <w:numId w:val="7"/>
        </w:numPr>
        <w:rPr>
          <w:rFonts w:ascii="Arial" w:cs="Arial" w:eastAsia="Arial" w:hAnsi="Arial"/>
          <w:sz w:val="19"/>
          <w:szCs w:val="19"/>
          <w:color w:val="auto"/>
        </w:rPr>
      </w:pPr>
      <w:r>
        <w:rPr>
          <w:rFonts w:ascii="Arial" w:cs="Arial" w:eastAsia="Arial" w:hAnsi="Arial"/>
          <w:sz w:val="21"/>
          <w:szCs w:val="21"/>
          <w:color w:val="auto"/>
        </w:rPr>
        <w:t>the class or series and number of shares of the corporation that are, directly or indirectly, held of record or are beneficially owned by the stockholder or any Stockholder Associated Person and any Derivative Instruments (as defined below) held or beneficially held by the stockholder or any Stockholder Associated Person, including the full notional amount of any securities that, directly or indirectly, underlie any Derivative Instruments,</w:t>
      </w:r>
    </w:p>
    <w:p>
      <w:pPr>
        <w:spacing w:after="0" w:line="173" w:lineRule="exact"/>
        <w:rPr>
          <w:rFonts w:ascii="Arial" w:cs="Arial" w:eastAsia="Arial" w:hAnsi="Arial"/>
          <w:sz w:val="19"/>
          <w:szCs w:val="19"/>
          <w:color w:val="auto"/>
        </w:rPr>
      </w:pPr>
    </w:p>
    <w:p>
      <w:pPr>
        <w:jc w:val="both"/>
        <w:ind w:firstLine="3003"/>
        <w:spacing w:after="0" w:line="243" w:lineRule="auto"/>
        <w:tabs>
          <w:tab w:leader="none" w:pos="3615" w:val="left"/>
        </w:tabs>
        <w:numPr>
          <w:ilvl w:val="1"/>
          <w:numId w:val="7"/>
        </w:numPr>
        <w:rPr>
          <w:rFonts w:ascii="Arial" w:cs="Arial" w:eastAsia="Arial" w:hAnsi="Arial"/>
          <w:sz w:val="19"/>
          <w:szCs w:val="19"/>
          <w:color w:val="auto"/>
        </w:rPr>
      </w:pPr>
      <w:r>
        <w:rPr>
          <w:rFonts w:ascii="Arial" w:cs="Arial" w:eastAsia="Arial" w:hAnsi="Arial"/>
          <w:sz w:val="21"/>
          <w:szCs w:val="21"/>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with respect to the corporation’s securities (any of the foregoing, a “</w:t>
      </w:r>
      <w:r>
        <w:rPr>
          <w:rFonts w:ascii="Arial" w:cs="Arial" w:eastAsia="Arial" w:hAnsi="Arial"/>
          <w:sz w:val="21"/>
          <w:szCs w:val="21"/>
          <w:b w:val="1"/>
          <w:bCs w:val="1"/>
          <w:color w:val="auto"/>
        </w:rPr>
        <w:t>Derivative Instrument</w:t>
      </w:r>
      <w:r>
        <w:rPr>
          <w:rFonts w:ascii="Arial" w:cs="Arial" w:eastAsia="Arial" w:hAnsi="Arial"/>
          <w:sz w:val="21"/>
          <w:szCs w:val="21"/>
          <w:color w:val="auto"/>
        </w:rPr>
        <w:t>”) including the full notional amount of any securities that, directly or indirectly, underlie any Derivative Instrument); and (ii) other agreement, arrangement or understanding that has been made the effect or intent of which is to create or mitigate loss to, or to manage the risk or benefit from share price changes for, or to increase or decrease the voting power of, such stockholder or any Stockholder Associated Person with respect to any securities of the corporation,</w:t>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1" w:name="page12"/>
    <w:bookmarkEnd w:id="11"/>
    <w:p>
      <w:pPr>
        <w:jc w:val="both"/>
        <w:ind w:left="3000"/>
        <w:spacing w:after="0"/>
        <w:tabs>
          <w:tab w:leader="none" w:pos="358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22"/>
          <w:szCs w:val="22"/>
          <w:color w:val="auto"/>
        </w:rPr>
        <w:t>any material interest of the stockholder or a Stockholder Associated Person in such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business,</w:t>
      </w:r>
    </w:p>
    <w:p>
      <w:pPr>
        <w:spacing w:after="0" w:line="188" w:lineRule="exact"/>
        <w:rPr>
          <w:sz w:val="20"/>
          <w:szCs w:val="20"/>
          <w:color w:val="auto"/>
        </w:rPr>
      </w:pPr>
    </w:p>
    <w:p>
      <w:pPr>
        <w:jc w:val="both"/>
        <w:ind w:firstLine="3003"/>
        <w:spacing w:after="0" w:line="246" w:lineRule="auto"/>
        <w:tabs>
          <w:tab w:leader="none" w:pos="3598" w:val="left"/>
        </w:tabs>
        <w:numPr>
          <w:ilvl w:val="0"/>
          <w:numId w:val="8"/>
        </w:numPr>
        <w:rPr>
          <w:rFonts w:ascii="Arial" w:cs="Arial" w:eastAsia="Arial" w:hAnsi="Arial"/>
          <w:sz w:val="19"/>
          <w:szCs w:val="19"/>
          <w:color w:val="auto"/>
        </w:rPr>
      </w:pPr>
      <w:r>
        <w:rPr>
          <w:rFonts w:ascii="Arial" w:cs="Arial" w:eastAsia="Arial" w:hAnsi="Arial"/>
          <w:sz w:val="21"/>
          <w:szCs w:val="21"/>
          <w:color w:val="auto"/>
        </w:rPr>
        <w:t>a representation and undertaking as to whether such stockholder or any Stockholder Associated Person or others acting in concert with them intends, or is part of a group that intends, to (x) deliver a proxy statement or form of proxy to holders of at least the percentage of the voting power of the corporation’s then-outstanding stock required to approve or adopt the proposal (which representation and undertaking must include a statement as to whether such stockholder or any Stockholder Associated Person or others acting in concert with them intends to solicit the requisite percentage of the voting power of the corporation’s stock under Rule 14a-19 of the 1934 Act); or (y) otherwise solicit proxies from stockholders in support of such proposal or nomination,</w:t>
      </w:r>
    </w:p>
    <w:p>
      <w:pPr>
        <w:spacing w:after="0" w:line="184" w:lineRule="exact"/>
        <w:rPr>
          <w:rFonts w:ascii="Arial" w:cs="Arial" w:eastAsia="Arial" w:hAnsi="Arial"/>
          <w:sz w:val="19"/>
          <w:szCs w:val="19"/>
          <w:color w:val="auto"/>
        </w:rPr>
      </w:pPr>
    </w:p>
    <w:p>
      <w:pPr>
        <w:jc w:val="both"/>
        <w:ind w:firstLine="3003"/>
        <w:spacing w:after="0" w:line="297" w:lineRule="auto"/>
        <w:tabs>
          <w:tab w:leader="none" w:pos="3564" w:val="left"/>
        </w:tabs>
        <w:numPr>
          <w:ilvl w:val="0"/>
          <w:numId w:val="8"/>
        </w:numPr>
        <w:rPr>
          <w:rFonts w:ascii="Arial" w:cs="Arial" w:eastAsia="Arial" w:hAnsi="Arial"/>
          <w:sz w:val="18"/>
          <w:szCs w:val="18"/>
          <w:color w:val="auto"/>
        </w:rPr>
      </w:pPr>
      <w:r>
        <w:rPr>
          <w:rFonts w:ascii="Arial" w:cs="Arial" w:eastAsia="Arial" w:hAnsi="Arial"/>
          <w:sz w:val="19"/>
          <w:szCs w:val="19"/>
          <w:color w:val="auto"/>
        </w:rPr>
        <w:t>all agreements, arrangements and understandings between or among the stockholder and any Stockholder Associated Persons or between or among the stockholder or any Stockholder Associated Person and any other person or entity (including their names) in connection with the proposal of such business by such stockholder,</w:t>
      </w:r>
    </w:p>
    <w:p>
      <w:pPr>
        <w:spacing w:after="0" w:line="133" w:lineRule="exact"/>
        <w:rPr>
          <w:rFonts w:ascii="Arial" w:cs="Arial" w:eastAsia="Arial" w:hAnsi="Arial"/>
          <w:sz w:val="18"/>
          <w:szCs w:val="18"/>
          <w:color w:val="auto"/>
        </w:rPr>
      </w:pPr>
    </w:p>
    <w:p>
      <w:pPr>
        <w:ind w:left="3600" w:hanging="597"/>
        <w:spacing w:after="0"/>
        <w:tabs>
          <w:tab w:leader="none" w:pos="3600" w:val="left"/>
        </w:tabs>
        <w:numPr>
          <w:ilvl w:val="0"/>
          <w:numId w:val="8"/>
        </w:numPr>
        <w:rPr>
          <w:rFonts w:ascii="Arial" w:cs="Arial" w:eastAsia="Arial" w:hAnsi="Arial"/>
          <w:sz w:val="18"/>
          <w:szCs w:val="18"/>
          <w:color w:val="auto"/>
        </w:rPr>
      </w:pPr>
      <w:r>
        <w:rPr>
          <w:rFonts w:ascii="Arial" w:cs="Arial" w:eastAsia="Arial" w:hAnsi="Arial"/>
          <w:sz w:val="19"/>
          <w:szCs w:val="19"/>
          <w:color w:val="auto"/>
        </w:rPr>
        <w:t>any proxy, contract, arrangement, understanding or relationship pursuant to which the</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stockholder or any Stockholder Associated Person has a right to vote any shares of any security of the corporation,</w:t>
      </w:r>
    </w:p>
    <w:p>
      <w:pPr>
        <w:spacing w:after="0" w:line="188" w:lineRule="exact"/>
        <w:rPr>
          <w:rFonts w:ascii="Arial" w:cs="Arial" w:eastAsia="Arial" w:hAnsi="Arial"/>
          <w:sz w:val="18"/>
          <w:szCs w:val="18"/>
          <w:color w:val="auto"/>
        </w:rPr>
      </w:pPr>
    </w:p>
    <w:p>
      <w:pPr>
        <w:ind w:left="3620" w:hanging="617"/>
        <w:spacing w:after="0"/>
        <w:tabs>
          <w:tab w:leader="none" w:pos="3620" w:val="left"/>
        </w:tabs>
        <w:numPr>
          <w:ilvl w:val="0"/>
          <w:numId w:val="8"/>
        </w:numPr>
        <w:rPr>
          <w:rFonts w:ascii="Arial" w:cs="Arial" w:eastAsia="Arial" w:hAnsi="Arial"/>
          <w:sz w:val="19"/>
          <w:szCs w:val="19"/>
          <w:color w:val="auto"/>
        </w:rPr>
      </w:pPr>
      <w:r>
        <w:rPr>
          <w:rFonts w:ascii="Arial" w:cs="Arial" w:eastAsia="Arial" w:hAnsi="Arial"/>
          <w:sz w:val="21"/>
          <w:szCs w:val="21"/>
          <w:color w:val="auto"/>
        </w:rPr>
        <w:t>any rights to dividends on the corporation’s securities owned beneficially by such</w:t>
      </w:r>
    </w:p>
    <w:p>
      <w:pPr>
        <w:spacing w:after="0" w:line="1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stockholder or any Stockholder Associated Person that are separated or separable from the underlying security,</w:t>
      </w:r>
    </w:p>
    <w:p>
      <w:pPr>
        <w:spacing w:after="0" w:line="188" w:lineRule="exact"/>
        <w:rPr>
          <w:rFonts w:ascii="Arial" w:cs="Arial" w:eastAsia="Arial" w:hAnsi="Arial"/>
          <w:sz w:val="19"/>
          <w:szCs w:val="19"/>
          <w:color w:val="auto"/>
        </w:rPr>
      </w:pPr>
    </w:p>
    <w:p>
      <w:pPr>
        <w:jc w:val="both"/>
        <w:ind w:firstLine="3003"/>
        <w:spacing w:after="0" w:line="297" w:lineRule="auto"/>
        <w:tabs>
          <w:tab w:leader="none" w:pos="3580" w:val="left"/>
        </w:tabs>
        <w:numPr>
          <w:ilvl w:val="0"/>
          <w:numId w:val="8"/>
        </w:numPr>
        <w:rPr>
          <w:rFonts w:ascii="Arial" w:cs="Arial" w:eastAsia="Arial" w:hAnsi="Arial"/>
          <w:sz w:val="18"/>
          <w:szCs w:val="18"/>
          <w:color w:val="auto"/>
        </w:rPr>
      </w:pPr>
      <w:r>
        <w:rPr>
          <w:rFonts w:ascii="Arial" w:cs="Arial" w:eastAsia="Arial" w:hAnsi="Arial"/>
          <w:sz w:val="19"/>
          <w:szCs w:val="19"/>
          <w:color w:val="auto"/>
        </w:rPr>
        <w:t>any proportionate interest in the corporation’s securities or any Derivative Instruments held, directly or indirectly, by a general or limited partnership in which such stockholder or any Stockholder Associated Person is a general partner or, directly or indirectly, beneficially owns an interest in a general partner of such general or limited partnership,</w:t>
      </w:r>
    </w:p>
    <w:p>
      <w:pPr>
        <w:spacing w:after="0" w:line="133" w:lineRule="exact"/>
        <w:rPr>
          <w:rFonts w:ascii="Arial" w:cs="Arial" w:eastAsia="Arial" w:hAnsi="Arial"/>
          <w:sz w:val="18"/>
          <w:szCs w:val="18"/>
          <w:color w:val="auto"/>
        </w:rPr>
      </w:pPr>
    </w:p>
    <w:p>
      <w:pPr>
        <w:jc w:val="both"/>
        <w:ind w:firstLine="3003"/>
        <w:spacing w:after="0" w:line="238" w:lineRule="auto"/>
        <w:tabs>
          <w:tab w:leader="none" w:pos="3591" w:val="left"/>
        </w:tabs>
        <w:numPr>
          <w:ilvl w:val="0"/>
          <w:numId w:val="8"/>
        </w:numPr>
        <w:rPr>
          <w:rFonts w:ascii="Arial" w:cs="Arial" w:eastAsia="Arial" w:hAnsi="Arial"/>
          <w:sz w:val="20"/>
          <w:szCs w:val="20"/>
          <w:color w:val="auto"/>
        </w:rPr>
      </w:pPr>
      <w:r>
        <w:rPr>
          <w:rFonts w:ascii="Arial" w:cs="Arial" w:eastAsia="Arial" w:hAnsi="Arial"/>
          <w:sz w:val="22"/>
          <w:szCs w:val="22"/>
          <w:color w:val="auto"/>
        </w:rPr>
        <w:t>any performance-related fees (other than an asset-based fee) that such stockholder or any Stockholder Associated Person is entitled to based on any increase or decrease in the value of the corporation’s securities or Derivative Instruments, including, without limitation, any such interests held by members of the immediate family of such persons sharing the same household,</w:t>
      </w:r>
    </w:p>
    <w:p>
      <w:pPr>
        <w:spacing w:after="0" w:line="184" w:lineRule="exact"/>
        <w:rPr>
          <w:rFonts w:ascii="Arial" w:cs="Arial" w:eastAsia="Arial" w:hAnsi="Arial"/>
          <w:sz w:val="20"/>
          <w:szCs w:val="20"/>
          <w:color w:val="auto"/>
        </w:rPr>
      </w:pPr>
    </w:p>
    <w:p>
      <w:pPr>
        <w:ind w:left="3660" w:hanging="657"/>
        <w:spacing w:after="0"/>
        <w:tabs>
          <w:tab w:leader="none" w:pos="3660" w:val="left"/>
        </w:tabs>
        <w:numPr>
          <w:ilvl w:val="0"/>
          <w:numId w:val="8"/>
        </w:numPr>
        <w:rPr>
          <w:rFonts w:ascii="Arial" w:cs="Arial" w:eastAsia="Arial" w:hAnsi="Arial"/>
          <w:sz w:val="18"/>
          <w:szCs w:val="18"/>
          <w:color w:val="auto"/>
        </w:rPr>
      </w:pPr>
      <w:r>
        <w:rPr>
          <w:rFonts w:ascii="Arial" w:cs="Arial" w:eastAsia="Arial" w:hAnsi="Arial"/>
          <w:sz w:val="19"/>
          <w:szCs w:val="19"/>
          <w:color w:val="auto"/>
        </w:rPr>
        <w:t>any  significant  equity  interests  or  any  Derivative  Instruments  in  any  principal</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competitor of the corporation that are held by such stockholder or any Stockholder Associated Person,</w:t>
      </w:r>
    </w:p>
    <w:p>
      <w:pPr>
        <w:spacing w:after="0" w:line="188" w:lineRule="exact"/>
        <w:rPr>
          <w:rFonts w:ascii="Arial" w:cs="Arial" w:eastAsia="Arial" w:hAnsi="Arial"/>
          <w:sz w:val="18"/>
          <w:szCs w:val="18"/>
          <w:color w:val="auto"/>
        </w:rPr>
      </w:pPr>
    </w:p>
    <w:p>
      <w:pPr>
        <w:jc w:val="both"/>
        <w:ind w:firstLine="3003"/>
        <w:spacing w:after="0" w:line="274" w:lineRule="auto"/>
        <w:tabs>
          <w:tab w:leader="none" w:pos="3569" w:val="left"/>
        </w:tabs>
        <w:numPr>
          <w:ilvl w:val="0"/>
          <w:numId w:val="8"/>
        </w:numPr>
        <w:rPr>
          <w:rFonts w:ascii="Arial" w:cs="Arial" w:eastAsia="Arial" w:hAnsi="Arial"/>
          <w:sz w:val="18"/>
          <w:szCs w:val="18"/>
          <w:color w:val="auto"/>
        </w:rPr>
      </w:pPr>
      <w:r>
        <w:rPr>
          <w:rFonts w:ascii="Arial" w:cs="Arial" w:eastAsia="Arial" w:hAnsi="Arial"/>
          <w:sz w:val="19"/>
          <w:szCs w:val="19"/>
          <w:color w:val="auto"/>
        </w:rPr>
        <w:t>any direct or indirect interest of such stockholder or any Stockholder Associated Person in any contract with the corporation, any affiliate of the corporation or any principal competitor of the corporation (in each case, including, without limitation, any employment agreement, collective bargaining agreement or consulting agreement),</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2" w:name="page13"/>
    <w:bookmarkEnd w:id="12"/>
    <w:p>
      <w:pPr>
        <w:jc w:val="both"/>
        <w:ind w:firstLine="3003"/>
        <w:spacing w:after="0"/>
        <w:tabs>
          <w:tab w:leader="none" w:pos="3581" w:val="left"/>
        </w:tabs>
        <w:numPr>
          <w:ilvl w:val="0"/>
          <w:numId w:val="9"/>
        </w:numPr>
        <w:rPr>
          <w:rFonts w:ascii="Arial" w:cs="Arial" w:eastAsia="Arial" w:hAnsi="Arial"/>
          <w:sz w:val="20"/>
          <w:szCs w:val="20"/>
          <w:color w:val="auto"/>
        </w:rPr>
      </w:pPr>
      <w:r>
        <w:rPr>
          <w:rFonts w:ascii="Arial" w:cs="Arial" w:eastAsia="Arial" w:hAnsi="Arial"/>
          <w:sz w:val="22"/>
          <w:szCs w:val="22"/>
          <w:color w:val="auto"/>
        </w:rPr>
        <w:t>any material pending or threatened legal proceeding in which such stockholder or any Stockholder Associated Person is a party or material participant involving the corporation or any of its officers, directors or affiliates,</w:t>
      </w:r>
    </w:p>
    <w:p>
      <w:pPr>
        <w:spacing w:after="0" w:line="186" w:lineRule="exact"/>
        <w:rPr>
          <w:rFonts w:ascii="Arial" w:cs="Arial" w:eastAsia="Arial" w:hAnsi="Arial"/>
          <w:sz w:val="20"/>
          <w:szCs w:val="20"/>
          <w:color w:val="auto"/>
        </w:rPr>
      </w:pPr>
    </w:p>
    <w:p>
      <w:pPr>
        <w:ind w:left="3620" w:hanging="617"/>
        <w:spacing w:after="0"/>
        <w:tabs>
          <w:tab w:leader="none" w:pos="3620" w:val="left"/>
        </w:tabs>
        <w:numPr>
          <w:ilvl w:val="0"/>
          <w:numId w:val="9"/>
        </w:numPr>
        <w:rPr>
          <w:rFonts w:ascii="Arial" w:cs="Arial" w:eastAsia="Arial" w:hAnsi="Arial"/>
          <w:sz w:val="18"/>
          <w:szCs w:val="18"/>
          <w:color w:val="auto"/>
        </w:rPr>
      </w:pPr>
      <w:r>
        <w:rPr>
          <w:rFonts w:ascii="Arial" w:cs="Arial" w:eastAsia="Arial" w:hAnsi="Arial"/>
          <w:sz w:val="19"/>
          <w:szCs w:val="19"/>
          <w:color w:val="auto"/>
        </w:rPr>
        <w:t>any material relationship between such stockholder or any Stockholder Associated</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Person, on the one hand, and the corporation or any of its officers, directors or affiliates, on the other hand,</w:t>
      </w:r>
    </w:p>
    <w:p>
      <w:pPr>
        <w:spacing w:after="0" w:line="188" w:lineRule="exact"/>
        <w:rPr>
          <w:rFonts w:ascii="Arial" w:cs="Arial" w:eastAsia="Arial" w:hAnsi="Arial"/>
          <w:sz w:val="18"/>
          <w:szCs w:val="18"/>
          <w:color w:val="auto"/>
        </w:rPr>
      </w:pPr>
    </w:p>
    <w:p>
      <w:pPr>
        <w:jc w:val="both"/>
        <w:ind w:firstLine="3003"/>
        <w:spacing w:after="0"/>
        <w:tabs>
          <w:tab w:leader="none" w:pos="3583" w:val="left"/>
        </w:tabs>
        <w:numPr>
          <w:ilvl w:val="0"/>
          <w:numId w:val="9"/>
        </w:numPr>
        <w:rPr>
          <w:rFonts w:ascii="Arial" w:cs="Arial" w:eastAsia="Arial" w:hAnsi="Arial"/>
          <w:sz w:val="20"/>
          <w:szCs w:val="20"/>
          <w:color w:val="auto"/>
        </w:rPr>
      </w:pPr>
      <w:r>
        <w:rPr>
          <w:rFonts w:ascii="Arial" w:cs="Arial" w:eastAsia="Arial" w:hAnsi="Arial"/>
          <w:sz w:val="22"/>
          <w:szCs w:val="22"/>
          <w:color w:val="auto"/>
        </w:rPr>
        <w:t>a representation and undertaking that the stockholder is a holder of record of stock of the corporation as of the date of submission of the stockholder’s notice and intends to appear in person or by proxy at the annual meeting to bring such other business before the annual meeting,</w:t>
      </w:r>
    </w:p>
    <w:p>
      <w:pPr>
        <w:spacing w:after="0" w:line="186" w:lineRule="exact"/>
        <w:rPr>
          <w:rFonts w:ascii="Arial" w:cs="Arial" w:eastAsia="Arial" w:hAnsi="Arial"/>
          <w:sz w:val="20"/>
          <w:szCs w:val="20"/>
          <w:color w:val="auto"/>
        </w:rPr>
      </w:pPr>
    </w:p>
    <w:p>
      <w:pPr>
        <w:jc w:val="both"/>
        <w:ind w:firstLine="3003"/>
        <w:spacing w:after="0" w:line="287" w:lineRule="auto"/>
        <w:tabs>
          <w:tab w:leader="none" w:pos="3562" w:val="left"/>
        </w:tabs>
        <w:numPr>
          <w:ilvl w:val="0"/>
          <w:numId w:val="9"/>
        </w:numPr>
        <w:rPr>
          <w:rFonts w:ascii="Arial" w:cs="Arial" w:eastAsia="Arial" w:hAnsi="Arial"/>
          <w:sz w:val="18"/>
          <w:szCs w:val="18"/>
          <w:color w:val="auto"/>
        </w:rPr>
      </w:pPr>
      <w:r>
        <w:rPr>
          <w:rFonts w:ascii="Arial" w:cs="Arial" w:eastAsia="Arial" w:hAnsi="Arial"/>
          <w:sz w:val="19"/>
          <w:szCs w:val="19"/>
          <w:color w:val="auto"/>
        </w:rPr>
        <w:t>any other information relating to such stockholder or any Stockholder Associated Person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42" w:lineRule="exact"/>
        <w:rPr>
          <w:rFonts w:ascii="Arial" w:cs="Arial" w:eastAsia="Arial" w:hAnsi="Arial"/>
          <w:sz w:val="18"/>
          <w:szCs w:val="18"/>
          <w:color w:val="auto"/>
        </w:rPr>
      </w:pPr>
    </w:p>
    <w:p>
      <w:pPr>
        <w:ind w:left="3580" w:hanging="577"/>
        <w:spacing w:after="0"/>
        <w:tabs>
          <w:tab w:leader="none" w:pos="3580" w:val="left"/>
        </w:tabs>
        <w:numPr>
          <w:ilvl w:val="0"/>
          <w:numId w:val="9"/>
        </w:numPr>
        <w:rPr>
          <w:rFonts w:ascii="Arial" w:cs="Arial" w:eastAsia="Arial" w:hAnsi="Arial"/>
          <w:sz w:val="18"/>
          <w:szCs w:val="18"/>
          <w:color w:val="auto"/>
        </w:rPr>
      </w:pPr>
      <w:r>
        <w:rPr>
          <w:rFonts w:ascii="Arial" w:cs="Arial" w:eastAsia="Arial" w:hAnsi="Arial"/>
          <w:sz w:val="19"/>
          <w:szCs w:val="19"/>
          <w:color w:val="auto"/>
        </w:rPr>
        <w:t>such other information relating to any proposed item of business as the corporation may</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reasonably require to determine whether such proposed item of business is a proper matter for stockholder action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(such information provided and statements made as required by clauses (1) through (18), a “</w:t>
      </w:r>
      <w:r>
        <w:rPr>
          <w:rFonts w:ascii="Arial" w:cs="Arial" w:eastAsia="Arial" w:hAnsi="Arial"/>
          <w:sz w:val="19"/>
          <w:szCs w:val="19"/>
          <w:b w:val="1"/>
          <w:bCs w:val="1"/>
          <w:color w:val="auto"/>
        </w:rPr>
        <w:t>Business Solicitation Statement</w:t>
      </w:r>
      <w:r>
        <w:rPr>
          <w:rFonts w:ascii="Arial" w:cs="Arial" w:eastAsia="Arial" w:hAnsi="Arial"/>
          <w:sz w:val="19"/>
          <w:szCs w:val="19"/>
          <w:color w:val="auto"/>
        </w:rPr>
        <w:t xml:space="preserve">”). In addition, to be timely and in proper written form, a stockholder’s notice to the secretary (and any additional information submitted to the corporation in connection therewith) must further be updated and supplemented (the “ </w:t>
      </w:r>
      <w:r>
        <w:rPr>
          <w:rFonts w:ascii="Arial" w:cs="Arial" w:eastAsia="Arial" w:hAnsi="Arial"/>
          <w:sz w:val="19"/>
          <w:szCs w:val="19"/>
          <w:b w:val="1"/>
          <w:bCs w:val="1"/>
          <w:color w:val="auto"/>
        </w:rPr>
        <w:t>Supplement</w:t>
      </w:r>
      <w:r>
        <w:rPr>
          <w:rFonts w:ascii="Arial" w:cs="Arial" w:eastAsia="Arial" w:hAnsi="Arial"/>
          <w:sz w:val="19"/>
          <w:szCs w:val="19"/>
          <w:color w:val="auto"/>
        </w:rPr>
        <w:t>”) (x) if necessary, so that the information provided or required to be provided in such notice is true and correct as of the record date(s) for determining stockholders entitled to notice of, and to vote at, the meeting and as of the date that is 10 business days prior to the meeting or any adjournment, rescheduling, postponement or other delay thereof; and (y) to provide any additional information that the corporation may reasonably request. Any such update and supplement or additional information (including if requested pursuant to Section 2.4(i)(b)(18)) must be received by the secretary at the principal executive offices of the corporation (A) in the case of a request for additional information, promptly following a request therefor, which response must be received by the secretary not later than such reasonable time as is specified in any such request from the corporation; or (B)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postponement or other delay thereof (in the case of any update or supplement required to be made as of 10 business days prior to the meeting or any adjournment, rescheduling, postponement or other delay thereof). The failure to timely provide such update, supplement or additional information shall result in the proposal no longer being eligible for consideration at the annual meeting. For purposes of this Section 2.4, a “</w:t>
      </w:r>
      <w:r>
        <w:rPr>
          <w:rFonts w:ascii="Arial" w:cs="Arial" w:eastAsia="Arial" w:hAnsi="Arial"/>
          <w:sz w:val="19"/>
          <w:szCs w:val="19"/>
          <w:b w:val="1"/>
          <w:bCs w:val="1"/>
          <w:color w:val="auto"/>
        </w:rPr>
        <w:t>Stockholder Associated</w:t>
      </w:r>
      <w:r>
        <w:rPr>
          <w:rFonts w:ascii="Arial" w:cs="Arial" w:eastAsia="Arial" w:hAnsi="Arial"/>
          <w:sz w:val="19"/>
          <w:szCs w:val="19"/>
          <w:color w:val="auto"/>
        </w:rPr>
        <w:t xml:space="preserve"> </w:t>
      </w:r>
      <w:r>
        <w:rPr>
          <w:rFonts w:ascii="Arial" w:cs="Arial" w:eastAsia="Arial" w:hAnsi="Arial"/>
          <w:sz w:val="19"/>
          <w:szCs w:val="19"/>
          <w:b w:val="1"/>
          <w:bCs w:val="1"/>
          <w:color w:val="auto"/>
        </w:rPr>
        <w:t>Person</w:t>
      </w:r>
      <w:r>
        <w:rPr>
          <w:rFonts w:ascii="Arial" w:cs="Arial" w:eastAsia="Arial" w:hAnsi="Arial"/>
          <w:sz w:val="19"/>
          <w:szCs w:val="19"/>
          <w:color w:val="auto"/>
        </w:rPr>
        <w:t>” of any stockholder shall mean (i) any person controlling, directly or indirectly, or</w:t>
      </w:r>
    </w:p>
    <w:p>
      <w:pPr>
        <w:spacing w:after="0" w:line="10"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3" w:name="page14"/>
    <w:bookmarkEnd w:id="13"/>
    <w:p>
      <w:pPr>
        <w:jc w:val="both"/>
        <w:spacing w:after="0" w:line="297" w:lineRule="auto"/>
        <w:rPr>
          <w:sz w:val="20"/>
          <w:szCs w:val="20"/>
          <w:color w:val="auto"/>
        </w:rPr>
      </w:pPr>
      <w:r>
        <w:rPr>
          <w:rFonts w:ascii="Arial" w:cs="Arial" w:eastAsia="Arial" w:hAnsi="Arial"/>
          <w:sz w:val="19"/>
          <w:szCs w:val="19"/>
          <w:color w:val="auto"/>
        </w:rPr>
        <w:t>acting in concert with, such stockholder, (ii) any beneficial owner of shares of stock of the corporation owned of record or beneficially by such stockholder and on whose behalf the proposal or nomination, as the case may be, is being made, or (iii) any person controlling, controlled by or under common control with such person referred to in the preceding clauses (i) and (ii).</w:t>
      </w:r>
    </w:p>
    <w:p>
      <w:pPr>
        <w:spacing w:after="0" w:line="134" w:lineRule="exact"/>
        <w:rPr>
          <w:sz w:val="20"/>
          <w:szCs w:val="20"/>
          <w:color w:val="auto"/>
        </w:rPr>
      </w:pPr>
    </w:p>
    <w:p>
      <w:pPr>
        <w:jc w:val="both"/>
        <w:ind w:firstLine="2254"/>
        <w:spacing w:after="0" w:line="270" w:lineRule="auto"/>
        <w:tabs>
          <w:tab w:leader="none" w:pos="2593" w:val="left"/>
        </w:tabs>
        <w:numPr>
          <w:ilvl w:val="1"/>
          <w:numId w:val="10"/>
        </w:numPr>
        <w:rPr>
          <w:rFonts w:ascii="Arial" w:cs="Arial" w:eastAsia="Arial" w:hAnsi="Arial"/>
          <w:sz w:val="19"/>
          <w:szCs w:val="19"/>
          <w:color w:val="auto"/>
        </w:rPr>
      </w:pPr>
      <w:r>
        <w:rPr>
          <w:rFonts w:ascii="Arial" w:cs="Arial" w:eastAsia="Arial" w:hAnsi="Arial"/>
          <w:sz w:val="19"/>
          <w:szCs w:val="19"/>
          <w:color w:val="auto"/>
        </w:rPr>
        <w:t>Without exception, no business shall be conducted at any annual meeting except in accordance with the provisions set forth in this Section 2.4(i) and, if applicable, Section 2.4(ii). In addition, business proposed to be brought by a stockholder may not be brought before the annual meeting if such stockholder or a Stockholder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Notwithstanding anything to the contrary in this Section 2.4, unless otherwise required by law, if the stockholder (or a qualified representative of the stockholder) does not appear in person at the meeting to present proposed business, such proposed business will not be transacted, notwithstanding that proxies in respect of such business may have been received by the corporation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 The chairperson of the annual meeting shall, if the facts warrant, determine and declare at the annual meeting that business was not properly brought before the annual meeting and in accordance with the provisions of this Section 2.4(i), and, if the chairperson should so determine, the chairperson shall so declare at the annual meeting that any such business not properly brought before the annual meeting shall not be conducted.</w:t>
      </w:r>
    </w:p>
    <w:p>
      <w:pPr>
        <w:spacing w:after="0" w:line="168" w:lineRule="exact"/>
        <w:rPr>
          <w:rFonts w:ascii="Arial" w:cs="Arial" w:eastAsia="Arial" w:hAnsi="Arial"/>
          <w:sz w:val="19"/>
          <w:szCs w:val="19"/>
          <w:color w:val="auto"/>
        </w:rPr>
      </w:pPr>
    </w:p>
    <w:p>
      <w:pPr>
        <w:jc w:val="both"/>
        <w:ind w:firstLine="1505"/>
        <w:spacing w:after="0" w:line="268" w:lineRule="auto"/>
        <w:tabs>
          <w:tab w:leader="none" w:pos="2164"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Advance Notice of Director Nominations at Annual Meetings. </w:t>
      </w:r>
      <w:r>
        <w:rPr>
          <w:rFonts w:ascii="Arial" w:cs="Arial" w:eastAsia="Arial" w:hAnsi="Arial"/>
          <w:sz w:val="19"/>
          <w:szCs w:val="19"/>
          <w:color w:val="auto"/>
        </w:rPr>
        <w:t>Notwithstanding anything in these bylaws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only persons who are nominated in accordance with the procedures set forth in this Section 2.4(ii) shall be eligible for election or re-election as directors at an annual meeting of stockholders. Nominations of persons for election to the board of directors of the corporation shall be made at an annual meeting of stockholders only (A) by or at the direction of the board of directors, or any committee thereof that has been formally delegated authority to nominate such persons pursuant to a resolution adopted by a majority of the Whole Board, or (B) by a stockholder of the corporation who (1) was a stockholder of record at the time of the giving of the notice required by this Section 2.4(ii); (2) is a stockholder of record on the record date for the determination of stockholders entitled to notice of the annual meeting; (3) is a stockholder of record on the record date for the determination of stockholders entitled to vote at the annual meeting; (4) is a stockholder of record at the time of the annual meeting; and (5) has complied with the notice procedures set forth in this Section 2.4(ii). In addition to any other applicable requirements, for a nomination to be made by a stockholder, the stockholder must have given timely notice thereof in proper written form to the secretary at the corporation’s principal executive offices.</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4" w:name="page15"/>
    <w:bookmarkEnd w:id="14"/>
    <w:p>
      <w:pPr>
        <w:jc w:val="both"/>
        <w:ind w:firstLine="2254"/>
        <w:spacing w:after="0" w:line="244" w:lineRule="auto"/>
        <w:tabs>
          <w:tab w:leader="none" w:pos="2595" w:val="left"/>
        </w:tabs>
        <w:numPr>
          <w:ilvl w:val="0"/>
          <w:numId w:val="12"/>
        </w:numPr>
        <w:rPr>
          <w:rFonts w:ascii="Arial" w:cs="Arial" w:eastAsia="Arial" w:hAnsi="Arial"/>
          <w:sz w:val="21"/>
          <w:szCs w:val="21"/>
          <w:color w:val="auto"/>
        </w:rPr>
      </w:pPr>
      <w:r>
        <w:rPr>
          <w:rFonts w:ascii="Arial" w:cs="Arial" w:eastAsia="Arial" w:hAnsi="Arial"/>
          <w:sz w:val="21"/>
          <w:szCs w:val="21"/>
          <w:color w:val="auto"/>
        </w:rPr>
        <w:t>To comply with clause (B) of Section 2.4(ii) above, a nomination to be made by a stockholder must set forth all information required under this Section 2.4(ii) and must be received by the secretary at the principal executive offices of the corporation at the time set forth in, and in accordance with, the final three sentences of Section 2.4(i)(a)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2.4(ii) will also be considered timely, but only with respect to any nominees for any new positions created by such increase, if it is received by the secretary at the principal executive offices of the corporation no later than 5:00 p.m., Pacific Time, on the 10th day following the day on which such Public Announcement is first made.</w:t>
      </w:r>
    </w:p>
    <w:p>
      <w:pPr>
        <w:spacing w:after="0" w:line="188" w:lineRule="exact"/>
        <w:rPr>
          <w:rFonts w:ascii="Arial" w:cs="Arial" w:eastAsia="Arial" w:hAnsi="Arial"/>
          <w:sz w:val="21"/>
          <w:szCs w:val="21"/>
          <w:color w:val="auto"/>
        </w:rPr>
      </w:pPr>
    </w:p>
    <w:p>
      <w:pPr>
        <w:ind w:left="2600" w:hanging="346"/>
        <w:spacing w:after="0"/>
        <w:tabs>
          <w:tab w:leader="none" w:pos="2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To be in proper written form, such stockholder’s notice to the secretary must set forth:</w:t>
      </w:r>
    </w:p>
    <w:p>
      <w:pPr>
        <w:spacing w:after="0" w:line="200" w:lineRule="exact"/>
        <w:rPr>
          <w:rFonts w:ascii="Arial" w:cs="Arial" w:eastAsia="Arial" w:hAnsi="Arial"/>
          <w:sz w:val="22"/>
          <w:szCs w:val="22"/>
          <w:color w:val="auto"/>
        </w:rPr>
      </w:pPr>
    </w:p>
    <w:p>
      <w:pPr>
        <w:ind w:left="3460" w:hanging="457"/>
        <w:spacing w:after="0"/>
        <w:tabs>
          <w:tab w:leader="none" w:pos="346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as to each person (a “</w:t>
      </w:r>
      <w:r>
        <w:rPr>
          <w:rFonts w:ascii="Arial" w:cs="Arial" w:eastAsia="Arial" w:hAnsi="Arial"/>
          <w:sz w:val="19"/>
          <w:szCs w:val="19"/>
          <w:b w:val="1"/>
          <w:bCs w:val="1"/>
          <w:color w:val="auto"/>
        </w:rPr>
        <w:t>nominee</w:t>
      </w:r>
      <w:r>
        <w:rPr>
          <w:rFonts w:ascii="Arial" w:cs="Arial" w:eastAsia="Arial" w:hAnsi="Arial"/>
          <w:sz w:val="19"/>
          <w:szCs w:val="19"/>
          <w:color w:val="auto"/>
        </w:rPr>
        <w:t>”) whom the stockholder proposes to nominate for election</w:t>
      </w:r>
    </w:p>
    <w:p>
      <w:pPr>
        <w:spacing w:after="0" w:line="48" w:lineRule="exact"/>
        <w:rPr>
          <w:rFonts w:ascii="Arial" w:cs="Arial" w:eastAsia="Arial" w:hAnsi="Arial"/>
          <w:sz w:val="19"/>
          <w:szCs w:val="19"/>
          <w:color w:val="auto"/>
        </w:rPr>
      </w:pPr>
    </w:p>
    <w:p>
      <w:pPr>
        <w:jc w:val="both"/>
        <w:spacing w:after="0" w:line="267" w:lineRule="auto"/>
        <w:rPr>
          <w:rFonts w:ascii="Arial" w:cs="Arial" w:eastAsia="Arial" w:hAnsi="Arial"/>
          <w:sz w:val="19"/>
          <w:szCs w:val="19"/>
          <w:color w:val="auto"/>
        </w:rPr>
      </w:pPr>
      <w:r>
        <w:rPr>
          <w:rFonts w:ascii="Arial" w:cs="Arial" w:eastAsia="Arial" w:hAnsi="Arial"/>
          <w:sz w:val="19"/>
          <w:szCs w:val="19"/>
          <w:color w:val="auto"/>
        </w:rPr>
        <w:t>or re-election as a director: (A) the name, age, business address and residence address of the nominee, (B) the principal occupation or employment of the nominee, (C) the class and number of shares of the corporation that are held of record or are beneficially owned by the nominee and any Derivative Instruments held or beneficially held by the nominee, including the full notional amount of any securities that, directly or indirectly, underlie any such Derivative Instruments, (D)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create or mitigate loss to, or to manage the risk or benefit of share price changes for, or to increase or decrease the voting power of the nominee, (E) all arrangements or understandings between the stockholder giving the notice and any Stockholder Associated Person, on the one hand, and each nominee and such nominee’s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 (F) a written statement executed by the nominee acknowledging that as a director of the corporation, the nominee will owe a fiduciary duty under Delaware law with respect to the corporation and its stockholders, (G) any proxy, contract, arrangement, understanding or relationship pursuant to which such stockholder or any Stockholder Associated Person or others acting in concert with them has a right to vote any shares of any security of the corporation, (H) any material pending or threatened legal proceeding in which such stockholder or any Stockholder Associated Person is a party or material participant involving the corporation or any of its officers, directors or affiliates, (I) any material relationship between such stockholder or any Stockholder Associated Person or others acting in concert with them, on the one hand, and the corporation or any of its officers, directors or affiliates, on the other hand, (J) any direct</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5" w:name="page16"/>
    <w:bookmarkEnd w:id="15"/>
    <w:p>
      <w:pPr>
        <w:jc w:val="both"/>
        <w:spacing w:after="0" w:line="274" w:lineRule="auto"/>
        <w:rPr>
          <w:sz w:val="20"/>
          <w:szCs w:val="20"/>
          <w:color w:val="auto"/>
        </w:rPr>
      </w:pPr>
      <w:r>
        <w:rPr>
          <w:rFonts w:ascii="Arial" w:cs="Arial" w:eastAsia="Arial" w:hAnsi="Arial"/>
          <w:sz w:val="19"/>
          <w:szCs w:val="19"/>
          <w:color w:val="auto"/>
        </w:rPr>
        <w:t>or indirect compensatory, payment, indemnification or other financial agreement, arrangement or understanding that such nominee has, or has had within the past three years, with any person or entity other than the corporation (including, without limitation, the amount of any payment or payments received or receivable thereunder), in each case in connection with candidacy or service as a director of the corporation (such agreement, arrangement or understanding, a “</w:t>
      </w:r>
      <w:r>
        <w:rPr>
          <w:rFonts w:ascii="Arial" w:cs="Arial" w:eastAsia="Arial" w:hAnsi="Arial"/>
          <w:sz w:val="19"/>
          <w:szCs w:val="19"/>
          <w:b w:val="1"/>
          <w:bCs w:val="1"/>
          <w:color w:val="auto"/>
        </w:rPr>
        <w:t>Third-Party Compensation</w:t>
      </w:r>
      <w:r>
        <w:rPr>
          <w:rFonts w:ascii="Arial" w:cs="Arial" w:eastAsia="Arial" w:hAnsi="Arial"/>
          <w:sz w:val="19"/>
          <w:szCs w:val="19"/>
          <w:color w:val="auto"/>
        </w:rPr>
        <w:t xml:space="preserve"> </w:t>
      </w:r>
      <w:r>
        <w:rPr>
          <w:rFonts w:ascii="Arial" w:cs="Arial" w:eastAsia="Arial" w:hAnsi="Arial"/>
          <w:sz w:val="19"/>
          <w:szCs w:val="19"/>
          <w:b w:val="1"/>
          <w:bCs w:val="1"/>
          <w:color w:val="auto"/>
        </w:rPr>
        <w:t>Arrangement</w:t>
      </w:r>
      <w:r>
        <w:rPr>
          <w:rFonts w:ascii="Arial" w:cs="Arial" w:eastAsia="Arial" w:hAnsi="Arial"/>
          <w:sz w:val="19"/>
          <w:szCs w:val="19"/>
          <w:color w:val="auto"/>
        </w:rPr>
        <w:t>”), and (K) any other information relating to the nominee that would be required to be disclosed about such</w:t>
      </w:r>
      <w:r>
        <w:rPr>
          <w:rFonts w:ascii="Arial" w:cs="Arial" w:eastAsia="Arial" w:hAnsi="Arial"/>
          <w:sz w:val="19"/>
          <w:szCs w:val="19"/>
          <w:b w:val="1"/>
          <w:bCs w:val="1"/>
          <w:color w:val="auto"/>
        </w:rPr>
        <w:t xml:space="preserve"> </w:t>
      </w:r>
      <w:r>
        <w:rPr>
          <w:rFonts w:ascii="Arial" w:cs="Arial" w:eastAsia="Arial" w:hAnsi="Arial"/>
          <w:sz w:val="19"/>
          <w:szCs w:val="19"/>
          <w:color w:val="auto"/>
        </w:rPr>
        <w:t>nominee if proxies were being solicited for the election or re-election of the nominee as a director, or that is otherwise required, in each case pursuant to Regulation 14A under the 1934 Act (including without limitation the nominee’s written consent (i) to being named as a nominee of such stockholder, (ii) to being named in the corporation’s form of proxy pursuant to Rule 14a-19 under the 1934 Act and (iii) to serving as a director of the corporation if elected); and</w:t>
      </w:r>
    </w:p>
    <w:p>
      <w:pPr>
        <w:spacing w:after="0" w:line="158" w:lineRule="exact"/>
        <w:rPr>
          <w:sz w:val="20"/>
          <w:szCs w:val="20"/>
          <w:color w:val="auto"/>
        </w:rPr>
      </w:pPr>
    </w:p>
    <w:p>
      <w:pPr>
        <w:jc w:val="both"/>
        <w:ind w:firstLine="3003"/>
        <w:spacing w:after="0" w:line="273" w:lineRule="auto"/>
        <w:tabs>
          <w:tab w:leader="none" w:pos="3456" w:val="left"/>
        </w:tabs>
        <w:numPr>
          <w:ilvl w:val="1"/>
          <w:numId w:val="13"/>
        </w:numPr>
        <w:rPr>
          <w:rFonts w:ascii="Arial" w:cs="Arial" w:eastAsia="Arial" w:hAnsi="Arial"/>
          <w:sz w:val="19"/>
          <w:szCs w:val="19"/>
          <w:color w:val="auto"/>
        </w:rPr>
      </w:pPr>
      <w:r>
        <w:rPr>
          <w:rFonts w:ascii="Arial" w:cs="Arial" w:eastAsia="Arial" w:hAnsi="Arial"/>
          <w:sz w:val="19"/>
          <w:szCs w:val="19"/>
          <w:color w:val="auto"/>
        </w:rPr>
        <w:t>as to such stockholder giving notice, (A) the information required to be provided pursuant to clauses (2) through (18) of Section 2.4(i)(b) above, and the Supplement referenced in Section 2.4(i)(b) above (except that the references to “business” in such clauses shall instead refer to nominations of directors for purposes of this paragraph), and (B) a representation and undertaking as to whether either such stockholder or Stockholder Associated Person will (x) deliver a proxy statement and form of proxy to holders of a number of the corporation’s voting shares reasonably believed by such stockholder or Stockholder Associated Person to be necessary to elect or re-elect such nominee(s) (which representation must include a statement as to whether such stockholder or Stockholder Associated Person or others acting in concert with them intends to solicit the requisite percentage of the voting power of the corporation’s stock under Rule 14a-19 of the 1934 Act) and intends to appear in person or by proxy at the meeting to bring such nomination before the meeting, or (y) otherwise solicit proxies from stockholders in support of such nomination (such information provided and statements made as required by clauses (A) and (B) above, a “</w:t>
      </w:r>
      <w:r>
        <w:rPr>
          <w:rFonts w:ascii="Arial" w:cs="Arial" w:eastAsia="Arial" w:hAnsi="Arial"/>
          <w:sz w:val="19"/>
          <w:szCs w:val="19"/>
          <w:b w:val="1"/>
          <w:bCs w:val="1"/>
          <w:color w:val="auto"/>
        </w:rPr>
        <w:t>Nominee Solicitation Statement</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2254"/>
        <w:spacing w:after="0" w:line="268" w:lineRule="auto"/>
        <w:tabs>
          <w:tab w:leader="none" w:pos="2624"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 later than five business days prior to the annual meeting or any adjournment, rescheduling, postponement or other delay thereof, a stockholder nominating one or more individuals for election as a director will provide the corporation with reasonable evidence that such stockholder has met the requirements of Rule 14a-19. The failure to timely provide such update, supplement, evidence or additional information shall result in the nomination no longer being eligible for consideration at the annual meeting. If the stockholder fails to comply with the requirements of Rule 14a-19 (including because the stockholder fails to provide the corporation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corporation and counted for the purposes of determining quorum. For the avoidance of doubt, the obligation to update and supplement, or provide additional information or evidence, with respect to any nomination as set forth in these bylaws shall not limit the corporation’s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proposal or to submit any new nomination or proposal. No</w:t>
      </w:r>
    </w:p>
    <w:p>
      <w:pPr>
        <w:spacing w:after="0" w:line="8"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6" w:name="page17"/>
    <w:bookmarkEnd w:id="16"/>
    <w:p>
      <w:pPr>
        <w:jc w:val="both"/>
        <w:spacing w:after="0" w:line="238" w:lineRule="auto"/>
        <w:rPr>
          <w:sz w:val="20"/>
          <w:szCs w:val="20"/>
          <w:color w:val="auto"/>
        </w:rPr>
      </w:pPr>
      <w:r>
        <w:rPr>
          <w:rFonts w:ascii="Arial" w:cs="Arial" w:eastAsia="Arial" w:hAnsi="Arial"/>
          <w:sz w:val="22"/>
          <w:szCs w:val="22"/>
          <w:color w:val="auto"/>
        </w:rPr>
        <w:t>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85" w:lineRule="exact"/>
        <w:rPr>
          <w:sz w:val="20"/>
          <w:szCs w:val="20"/>
          <w:color w:val="auto"/>
        </w:rPr>
      </w:pPr>
    </w:p>
    <w:p>
      <w:pPr>
        <w:jc w:val="both"/>
        <w:ind w:firstLine="2254"/>
        <w:spacing w:after="0" w:line="268" w:lineRule="auto"/>
        <w:tabs>
          <w:tab w:leader="none" w:pos="2616" w:val="left"/>
        </w:tabs>
        <w:numPr>
          <w:ilvl w:val="0"/>
          <w:numId w:val="15"/>
        </w:numPr>
        <w:rPr>
          <w:rFonts w:ascii="Arial" w:cs="Arial" w:eastAsia="Arial" w:hAnsi="Arial"/>
          <w:sz w:val="19"/>
          <w:szCs w:val="19"/>
          <w:color w:val="auto"/>
        </w:rPr>
      </w:pPr>
      <w:r>
        <w:rPr>
          <w:rFonts w:ascii="Arial" w:cs="Arial" w:eastAsia="Arial" w:hAnsi="Arial"/>
          <w:sz w:val="19"/>
          <w:szCs w:val="19"/>
          <w:color w:val="auto"/>
        </w:rPr>
        <w:t>To be eligible to be a nominee of any stockholder for election or re-election as a director of the corporation, at the request of the board of directors, any person nominated by a stockholder for election or re-election as a director must furnish to the secretary (1) that information required to be set forth in the stockholder’s notice of nomination of such person as a director as of a date subsequent to the date on which the notice of such person’s nomination was given and (2) such other information as may reasonably be required by the corporation to determine the eligibility of such proposed nominee to serve as an independent director or audit committee financial expert of the corporation under applicable law, securities exchange rule or regulation, or any publicly disclosed corporate governance guideline or committee charter of the corporation and that could be material to a reasonable stockholder’s understanding of the independence, or lack thereof, or the qualifications of such nominee. Such additional information, if applicable, must be received by the secretary at the principal executive offices of the corporation promptly following a request therefor, not later than such reasonable time as is specified in any such request from the corporation. In the absence of the timely furnishing of such information if requested, such stockholder’s nomination shall not be considered in proper form and shall be ineligible for consideration at the annual meeting pursuant to this Section 2.4(ii). Without limiting the foregoing, to be eligible to be a nominee and qualify for election or re-election as a director of the corporation, the proposed nominee must deliver (in accordance with the time period prescribed for delivery in a notice to such proposed nominee given by or on behalf of the board of directors), to the secretary at the principal executive offices of the corporation, (1) a signed and completed written questionnaire (in a form provided by the corporation, which will be provided by the secretary within 10 days of receiving such request) containing information regarding such nominee’s background and qualifications and such other information as may reasonably be required by the corporation to determine the eligibility of such nominee to serve as a director of the corporation or to serve as an independent director of the corporation and (2) a written representation and undertaking that such proposed nominee (A) unless previously disclosed to the corporation, is not and, if elected as a director during such director’s term of office will not become, a party to (x) any agreement, arrangement or understanding with, and has not given and will not give any commitment or assurance to, any person or entity as to how such proposed nominee, if elected as a director of the corporation, will act or vote on any issue or question or (y) any Third-Party Compensation Arrangement, unless previously disclosed to the corporation, and (B) if elected as a director of the corporation, such nominee would be in compliance, and will continue to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shall provide to such proposed nominee all such policies and guidelines then in effect), and that such nominee intends to serve a full term on the board of directors. No later than five business days prior to the annual meeting or any adjournment, rescheduling, postponement or other delay thereof, a stockholder nominating individuals for election</w:t>
      </w:r>
    </w:p>
    <w:p>
      <w:pPr>
        <w:spacing w:after="0" w:line="235"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7" w:name="page18"/>
    <w:bookmarkEnd w:id="17"/>
    <w:p>
      <w:pPr>
        <w:jc w:val="both"/>
        <w:spacing w:after="0"/>
        <w:rPr>
          <w:sz w:val="20"/>
          <w:szCs w:val="20"/>
          <w:color w:val="auto"/>
        </w:rPr>
      </w:pPr>
      <w:r>
        <w:rPr>
          <w:rFonts w:ascii="Arial" w:cs="Arial" w:eastAsia="Arial" w:hAnsi="Arial"/>
          <w:sz w:val="22"/>
          <w:szCs w:val="22"/>
          <w:color w:val="auto"/>
        </w:rPr>
        <w:t>or re-election as a director will provide the corporation with reasonable evidence that such stockholder has met the requirements of Rule 14a-19. The failure to timely provide such update, supplement, evidence or additional information shall result in the nomination no longer being eligible for consideration at the meeting.</w:t>
      </w:r>
    </w:p>
    <w:p>
      <w:pPr>
        <w:spacing w:after="0" w:line="186" w:lineRule="exact"/>
        <w:rPr>
          <w:sz w:val="20"/>
          <w:szCs w:val="20"/>
          <w:color w:val="auto"/>
        </w:rPr>
      </w:pPr>
    </w:p>
    <w:p>
      <w:pPr>
        <w:jc w:val="both"/>
        <w:ind w:firstLine="2254"/>
        <w:spacing w:after="0" w:line="272" w:lineRule="auto"/>
        <w:tabs>
          <w:tab w:leader="none" w:pos="2639" w:val="left"/>
        </w:tabs>
        <w:numPr>
          <w:ilvl w:val="1"/>
          <w:numId w:val="16"/>
        </w:numPr>
        <w:rPr>
          <w:rFonts w:ascii="Arial" w:cs="Arial" w:eastAsia="Arial" w:hAnsi="Arial"/>
          <w:sz w:val="19"/>
          <w:szCs w:val="19"/>
          <w:color w:val="auto"/>
        </w:rPr>
      </w:pPr>
      <w:r>
        <w:rPr>
          <w:rFonts w:ascii="Arial" w:cs="Arial" w:eastAsia="Arial" w:hAnsi="Arial"/>
          <w:sz w:val="19"/>
          <w:szCs w:val="19"/>
          <w:color w:val="auto"/>
        </w:rPr>
        <w:t>Without exception, no person shall be eligible for election or re-election as a director of the corporation at an annual meeting of stockholders unless nominated in accordance with the provisions set forth in this Section 2.4(ii). In addition, a nominee shall not be eligible for election or re-election if a stockholder or Stockholder Associated Person, as applicable, takes action contrary to the representations made in the Nominee Solicitation Statement applicable to such nominee or if the Nominee Solicitation Statement applicable to such nominee or other information provided to the corporation by or on behalf of such nominee contains an untrue statement of a material fact or omits to state a material fact necessary to make the statements therein not misleading. The chairperson of the annual meeting shall, if the facts warrant, determine and declare at the annual meeting that a nomination was not made in accordance with the provisions prescribed by these bylaws, and if the chairperson should so determine, the chairperson shall so declare at the annual meeting, and the defective nomination shall be disregarded. Notwithstanding anything to the contrary in this Section 2.4, unless otherwise required by law, if the stockholder (or a qualified representative of the stockholder) does not appear in person at the meeting to present a nomination, such nomination will be disregarded notwithstanding that proxies in respect of such nomination may have been received by the corporation and counted for purposes of determining a quorum.</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160" w:hanging="655"/>
        <w:spacing w:after="0"/>
        <w:tabs>
          <w:tab w:leader="none" w:pos="2160" w:val="left"/>
        </w:tabs>
        <w:numPr>
          <w:ilvl w:val="0"/>
          <w:numId w:val="17"/>
        </w:numPr>
        <w:rPr>
          <w:rFonts w:ascii="Arial" w:cs="Arial" w:eastAsia="Arial" w:hAnsi="Arial"/>
          <w:sz w:val="22"/>
          <w:szCs w:val="22"/>
          <w:color w:val="auto"/>
        </w:rPr>
      </w:pPr>
      <w:r>
        <w:rPr>
          <w:rFonts w:ascii="Arial" w:cs="Arial" w:eastAsia="Arial" w:hAnsi="Arial"/>
          <w:sz w:val="22"/>
          <w:szCs w:val="22"/>
          <w:i w:val="1"/>
          <w:iCs w:val="1"/>
          <w:color w:val="auto"/>
        </w:rPr>
        <w:t>Advance Notice of Director Nominations for Special Meetings.</w:t>
      </w:r>
    </w:p>
    <w:p>
      <w:pPr>
        <w:spacing w:after="0" w:line="206" w:lineRule="exact"/>
        <w:rPr>
          <w:rFonts w:ascii="Arial" w:cs="Arial" w:eastAsia="Arial" w:hAnsi="Arial"/>
          <w:sz w:val="22"/>
          <w:szCs w:val="22"/>
          <w:color w:val="auto"/>
        </w:rPr>
      </w:pPr>
    </w:p>
    <w:p>
      <w:pPr>
        <w:jc w:val="both"/>
        <w:ind w:firstLine="2254"/>
        <w:spacing w:after="0" w:line="268" w:lineRule="auto"/>
        <w:tabs>
          <w:tab w:leader="none" w:pos="2603" w:val="left"/>
        </w:tabs>
        <w:numPr>
          <w:ilvl w:val="1"/>
          <w:numId w:val="17"/>
        </w:numPr>
        <w:rPr>
          <w:rFonts w:ascii="Arial" w:cs="Arial" w:eastAsia="Arial" w:hAnsi="Arial"/>
          <w:sz w:val="19"/>
          <w:szCs w:val="19"/>
          <w:color w:val="auto"/>
        </w:rPr>
      </w:pPr>
      <w:r>
        <w:rPr>
          <w:rFonts w:ascii="Arial" w:cs="Arial" w:eastAsia="Arial" w:hAnsi="Arial"/>
          <w:sz w:val="19"/>
          <w:szCs w:val="19"/>
          <w:color w:val="auto"/>
        </w:rPr>
        <w:t>For a special meeting of stockholders at which directors are to be elected or re-elected pursuant to Section 2.3, nominations of persons for election to the board of directors shall be made only (1) by or at the direction of the board of directors, or any committee thereof that has been formally delegated authority to nominate such persons pursuant to a resolution adopted by a majority of the Whole Board, or (2) by any stockholder of the corporation who (A) is a stockholder of record at the time of the giving of the notice required by this Section 2.4(iii); (B) is a stockholder of record on the record date for the determination of stockholders entitled to notice of the special meeting; (C) is a stockholder of record on the record date for the determination of stockholders entitled to vote at the special meeting; (D) is a stockholder of record at the time of the special meeting; and (E) delivers a timely written notice of the nomination to the secretary that includes the information set forth in Sections 2.4(ii)(b) and (ii)(c) above (with references therein to “annual meeting” deemed to mean “special meeting” for the purposes of this Section 2.4(iii) and further with such procedures that the corporation deems to be applicable to such special meeting). To be timely, such notice must be received by the secretary at the principal executive offices of the corporation not earlier than 8:00 a.m., Pacific time, on the 120th day prior to the day of the special meeting and not later than 5:00 p.m., Pacific time, on the later of (i) the 90th day prior to such special meeting or (ii) the tenth day following the day on which Public Announcement is first made of the date of the special meeting and of the nominees proposed by the board of directors to be elected or re-elected at such meeting. In no event shall any adjournment, rescheduling, postponement or other delay of a special meeting or the announcement thereof commence a new time period for the giving of a stockholder’s notice. A person shall not be</w:t>
      </w:r>
    </w:p>
    <w:p>
      <w:pPr>
        <w:spacing w:after="0" w:line="5"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 w:name="page19"/>
    <w:bookmarkEnd w:id="18"/>
    <w:p>
      <w:pPr>
        <w:jc w:val="both"/>
        <w:spacing w:after="0" w:line="274" w:lineRule="auto"/>
        <w:rPr>
          <w:sz w:val="20"/>
          <w:szCs w:val="20"/>
          <w:color w:val="auto"/>
        </w:rPr>
      </w:pPr>
      <w:r>
        <w:rPr>
          <w:rFonts w:ascii="Arial" w:cs="Arial" w:eastAsia="Arial" w:hAnsi="Arial"/>
          <w:sz w:val="19"/>
          <w:szCs w:val="19"/>
          <w:color w:val="auto"/>
        </w:rPr>
        <w:t>eligible for election or re-election as a director at a special meeting unless the person is nominated (i) by or at the direction of the board of directors, or any committee thereof that has been formally delegated authority to nominate such persons pursuant to a resolution adopted by a majority of the Whole Board, or (ii) by a stockholder in accordance with the notice procedures set forth in this Section 2.4(iii). In addition, a nominee shall not be eligible for election or re-election if a stockholder or Stockholder Associated Person, as applicable, takes action contrary to the representations made in the Nominee Solicitation Statement applicable to such nominee or other information provided to the corporation by or on behalf of such nominee or if the Nominee Solicitation Statement applicable to such nominee contains an untrue statement of a material fact or omits to state a material fact necessary to make the statements therein not misleading. Any person nominated in accordance with this Section 2.4(iii) is subject to, and must comply with, the provisions of Section 2.4(ii)(c).</w:t>
      </w:r>
    </w:p>
    <w:p>
      <w:pPr>
        <w:spacing w:after="0" w:line="158" w:lineRule="exact"/>
        <w:rPr>
          <w:sz w:val="20"/>
          <w:szCs w:val="20"/>
          <w:color w:val="auto"/>
        </w:rPr>
      </w:pPr>
    </w:p>
    <w:p>
      <w:pPr>
        <w:jc w:val="both"/>
        <w:ind w:firstLine="2254"/>
        <w:spacing w:after="0" w:line="238" w:lineRule="auto"/>
        <w:tabs>
          <w:tab w:leader="none" w:pos="2626" w:val="left"/>
        </w:tabs>
        <w:numPr>
          <w:ilvl w:val="1"/>
          <w:numId w:val="18"/>
        </w:numPr>
        <w:rPr>
          <w:rFonts w:ascii="Arial" w:cs="Arial" w:eastAsia="Arial" w:hAnsi="Arial"/>
          <w:sz w:val="22"/>
          <w:szCs w:val="22"/>
          <w:color w:val="auto"/>
        </w:rPr>
      </w:pPr>
      <w:r>
        <w:rPr>
          <w:rFonts w:ascii="Arial" w:cs="Arial" w:eastAsia="Arial" w:hAnsi="Arial"/>
          <w:sz w:val="22"/>
          <w:szCs w:val="22"/>
          <w:color w:val="auto"/>
        </w:rPr>
        <w:t>The chairperson of the special meeting shall, if the facts warrant, determine and declare at the meeting that a nomination or business was not made in accordance with the procedures prescribed by these bylaws, and if the chairperson should so determine, the chairperson shall so declare at the meeting, and the defective nomination or business shall be disregarded.</w:t>
      </w:r>
    </w:p>
    <w:p>
      <w:pPr>
        <w:spacing w:after="0" w:line="184" w:lineRule="exact"/>
        <w:rPr>
          <w:rFonts w:ascii="Arial" w:cs="Arial" w:eastAsia="Arial" w:hAnsi="Arial"/>
          <w:sz w:val="22"/>
          <w:szCs w:val="22"/>
          <w:color w:val="auto"/>
        </w:rPr>
      </w:pPr>
    </w:p>
    <w:p>
      <w:pPr>
        <w:jc w:val="both"/>
        <w:ind w:firstLine="1505"/>
        <w:spacing w:after="0" w:line="297" w:lineRule="auto"/>
        <w:tabs>
          <w:tab w:leader="none" w:pos="2161"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Other Requirements and Rights. </w:t>
      </w:r>
      <w:r>
        <w:rPr>
          <w:rFonts w:ascii="Arial" w:cs="Arial" w:eastAsia="Arial" w:hAnsi="Arial"/>
          <w:sz w:val="19"/>
          <w:szCs w:val="19"/>
          <w:color w:val="auto"/>
        </w:rPr>
        <w:t>In addition to the foregoing provisions of this Section 2.4, a stockholder</w:t>
      </w:r>
      <w:r>
        <w:rPr>
          <w:rFonts w:ascii="Arial" w:cs="Arial" w:eastAsia="Arial" w:hAnsi="Arial"/>
          <w:sz w:val="19"/>
          <w:szCs w:val="19"/>
          <w:i w:val="1"/>
          <w:iCs w:val="1"/>
          <w:color w:val="auto"/>
        </w:rPr>
        <w:t xml:space="preserve"> </w:t>
      </w:r>
      <w:r>
        <w:rPr>
          <w:rFonts w:ascii="Arial" w:cs="Arial" w:eastAsia="Arial" w:hAnsi="Arial"/>
          <w:sz w:val="19"/>
          <w:szCs w:val="19"/>
          <w:color w:val="auto"/>
        </w:rPr>
        <w:t>must also comply with all applicable requirements of state law and of the 1934 Act and the rules and regulations thereunder with respect to the matters set forth in this Section 2.4. Nothing in this Section 2.4 shall be deemed to affect any rights of:</w:t>
      </w:r>
    </w:p>
    <w:p>
      <w:pPr>
        <w:spacing w:after="0" w:line="133" w:lineRule="exact"/>
        <w:rPr>
          <w:rFonts w:ascii="Arial" w:cs="Arial" w:eastAsia="Arial" w:hAnsi="Arial"/>
          <w:sz w:val="19"/>
          <w:szCs w:val="19"/>
          <w:color w:val="auto"/>
        </w:rPr>
      </w:pPr>
    </w:p>
    <w:p>
      <w:pPr>
        <w:ind w:firstLine="2254"/>
        <w:spacing w:after="0" w:line="250" w:lineRule="auto"/>
        <w:tabs>
          <w:tab w:leader="none" w:pos="2623" w:val="left"/>
        </w:tabs>
        <w:numPr>
          <w:ilvl w:val="1"/>
          <w:numId w:val="19"/>
        </w:numPr>
        <w:rPr>
          <w:rFonts w:ascii="Arial" w:cs="Arial" w:eastAsia="Arial" w:hAnsi="Arial"/>
          <w:sz w:val="22"/>
          <w:szCs w:val="22"/>
          <w:color w:val="auto"/>
        </w:rPr>
      </w:pPr>
      <w:r>
        <w:rPr>
          <w:rFonts w:ascii="Arial" w:cs="Arial" w:eastAsia="Arial" w:hAnsi="Arial"/>
          <w:sz w:val="22"/>
          <w:szCs w:val="22"/>
          <w:color w:val="auto"/>
        </w:rPr>
        <w:t>a stockholder to request inclusion of proposals in the corporation’s proxy statement pursuant to Rule 14a-8 (or any successor provision) under the 1934 Act; or</w:t>
      </w:r>
    </w:p>
    <w:p>
      <w:pPr>
        <w:spacing w:after="0" w:line="174" w:lineRule="exact"/>
        <w:rPr>
          <w:rFonts w:ascii="Arial" w:cs="Arial" w:eastAsia="Arial" w:hAnsi="Arial"/>
          <w:sz w:val="22"/>
          <w:szCs w:val="22"/>
          <w:color w:val="auto"/>
        </w:rPr>
      </w:pPr>
    </w:p>
    <w:p>
      <w:pPr>
        <w:ind w:firstLine="2254"/>
        <w:spacing w:after="0" w:line="250" w:lineRule="auto"/>
        <w:tabs>
          <w:tab w:leader="none" w:pos="2609"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corporation to omit a proposal from the corporation’s proxy statement pursuant to Rule 14a-8 (or any successor provision) under the 1934 Act.</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NOTICE OF STOCKHOLDERS’ MEETINGS</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1"/>
          <w:szCs w:val="21"/>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7"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9" w:name="page20"/>
    <w:bookmarkEnd w:id="19"/>
    <w:p>
      <w:pPr>
        <w:ind w:left="760"/>
        <w:spacing w:after="0"/>
        <w:tabs>
          <w:tab w:leader="none" w:pos="12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QUORUM</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holders of a majority of the voting power of the capital stock of the corporation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corporation’s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corporation’s securities are listed.</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7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1"/>
          <w:szCs w:val="21"/>
          <w:color w:val="auto"/>
        </w:rPr>
        <w:t>ADJOURNED MEETING; NOTICE</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When a meeting is adjourned to another time or place (including an adjournment taken to address a technical failure to convene or continue a meeting using remote communication),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5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CONDUCT OF BUSINESS</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w:t>
      </w:r>
    </w:p>
    <w:p>
      <w:pPr>
        <w:jc w:val="center"/>
        <w:ind w:left="380"/>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0" w:name="page21"/>
    <w:bookmarkEnd w:id="20"/>
    <w:p>
      <w:pPr>
        <w:jc w:val="both"/>
        <w:spacing w:after="0" w:line="249" w:lineRule="auto"/>
        <w:rPr>
          <w:sz w:val="20"/>
          <w:szCs w:val="20"/>
          <w:color w:val="auto"/>
        </w:rPr>
      </w:pPr>
      <w:r>
        <w:rPr>
          <w:rFonts w:ascii="Arial" w:cs="Arial" w:eastAsia="Arial" w:hAnsi="Arial"/>
          <w:sz w:val="21"/>
          <w:szCs w:val="21"/>
          <w:color w:val="auto"/>
        </w:rPr>
        <w:t>shall be designated by the board of directors; in the absence of such designation, the chairperson of the board, if any, or the chief executive officer (in the absence of the chairperson) or the president (in the absence of the chairperson of the board of directors and the chief executive officer), or in their absence any other executive officer of the corporation, shall serve as chairperson of the stockholder meeting. The chairperson of any meeting of the stockholders shall have the power to adjourn the meeting to another place, if any, date or time, whether or not a quorum is present.</w:t>
      </w:r>
    </w:p>
    <w:p>
      <w:pPr>
        <w:spacing w:after="0" w:line="17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21"/>
          <w:szCs w:val="21"/>
          <w:color w:val="auto"/>
        </w:rPr>
        <w:t>VOTING</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8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Except as otherwise provided by law, the certificate of incorporation, these bylaws or the rules of any applicable stock exchange on which the corporation’s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any applicable stock exchange on which the corporation’s securities are listed.</w:t>
      </w:r>
    </w:p>
    <w:p>
      <w:pPr>
        <w:spacing w:after="0" w:line="161"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color w:val="auto"/>
        </w:rPr>
        <w:t>STOCKHOLDER ACTION BY WRITTEN CONSENT WITHOUT A MEETING</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Unless otherwise provided in the certificate of incorporation and subject to the rights of the holders of the shares of any series of preferred stock or any other class of stock or series thereof having a preference over the common stock as dividend or upon liquidation of the 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1" w:name="page22"/>
    <w:bookmarkEnd w:id="21"/>
    <w:p>
      <w:pPr>
        <w:ind w:left="7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RECORD DATES</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50"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A determination of stockholders of record entitled to notice of or to vote at a meeting of stockholders shall apply to any adjournment of the meeting;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4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50"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color w:val="auto"/>
        </w:rPr>
        <w:t>PROXIES</w:t>
      </w:r>
    </w:p>
    <w:p>
      <w:pPr>
        <w:spacing w:after="0" w:line="2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authorization shall set forth, or be delivered with information enabling the corporation to determine, the identity of the stockholder granting such authorization. The</w:t>
      </w:r>
    </w:p>
    <w:p>
      <w:pPr>
        <w:spacing w:after="0" w:line="3"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2"/>
          <w:szCs w:val="22"/>
          <w:color w:val="auto"/>
        </w:rPr>
        <w:t>revocability of a proxy that states on its face that it is irrevocable shall be governed by the provisions of Section 212 of the DGCL.</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color w:val="auto"/>
        </w:rPr>
        <w:t>LIST OF STOCKHOLDERS ENTITLED TO VOTE</w:t>
      </w:r>
    </w:p>
    <w:p>
      <w:pPr>
        <w:spacing w:after="0" w:line="2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The corporation shall prepare, no later than the tenth day before every meeting of stockholders, a complete list of the stockholders entitled to vote at the meeting;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(i) on a reasonably accessible electronic network,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the information required to gain access to such list is provided with the notice of the meeting, or (ii) during ordinary</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hours, at the corporation’s principal place of business. In the event that the corporation determines to make the list available on an electronic network, the corporation may take reasonable steps to ensure that such information is available only to stockholders of the corporation.</w:t>
      </w:r>
    </w:p>
    <w:p>
      <w:pPr>
        <w:spacing w:after="0" w:line="18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INSPECTORS OF ELECTION</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Before any meeting of stockholders, the corporation shall appoint an inspector or inspectors of election to act at the meeting or its adjournment. The corporation may designate one or more persons as alternate inspectors to replace any inspector who fails to act.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Such inspectors shall:</w:t>
      </w:r>
    </w:p>
    <w:p>
      <w:pPr>
        <w:spacing w:after="0" w:line="206" w:lineRule="exact"/>
        <w:rPr>
          <w:sz w:val="20"/>
          <w:szCs w:val="20"/>
          <w:color w:val="auto"/>
        </w:rPr>
      </w:pPr>
    </w:p>
    <w:p>
      <w:pPr>
        <w:ind w:left="2160" w:hanging="355"/>
        <w:spacing w:after="0"/>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ascertain the number of shares outstanding and the voting power of each;</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determine the shares represented at the meeting and the validity of proxies and ballots;</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count all votes and ballots;</w:t>
      </w:r>
    </w:p>
    <w:p>
      <w:pPr>
        <w:spacing w:after="0" w:line="206" w:lineRule="exact"/>
        <w:rPr>
          <w:rFonts w:ascii="Arial" w:cs="Arial" w:eastAsia="Arial" w:hAnsi="Arial"/>
          <w:sz w:val="22"/>
          <w:szCs w:val="22"/>
          <w:color w:val="auto"/>
        </w:rPr>
      </w:pPr>
    </w:p>
    <w:p>
      <w:pPr>
        <w:ind w:firstLine="1805"/>
        <w:spacing w:after="0" w:line="250" w:lineRule="auto"/>
        <w:tabs>
          <w:tab w:leader="none" w:pos="2175"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determine and retain for a reasonable period a record of the disposition of any challenges made to any determination by the inspectors; and</w:t>
      </w:r>
    </w:p>
    <w:p>
      <w:pPr>
        <w:spacing w:after="0" w:line="174" w:lineRule="exact"/>
        <w:rPr>
          <w:rFonts w:ascii="Arial" w:cs="Arial" w:eastAsia="Arial" w:hAnsi="Arial"/>
          <w:sz w:val="22"/>
          <w:szCs w:val="22"/>
          <w:color w:val="auto"/>
        </w:rPr>
      </w:pPr>
    </w:p>
    <w:p>
      <w:pPr>
        <w:ind w:left="2200" w:hanging="395"/>
        <w:spacing w:after="0"/>
        <w:tabs>
          <w:tab w:leader="none" w:pos="22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certify their determination of the number of shares represented at the meeting, and their count of all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votes and ballots.</w:t>
      </w:r>
    </w:p>
    <w:p>
      <w:pPr>
        <w:spacing w:after="0" w:line="18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ARTICLE III - DIRECTORS</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POWERS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business and affairs of the corporation shall be managed by or under the direction of the board of directors, except as may be otherwise provided in the DGCL or the certificate of incorporation.</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NUMBER OF DIRECTORS</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ELECTION, QUALIFICATION AND TERM OF OFFICE OF DIRECTORS</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If so provided in the certificate of incorporation, the directors of the corporation shall be divided into three classes.</w:t>
      </w:r>
    </w:p>
    <w:p>
      <w:pPr>
        <w:spacing w:after="0" w:line="241"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RESIGNATION AND VACANCIES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Any director may resign at any time upon notice given in writing or by electronic transmission to the corporation.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Unless otherwise provided in the certificate of incorporation or these bylaws or permitted in the specific case by resolution of the board of directors, and subject to the rights of holders of the shares of any series of preferred stock or any other class of stock or series thereof having a preference over the common stock as dividend or upon liquidation of the corporation, vacancies and newly created directorships resulting from any increase in the authorized number of directors elected by all of the</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24" w:name="page25"/>
    <w:bookmarkEnd w:id="24"/>
    <w:p>
      <w:pPr>
        <w:jc w:val="both"/>
        <w:spacing w:after="0" w:line="252" w:lineRule="auto"/>
        <w:rPr>
          <w:sz w:val="20"/>
          <w:szCs w:val="20"/>
          <w:color w:val="auto"/>
        </w:rPr>
      </w:pPr>
      <w:r>
        <w:rPr>
          <w:rFonts w:ascii="Arial" w:cs="Arial" w:eastAsia="Arial" w:hAnsi="Arial"/>
          <w:sz w:val="21"/>
          <w:szCs w:val="21"/>
          <w:color w:val="auto"/>
        </w:rPr>
        <w:t>stockholders having the right to vote as a single class may be filled by a majority of the directors then in office, although less than a quorum, or by a sole remaining director, and not by stockholders. If the directors are divided into classes, a person chosen to fill a vacancy or newly created directorship shall hold office until the next election of the class for which such director shall have been chosen and until such person’s successor shall have been duly elected and qualified.</w:t>
      </w:r>
    </w:p>
    <w:p>
      <w:pPr>
        <w:spacing w:after="0" w:line="17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PLACE OF MEETINGS; MEETINGS BY TELEPHONE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board of directors may hold meetings, both regular and special, either within or outside the State of Delaware.</w:t>
      </w:r>
    </w:p>
    <w:p>
      <w:pPr>
        <w:spacing w:after="0" w:line="24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Unless otherwise restricted by the certificate of incorporation or these bylaws, members of the board of directors, or any committee designated by the board of directors or any subcommittee, may participate in a meeting of the board of directors,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REGULAR MEETINGS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Regular meetings of the board of directors may be held without notice at such time and at such place as shall from time to time be determined by the board of directors.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5" w:name="page26"/>
    <w:bookmarkEnd w:id="25"/>
    <w:p>
      <w:pPr>
        <w:ind w:left="760"/>
        <w:spacing w:after="0"/>
        <w:tabs>
          <w:tab w:leader="none" w:pos="12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SPECIAL MEETINGS; NOTICE</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 xml:space="preserve">Special meetings of the board of directors for any purpose or purposes may be called at any time by the chairperson of the board of directors, the chief executive officer, the president, or the secretary or a majority of the Whole Board;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person(s) authorized to call a special meeting of the board of directors may authorize another person or persons to send notice of such meeting.</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 of the time and place of special meetings shall be:</w:t>
      </w:r>
    </w:p>
    <w:p>
      <w:pPr>
        <w:spacing w:after="0" w:line="206" w:lineRule="exact"/>
        <w:rPr>
          <w:sz w:val="20"/>
          <w:szCs w:val="20"/>
          <w:color w:val="auto"/>
        </w:rPr>
      </w:pPr>
    </w:p>
    <w:p>
      <w:pPr>
        <w:ind w:left="2160" w:hanging="355"/>
        <w:spacing w:after="0"/>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delivered personally by hand, by courier or by telephone;</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sent by United States first-class mail, postage prepaid;</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sent by facsimile;</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sent by electronic mail; or</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otherwise given by electronic transmission (as defined in Section 232 of the DGCL),</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directed to each director at that director’s address, telephone number, facsimile number, electronic mail address or other contact for notice by electronic transmission, as the case may be, as shown on the corporation’s records.</w:t>
      </w:r>
    </w:p>
    <w:p>
      <w:pPr>
        <w:spacing w:after="0" w:line="17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corporation’s principal executive office) nor the purpose of the meeting.</w:t>
      </w:r>
    </w:p>
    <w:p>
      <w:pPr>
        <w:spacing w:after="0" w:line="15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QUORUM; VOTING</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jc w:val="center"/>
        <w:ind w:left="3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6" w:name="page27"/>
    <w:bookmarkEnd w:id="26"/>
    <w:p>
      <w:pPr>
        <w:jc w:val="both"/>
        <w:ind w:firstLine="749"/>
        <w:spacing w:after="0"/>
        <w:rPr>
          <w:sz w:val="20"/>
          <w:szCs w:val="20"/>
          <w:color w:val="auto"/>
        </w:rPr>
      </w:pPr>
      <w:r>
        <w:rPr>
          <w:rFonts w:ascii="Arial" w:cs="Arial" w:eastAsia="Arial" w:hAnsi="Arial"/>
          <w:sz w:val="22"/>
          <w:szCs w:val="22"/>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8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21"/>
          <w:szCs w:val="21"/>
          <w:color w:val="auto"/>
        </w:rPr>
        <w:t>BOARD ACTION BY WRITTEN CONSENT WITHOUT A MEETING</w:t>
      </w:r>
    </w:p>
    <w:p>
      <w:pPr>
        <w:spacing w:after="0" w:line="206"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Unless otherwise restricted by the certificate of incorporation or these bylaws, (i) any action required or permitted to be taken at any meeting of the board of directors, or of any committee or subcommittee thereof, may be taken without a meeting if all members of the board of directors or committee or subcommittee,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or subcommittee thereof, in the same paper or electronic form as the minutes are maintained.</w:t>
      </w:r>
    </w:p>
    <w:p>
      <w:pPr>
        <w:spacing w:after="0" w:line="15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color w:val="auto"/>
        </w:rPr>
        <w:t>FEES AND COMPENSATION OF DIRECTORS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Unless otherwise restricted by the certificate of incorporation or these bylaws, the board of directors shall have the authority to fix the compensation of directors.</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REMOVAL OF DIRECTORS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Consistent with Section 141(k) of the DGCL, so long as the board of directors remains classified as provided in Section 141(d) of the DGCL and unless otherwise provided in the certificate of incorporation, any director may be removed from office by the stockholders of the corporation only for cause.</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 reduction of the authorized number of directors shall have the effect of removing any director prior to the expiration of such director’s term of office.</w:t>
      </w:r>
    </w:p>
    <w:p>
      <w:pPr>
        <w:spacing w:after="0" w:line="385"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ARTICLE IV - COMMITTEES</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COMMITTEES OF DIRECTORS</w:t>
      </w:r>
    </w:p>
    <w:p>
      <w:pPr>
        <w:spacing w:after="0" w:line="206"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7" w:name="page28"/>
    <w:bookmarkEnd w:id="27"/>
    <w:p>
      <w:pPr>
        <w:jc w:val="both"/>
        <w:spacing w:after="0" w:line="275" w:lineRule="auto"/>
        <w:rPr>
          <w:sz w:val="20"/>
          <w:szCs w:val="20"/>
          <w:color w:val="auto"/>
        </w:rPr>
      </w:pPr>
      <w:r>
        <w:rPr>
          <w:rFonts w:ascii="Arial" w:cs="Arial" w:eastAsia="Arial" w:hAnsi="Arial"/>
          <w:sz w:val="19"/>
          <w:szCs w:val="19"/>
          <w:color w:val="auto"/>
        </w:rPr>
        <w:t>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corporation.</w:t>
      </w:r>
    </w:p>
    <w:p>
      <w:pPr>
        <w:spacing w:after="0" w:line="15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1"/>
          <w:szCs w:val="21"/>
          <w:color w:val="auto"/>
        </w:rPr>
        <w:t>COMMITTEE MINUTES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Each committee and subcommittee shall keep regular minutes of its meetings.</w:t>
      </w:r>
    </w:p>
    <w:p>
      <w:pPr>
        <w:spacing w:after="0" w:line="20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color w:val="auto"/>
        </w:rPr>
        <w:t>MEETINGS AND ACTION OF COMMITTEES</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Unless otherwise specified by the board of directors, meetings and actions of committees and subcommittees shall be governed by, and held and taken in accordance with, the provisions of:</w:t>
      </w:r>
    </w:p>
    <w:p>
      <w:pPr>
        <w:spacing w:after="0" w:line="175" w:lineRule="exact"/>
        <w:rPr>
          <w:sz w:val="20"/>
          <w:szCs w:val="20"/>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3.5 (place of meetings and meetings by telephone);</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3.6 (regular meetings);</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3.7 (special meetings and notice);</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3.8 (quorum; voting);</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3.9 (action without a meeting); and</w:t>
      </w:r>
    </w:p>
    <w:p>
      <w:pPr>
        <w:spacing w:after="0" w:line="206" w:lineRule="exact"/>
        <w:rPr>
          <w:rFonts w:ascii="Arial" w:cs="Arial" w:eastAsia="Arial" w:hAnsi="Arial"/>
          <w:sz w:val="22"/>
          <w:szCs w:val="22"/>
          <w:color w:val="auto"/>
        </w:rPr>
      </w:pPr>
    </w:p>
    <w:p>
      <w:pPr>
        <w:ind w:left="2160" w:hanging="355"/>
        <w:spacing w:after="0"/>
        <w:tabs>
          <w:tab w:leader="none" w:pos="21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Section 7.4 (waiver of notice)</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with such changes in the context of those bylaws as are necessary to substitute the committee or subcommittee and its members for the board of directors and its members. </w:t>
      </w:r>
      <w:r>
        <w:rPr>
          <w:rFonts w:ascii="Arial" w:cs="Arial" w:eastAsia="Arial" w:hAnsi="Arial"/>
          <w:sz w:val="22"/>
          <w:szCs w:val="22"/>
          <w:i w:val="1"/>
          <w:iCs w:val="1"/>
          <w:color w:val="auto"/>
        </w:rPr>
        <w:t>However</w:t>
      </w:r>
      <w:r>
        <w:rPr>
          <w:rFonts w:ascii="Arial" w:cs="Arial" w:eastAsia="Arial" w:hAnsi="Arial"/>
          <w:sz w:val="22"/>
          <w:szCs w:val="22"/>
          <w:color w:val="auto"/>
        </w:rPr>
        <w:t>:</w:t>
      </w:r>
    </w:p>
    <w:p>
      <w:pPr>
        <w:spacing w:after="0" w:line="175" w:lineRule="exact"/>
        <w:rPr>
          <w:sz w:val="20"/>
          <w:szCs w:val="20"/>
          <w:color w:val="auto"/>
        </w:rPr>
      </w:pPr>
    </w:p>
    <w:p>
      <w:pPr>
        <w:ind w:firstLine="1505"/>
        <w:spacing w:after="0" w:line="250" w:lineRule="auto"/>
        <w:tabs>
          <w:tab w:leader="none" w:pos="218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time and place of regular meetings of committees or subcommittees may be determined either by resolution of the board of directors or by resolution of the committee or subcommittee;</w:t>
      </w:r>
    </w:p>
    <w:p>
      <w:pPr>
        <w:spacing w:after="0" w:line="174" w:lineRule="exact"/>
        <w:rPr>
          <w:rFonts w:ascii="Arial" w:cs="Arial" w:eastAsia="Arial" w:hAnsi="Arial"/>
          <w:sz w:val="22"/>
          <w:szCs w:val="22"/>
          <w:color w:val="auto"/>
        </w:rPr>
      </w:pPr>
    </w:p>
    <w:p>
      <w:pPr>
        <w:ind w:firstLine="1505"/>
        <w:spacing w:after="0" w:line="250" w:lineRule="auto"/>
        <w:tabs>
          <w:tab w:leader="none" w:pos="21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special meetings of committees or subcommittees may also be called by resolution of the board of directors or the committee or subcommittee; and</w:t>
      </w:r>
    </w:p>
    <w:p>
      <w:pPr>
        <w:spacing w:after="0" w:line="174" w:lineRule="exact"/>
        <w:rPr>
          <w:rFonts w:ascii="Arial" w:cs="Arial" w:eastAsia="Arial" w:hAnsi="Arial"/>
          <w:sz w:val="22"/>
          <w:szCs w:val="22"/>
          <w:color w:val="auto"/>
        </w:rPr>
      </w:pPr>
    </w:p>
    <w:p>
      <w:pPr>
        <w:ind w:firstLine="1505"/>
        <w:spacing w:after="0"/>
        <w:tabs>
          <w:tab w:leader="none" w:pos="2219"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notice of special meetings of committees and subcommittees shall also be given to all alternate members, as applicable, who shall have the right to attend all meetings of the committee</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8" w:name="page29"/>
    <w:bookmarkEnd w:id="28"/>
    <w:p>
      <w:pPr>
        <w:jc w:val="both"/>
        <w:spacing w:after="0" w:line="250" w:lineRule="auto"/>
        <w:rPr>
          <w:sz w:val="20"/>
          <w:szCs w:val="20"/>
          <w:color w:val="auto"/>
        </w:rPr>
      </w:pPr>
      <w:r>
        <w:rPr>
          <w:rFonts w:ascii="Arial" w:cs="Arial" w:eastAsia="Arial" w:hAnsi="Arial"/>
          <w:sz w:val="22"/>
          <w:szCs w:val="22"/>
          <w:color w:val="auto"/>
        </w:rPr>
        <w:t>or subcommittee. The board of directors or a committee or subcommittee may also adopt other rules for the government of any committee or subcommittee.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8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SUBCOMMITTEES</w:t>
      </w:r>
    </w:p>
    <w:p>
      <w:pPr>
        <w:spacing w:after="0" w:line="206"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 OFFICERS</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OFFICERS</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officers of the corporation shall be a president and a secretary. The corporation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7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APPOINTMENT OF OFFICERS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board of directors shall appoint the officers of the corporation, except such officers as may be appointed in accordance with the provisions of Section 5.3 of these bylaws, subject to the rights, if any, of an officer under any contract of employment.</w:t>
      </w:r>
    </w:p>
    <w:p>
      <w:pPr>
        <w:spacing w:after="0" w:line="18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SUBORDINATE OFFICERS</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The board of directors may appoint, or empower any officer to appoint, such other officers as the business of the corporation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4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color w:val="auto"/>
        </w:rPr>
        <w:t>REMOVAL AND RESIGNATION OF OFFICERS</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the rights, if any, of an officer under any contract of employment, any officer may be removed, either with or without cause, by the board of directors or, for the avoidance of doubt, any</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9" w:name="page30"/>
    <w:bookmarkEnd w:id="29"/>
    <w:p>
      <w:pPr>
        <w:spacing w:after="0"/>
        <w:rPr>
          <w:sz w:val="20"/>
          <w:szCs w:val="20"/>
          <w:color w:val="auto"/>
        </w:rPr>
      </w:pPr>
      <w:r>
        <w:rPr>
          <w:rFonts w:ascii="Arial" w:cs="Arial" w:eastAsia="Arial" w:hAnsi="Arial"/>
          <w:sz w:val="21"/>
          <w:szCs w:val="21"/>
          <w:color w:val="auto"/>
        </w:rPr>
        <w:t>duly authorized committee or subcommittee thereof or by any officer who has been conferred such power of removal.</w:t>
      </w:r>
    </w:p>
    <w:p>
      <w:pPr>
        <w:spacing w:after="0" w:line="218"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3"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VACANCIES IN OFFICES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Any vacancy occurring in any office of the corporation shall be filled by the board of directors or as provided in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5.3.</w:t>
      </w:r>
    </w:p>
    <w:p>
      <w:pPr>
        <w:spacing w:after="0" w:line="18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color w:val="auto"/>
        </w:rPr>
        <w:t>REPRESENTATION OF SECURITIES OF OTHER ENTITIES</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chairperson of the board of directors, the chief executive officer, the president, any vice president, the treasurer, the secretary or assistant secretary of this corporation or any other person authorized by the board of directors or the chief executive officer, the president or a vice president, is authorized to vote, represent and exercise on behalf of this corporation all rights incident to any and all shares or other securities of, or interests in, or issued by, any other entity or entities, and all rights incident to any management authority conferred on the corporation in accordance with the governing documents of any entity or entities, standing in the name of this corporation,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0"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color w:val="auto"/>
        </w:rPr>
        <w:t>AUTHORITY AND DUTIES OF OFFICERS</w:t>
      </w:r>
    </w:p>
    <w:p>
      <w:pPr>
        <w:spacing w:after="0" w:line="20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All officers of the corporation shall respectively have such authority and perform such duties in the management of the business of the corporation as may be designated from time to time by the board of directors or, for the avoidance of doubt, any duly authorized committee or subcommittee thereof or by any officer who has been conferred such power of designation and, to the extent not so provided, as generally pertain to their respective offices, subject to the control of the board of directors.</w:t>
      </w:r>
    </w:p>
    <w:p>
      <w:pPr>
        <w:spacing w:after="0" w:line="353" w:lineRule="exact"/>
        <w:rPr>
          <w:sz w:val="20"/>
          <w:szCs w:val="20"/>
          <w:color w:val="auto"/>
        </w:rPr>
      </w:pPr>
    </w:p>
    <w:p>
      <w:pPr>
        <w:ind w:left="4520"/>
        <w:spacing w:after="0"/>
        <w:rPr>
          <w:sz w:val="20"/>
          <w:szCs w:val="20"/>
          <w:color w:val="auto"/>
        </w:rPr>
      </w:pPr>
      <w:r>
        <w:rPr>
          <w:rFonts w:ascii="Arial" w:cs="Arial" w:eastAsia="Arial" w:hAnsi="Arial"/>
          <w:sz w:val="22"/>
          <w:szCs w:val="22"/>
          <w:b w:val="1"/>
          <w:bCs w:val="1"/>
          <w:color w:val="auto"/>
        </w:rPr>
        <w:t>ARTICLE VI - STOCK</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STOCK CERTIFICATES; PARTLY PAID SHARES</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shares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Unless otherwise provided by resolution of the board of directors, every holder of stock represented by certificates shall be entitled</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0" w:name="page31"/>
    <w:bookmarkEnd w:id="30"/>
    <w:p>
      <w:pPr>
        <w:jc w:val="both"/>
        <w:spacing w:after="0" w:line="235" w:lineRule="auto"/>
        <w:rPr>
          <w:sz w:val="20"/>
          <w:szCs w:val="20"/>
          <w:color w:val="auto"/>
        </w:rPr>
      </w:pPr>
      <w:r>
        <w:rPr>
          <w:rFonts w:ascii="Arial" w:cs="Arial" w:eastAsia="Arial" w:hAnsi="Arial"/>
          <w:sz w:val="22"/>
          <w:szCs w:val="22"/>
          <w:color w:val="auto"/>
        </w:rPr>
        <w:t>to have a certificate signed by, or in the name of, the corporation by any two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The corporation may issue the whole or any part of its shares as partly paid and subject to call for the remainder of the consideration to be paid therefor. Upon the face or back of each stock certificate issued to represent any such partly-paid shares, or upon the books and records of the corporation in the case of uncertificated partly-paid shares, the total amount of the consideration to be paid therefor and the amount paid thereon shall be stated. Upon the declaration of any dividend on fully-paid shares, the corporation shall declare a dividend upon partly-paid shares of the same class, but only upon the basis of the percentage of the consideration actually paid thereon.</w:t>
      </w:r>
    </w:p>
    <w:p>
      <w:pPr>
        <w:spacing w:after="0" w:line="17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SPECIAL DESIGNATION ON CERTIFICATES</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9"/>
          <w:szCs w:val="19"/>
          <w:i w:val="1"/>
          <w:iCs w:val="1"/>
          <w:color w:val="auto"/>
        </w:rPr>
        <w:t>provided, however</w:t>
      </w:r>
      <w:r>
        <w:rPr>
          <w:rFonts w:ascii="Arial" w:cs="Arial" w:eastAsia="Arial" w:hAnsi="Arial"/>
          <w:sz w:val="19"/>
          <w:szCs w:val="19"/>
          <w:color w:val="auto"/>
        </w:rPr>
        <w:t>, that, except as otherwise provided in Section 202 of the DGCL, in lieu of the foregoing requirements, there</w:t>
      </w:r>
      <w:r>
        <w:rPr>
          <w:rFonts w:ascii="Arial" w:cs="Arial" w:eastAsia="Arial" w:hAnsi="Arial"/>
          <w:sz w:val="19"/>
          <w:szCs w:val="19"/>
          <w:i w:val="1"/>
          <w:iCs w:val="1"/>
          <w:color w:val="auto"/>
        </w:rPr>
        <w:t xml:space="preserve"> </w:t>
      </w:r>
      <w:r>
        <w:rPr>
          <w:rFonts w:ascii="Arial" w:cs="Arial" w:eastAsia="Arial" w:hAnsi="Arial"/>
          <w:sz w:val="19"/>
          <w:szCs w:val="19"/>
          <w:color w:val="auto"/>
        </w:rPr>
        <w:t>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5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LOST CERTIFICATES</w:t>
      </w:r>
    </w:p>
    <w:p>
      <w:pPr>
        <w:spacing w:after="0" w:line="20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Except as provided in this Section 6.3, no new certificates for shares shall be issued to replace a previously issued certificate unless the latter is surrendered to the corporation and cancelled at the same time. The corporation may issue a new certificate of stock or uncertificated shares in the place of</w:t>
      </w:r>
    </w:p>
    <w:p>
      <w:pPr>
        <w:jc w:val="center"/>
        <w:ind w:left="380"/>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1" w:name="page32"/>
    <w:bookmarkEnd w:id="31"/>
    <w:p>
      <w:pPr>
        <w:jc w:val="both"/>
        <w:spacing w:after="0" w:line="238" w:lineRule="auto"/>
        <w:rPr>
          <w:sz w:val="20"/>
          <w:szCs w:val="20"/>
          <w:color w:val="auto"/>
        </w:rPr>
      </w:pPr>
      <w:r>
        <w:rPr>
          <w:rFonts w:ascii="Arial" w:cs="Arial" w:eastAsia="Arial" w:hAnsi="Arial"/>
          <w:sz w:val="22"/>
          <w:szCs w:val="22"/>
          <w:color w:val="auto"/>
        </w:rPr>
        <w:t>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21"/>
          <w:szCs w:val="21"/>
          <w:color w:val="auto"/>
        </w:rPr>
        <w:t>DIVIDENDS</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6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9"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color w:val="auto"/>
        </w:rPr>
        <w:t>TRANSFER OF STOCK</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Transfers of record of shares of stock of the corporation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8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color w:val="auto"/>
        </w:rPr>
        <w:t>STOCK TRANSFER AGREEMENTS</w:t>
      </w:r>
    </w:p>
    <w:p>
      <w:pPr>
        <w:spacing w:after="0" w:line="20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69"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REGISTERED STOCKHOLDERS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corporation:</w:t>
      </w:r>
    </w:p>
    <w:p>
      <w:pPr>
        <w:spacing w:after="0" w:line="206" w:lineRule="exact"/>
        <w:rPr>
          <w:sz w:val="20"/>
          <w:szCs w:val="20"/>
          <w:color w:val="auto"/>
        </w:rPr>
      </w:pPr>
    </w:p>
    <w:p>
      <w:pPr>
        <w:ind w:firstLine="1805"/>
        <w:spacing w:after="0" w:line="250" w:lineRule="auto"/>
        <w:tabs>
          <w:tab w:leader="none" w:pos="2189"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shall be entitled to recognize the exclusive right of a person registered on its books as the owner of shares to receive dividends and notices and to vote as such owner; and</w:t>
      </w:r>
    </w:p>
    <w:p>
      <w:pPr>
        <w:spacing w:after="0" w:line="174" w:lineRule="exact"/>
        <w:rPr>
          <w:rFonts w:ascii="Arial" w:cs="Arial" w:eastAsia="Arial" w:hAnsi="Arial"/>
          <w:sz w:val="22"/>
          <w:szCs w:val="22"/>
          <w:color w:val="auto"/>
        </w:rPr>
      </w:pPr>
    </w:p>
    <w:p>
      <w:pPr>
        <w:jc w:val="both"/>
        <w:ind w:firstLine="1805"/>
        <w:spacing w:after="0" w:line="237" w:lineRule="auto"/>
        <w:tabs>
          <w:tab w:leader="none" w:pos="2167" w:val="left"/>
        </w:tabs>
        <w:numPr>
          <w:ilvl w:val="0"/>
          <w:numId w:val="24"/>
        </w:numPr>
        <w:rPr>
          <w:rFonts w:ascii="Arial" w:cs="Arial" w:eastAsia="Arial" w:hAnsi="Arial"/>
          <w:sz w:val="22"/>
          <w:szCs w:val="22"/>
          <w:color w:val="auto"/>
        </w:rPr>
      </w:pPr>
      <w:r>
        <w:rPr>
          <w:rFonts w:ascii="Arial" w:cs="Arial" w:eastAsia="Arial" w:hAnsi="Arial"/>
          <w:sz w:val="22"/>
          <w:szCs w:val="22"/>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jc w:val="center"/>
        <w:ind w:left="380"/>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2" w:name="page33"/>
    <w:bookmarkEnd w:id="32"/>
    <w:p>
      <w:pPr>
        <w:ind w:left="2580"/>
        <w:spacing w:after="0"/>
        <w:rPr>
          <w:sz w:val="20"/>
          <w:szCs w:val="20"/>
          <w:color w:val="auto"/>
        </w:rPr>
      </w:pPr>
      <w:r>
        <w:rPr>
          <w:rFonts w:ascii="Arial" w:cs="Arial" w:eastAsia="Arial" w:hAnsi="Arial"/>
          <w:sz w:val="22"/>
          <w:szCs w:val="22"/>
          <w:b w:val="1"/>
          <w:bCs w:val="1"/>
          <w:color w:val="auto"/>
        </w:rPr>
        <w:t>ARTICLE VII - MANNER OF GIVING NOTICE AND WAIVER</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NOTICE OF STOCKHOLDERS’ MEETINGS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 of any meeting of stockholders shall be given in the manner set forth in the DGCL.</w:t>
      </w:r>
    </w:p>
    <w:p>
      <w:pPr>
        <w:spacing w:after="0" w:line="20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color w:val="auto"/>
        </w:rPr>
        <w:t>NOTICE TO STOCKHOLDERS SHARING AN ADDRESS</w:t>
      </w:r>
    </w:p>
    <w:p>
      <w:pPr>
        <w:spacing w:after="0" w:line="20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 This Section 7.2 shall not apply to Sections 164, 296, 311, 312 or 324 of the DGCL.</w:t>
      </w:r>
    </w:p>
    <w:p>
      <w:pPr>
        <w:spacing w:after="0" w:line="18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1"/>
          <w:szCs w:val="21"/>
          <w:color w:val="auto"/>
        </w:rPr>
        <w:t>NOTICE TO PERSON WITH WHOM COMMUNICATION IS UNLAWFUL</w:t>
      </w:r>
    </w:p>
    <w:p>
      <w:pPr>
        <w:spacing w:after="0" w:line="20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5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WAIVER OF NOTICE</w:t>
      </w:r>
    </w:p>
    <w:p>
      <w:pPr>
        <w:spacing w:after="0" w:line="2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need be specified in any written waiver of notice or any waiver by electronic transmission unless so required by the certificate of incorporation or these bylaws.</w:t>
      </w:r>
    </w:p>
    <w:p>
      <w:pPr>
        <w:spacing w:after="0" w:line="1"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3" w:name="page34"/>
    <w:bookmarkEnd w:id="33"/>
    <w:p>
      <w:pPr>
        <w:ind w:left="3800"/>
        <w:spacing w:after="0"/>
        <w:rPr>
          <w:sz w:val="20"/>
          <w:szCs w:val="20"/>
          <w:color w:val="auto"/>
        </w:rPr>
      </w:pPr>
      <w:r>
        <w:rPr>
          <w:rFonts w:ascii="Arial" w:cs="Arial" w:eastAsia="Arial" w:hAnsi="Arial"/>
          <w:sz w:val="22"/>
          <w:szCs w:val="22"/>
          <w:b w:val="1"/>
          <w:bCs w:val="1"/>
          <w:color w:val="auto"/>
        </w:rPr>
        <w:t>ARTICLE VIII - INDEMNIFICATION</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INDEMNIFICATION OF DIRECTORS AND OFFICERS IN THIRD PARTY PROCEEDINGS</w:t>
      </w:r>
    </w:p>
    <w:p>
      <w:pPr>
        <w:spacing w:after="0" w:line="20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9"/>
          <w:szCs w:val="19"/>
          <w:b w:val="1"/>
          <w:bCs w:val="1"/>
          <w:color w:val="auto"/>
        </w:rPr>
        <w:t>Proceeding</w:t>
      </w:r>
      <w:r>
        <w:rPr>
          <w:rFonts w:ascii="Arial" w:cs="Arial" w:eastAsia="Arial" w:hAnsi="Arial"/>
          <w:sz w:val="19"/>
          <w:szCs w:val="19"/>
          <w:color w:val="auto"/>
        </w:rPr>
        <w:t xml:space="preser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5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8.2 INDEMNIFICATION OF DIRECTORS AND OFFICERS IN ACTIONS BY OR IN THE RIGHT OF THE CORPORATION</w:t>
      </w:r>
    </w:p>
    <w:p>
      <w:pPr>
        <w:spacing w:after="0" w:line="175"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Proceeding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Proceeding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4" w:name="page35"/>
    <w:bookmarkEnd w:id="34"/>
    <w:p>
      <w:pPr>
        <w:ind w:left="760"/>
        <w:spacing w:after="0"/>
        <w:tabs>
          <w:tab w:leader="none" w:pos="12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SUCCESSFUL DEFENSE</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To the extent that a present or former director or officer (for purposes of this Section 8.3 only, as such term is defined in Section 145(c)(1) of the DGCL) of the corporation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corporation may indemnify any other person who is not a present or former director or officer of the corporation against expenses (including attorneys’ fees) actually and reasonably incurred by such person to the extent such person has been successful on the merits or otherwise in defense of any Proceeding described in Section 8.1 or Section 8.2, or in defense of any claim, issue or matter therein.</w:t>
      </w:r>
    </w:p>
    <w:p>
      <w:pPr>
        <w:spacing w:after="0" w:line="180"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color w:val="auto"/>
        </w:rPr>
        <w:t>INDEMNIFICATION OF OTHERS</w:t>
      </w:r>
    </w:p>
    <w:p>
      <w:pPr>
        <w:spacing w:after="0" w:line="20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Subject to the other provisions of this Article VIII, the corporation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ADVANCED PAYMENT OF EXPENSES</w:t>
      </w:r>
    </w:p>
    <w:p>
      <w:pPr>
        <w:spacing w:after="0" w:line="206" w:lineRule="exact"/>
        <w:rPr>
          <w:sz w:val="20"/>
          <w:szCs w:val="20"/>
          <w:color w:val="auto"/>
        </w:rPr>
      </w:pPr>
    </w:p>
    <w:p>
      <w:pPr>
        <w:jc w:val="both"/>
        <w:ind w:firstLine="749"/>
        <w:spacing w:after="0" w:line="268" w:lineRule="auto"/>
        <w:rPr>
          <w:sz w:val="20"/>
          <w:szCs w:val="20"/>
          <w:color w:val="auto"/>
        </w:rPr>
      </w:pPr>
      <w:r>
        <w:rPr>
          <w:rFonts w:ascii="Arial" w:cs="Arial" w:eastAsia="Arial" w:hAnsi="Arial"/>
          <w:sz w:val="19"/>
          <w:szCs w:val="19"/>
          <w:color w:val="auto"/>
        </w:rPr>
        <w:t>Expenses (including attorneys’ fees) actually and reasonably incurred by an officer or director of the corporation in defending any Proceeding shall be paid by the corporation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 The right to advancement of expenses shall not apply to any Proceeding (or any part of any Proceeding) for which indemnity is excluded pursuant to these bylaws, but shall apply to any Proceeding (or any part of any Proceeding) referenced in Section 8.6(ii) or 8.6(iii) prior to a determination that the person is not entitled to be indemnified by the corporation.</w:t>
      </w:r>
    </w:p>
    <w:p>
      <w:pPr>
        <w:spacing w:after="0" w:line="10"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5" w:name="page36"/>
    <w:bookmarkEnd w:id="35"/>
    <w:p>
      <w:pPr>
        <w:ind w:left="760"/>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color w:val="auto"/>
        </w:rPr>
        <w:t>LIMITATION ON INDEMNIFICATION</w:t>
      </w:r>
    </w:p>
    <w:p>
      <w:pPr>
        <w:spacing w:after="0" w:line="206"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Subject to the requirements in Section 8.3 and the DGCL, the corporation shall not be obligated to indemnify any person pursuant to this Article VIII in connection with any Proceeding (or any part of any Proceeding):</w:t>
      </w:r>
    </w:p>
    <w:p>
      <w:pPr>
        <w:spacing w:after="0" w:line="151" w:lineRule="exact"/>
        <w:rPr>
          <w:sz w:val="20"/>
          <w:szCs w:val="20"/>
          <w:color w:val="auto"/>
        </w:rPr>
      </w:pPr>
    </w:p>
    <w:p>
      <w:pPr>
        <w:ind w:firstLine="1505"/>
        <w:spacing w:after="0" w:line="274" w:lineRule="auto"/>
        <w:tabs>
          <w:tab w:leader="none" w:pos="2176" w:val="left"/>
        </w:tabs>
        <w:numPr>
          <w:ilvl w:val="0"/>
          <w:numId w:val="25"/>
        </w:numPr>
        <w:rPr>
          <w:rFonts w:ascii="Arial" w:cs="Arial" w:eastAsia="Arial" w:hAnsi="Arial"/>
          <w:sz w:val="21"/>
          <w:szCs w:val="21"/>
          <w:color w:val="auto"/>
        </w:rPr>
      </w:pPr>
      <w:r>
        <w:rPr>
          <w:rFonts w:ascii="Arial" w:cs="Arial" w:eastAsia="Arial" w:hAnsi="Arial"/>
          <w:sz w:val="21"/>
          <w:szCs w:val="21"/>
          <w:color w:val="auto"/>
        </w:rPr>
        <w:t>for which payment has actually been made to or on behalf of such person under any statute, insurance policy, indemnity provision, vote or otherwise, except with respect to any excess beyond the amount paid;</w:t>
      </w:r>
    </w:p>
    <w:p>
      <w:pPr>
        <w:spacing w:after="0" w:line="150" w:lineRule="exact"/>
        <w:rPr>
          <w:rFonts w:ascii="Arial" w:cs="Arial" w:eastAsia="Arial" w:hAnsi="Arial"/>
          <w:sz w:val="21"/>
          <w:szCs w:val="21"/>
          <w:color w:val="auto"/>
        </w:rPr>
      </w:pPr>
    </w:p>
    <w:p>
      <w:pPr>
        <w:jc w:val="both"/>
        <w:ind w:firstLine="1505"/>
        <w:spacing w:after="0"/>
        <w:tabs>
          <w:tab w:leader="none" w:pos="22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86" w:lineRule="exact"/>
        <w:rPr>
          <w:rFonts w:ascii="Arial" w:cs="Arial" w:eastAsia="Arial" w:hAnsi="Arial"/>
          <w:sz w:val="22"/>
          <w:szCs w:val="22"/>
          <w:color w:val="auto"/>
        </w:rPr>
      </w:pPr>
    </w:p>
    <w:p>
      <w:pPr>
        <w:jc w:val="both"/>
        <w:ind w:firstLine="1505"/>
        <w:spacing w:after="0" w:line="279" w:lineRule="auto"/>
        <w:tabs>
          <w:tab w:leader="none" w:pos="2198" w:val="left"/>
        </w:tabs>
        <w:numPr>
          <w:ilvl w:val="0"/>
          <w:numId w:val="25"/>
        </w:numPr>
        <w:rPr>
          <w:rFonts w:ascii="Arial" w:cs="Arial" w:eastAsia="Arial" w:hAnsi="Arial"/>
          <w:sz w:val="19"/>
          <w:szCs w:val="19"/>
          <w:color w:val="auto"/>
        </w:rPr>
      </w:pPr>
      <w:r>
        <w:rPr>
          <w:rFonts w:ascii="Arial" w:cs="Arial" w:eastAsia="Arial" w:hAnsi="Arial"/>
          <w:sz w:val="19"/>
          <w:szCs w:val="19"/>
          <w:color w:val="auto"/>
        </w:rPr>
        <w:t>for any reimbursement of the corporation by such person of any bonus or other incentive-based or equity-based compensation or of any profits realized by such person from the sale of securities of the corporation, as required in each case under the 1934 Act (including any such reimbursements that arise from an accounting restatement of the corporation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50" w:lineRule="exact"/>
        <w:rPr>
          <w:rFonts w:ascii="Arial" w:cs="Arial" w:eastAsia="Arial" w:hAnsi="Arial"/>
          <w:sz w:val="19"/>
          <w:szCs w:val="19"/>
          <w:color w:val="auto"/>
        </w:rPr>
      </w:pPr>
    </w:p>
    <w:p>
      <w:pPr>
        <w:jc w:val="both"/>
        <w:ind w:firstLine="1505"/>
        <w:spacing w:after="0" w:line="249" w:lineRule="auto"/>
        <w:tabs>
          <w:tab w:leader="none" w:pos="2189"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initiated by such person, including any Proceeding (or any part of any Proceeding) initiated by such person against the corporation or its directors, officers, employees, agents or other indemnitees,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78" w:lineRule="exact"/>
        <w:rPr>
          <w:rFonts w:ascii="Arial" w:cs="Arial" w:eastAsia="Arial" w:hAnsi="Arial"/>
          <w:sz w:val="21"/>
          <w:szCs w:val="21"/>
          <w:color w:val="auto"/>
        </w:rPr>
      </w:pPr>
    </w:p>
    <w:p>
      <w:pPr>
        <w:ind w:left="2160" w:hanging="655"/>
        <w:spacing w:after="0"/>
        <w:tabs>
          <w:tab w:leader="none" w:pos="21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prohibited by applicable law.</w:t>
      </w:r>
    </w:p>
    <w:p>
      <w:pPr>
        <w:spacing w:after="0" w:line="20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21"/>
          <w:szCs w:val="21"/>
          <w:color w:val="auto"/>
        </w:rPr>
        <w:t>DETERMINATION; CLAIM</w:t>
      </w:r>
    </w:p>
    <w:p>
      <w:pPr>
        <w:spacing w:after="0" w:line="206"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2"/>
          <w:szCs w:val="22"/>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such claimant’s entitlement to such indemnification or advancement of expenses. The corporation shall indemnify such person against any and all expenses that are actually and reasonably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8"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 w:name="page37"/>
    <w:bookmarkEnd w:id="36"/>
    <w:p>
      <w:pPr>
        <w:ind w:left="760"/>
        <w:spacing w:after="0"/>
        <w:tabs>
          <w:tab w:leader="none" w:pos="128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1"/>
          <w:szCs w:val="21"/>
          <w:color w:val="auto"/>
        </w:rPr>
        <w:t>NON-EXCLUSIVITY OF RIGHTS</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50"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1"/>
          <w:szCs w:val="21"/>
          <w:color w:val="auto"/>
        </w:rPr>
        <w:t>INSURANCE</w:t>
      </w:r>
    </w:p>
    <w:p>
      <w:pPr>
        <w:spacing w:after="0" w:line="20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4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8.10</w:t>
      </w:r>
      <w:r>
        <w:rPr>
          <w:sz w:val="20"/>
          <w:szCs w:val="20"/>
          <w:color w:val="auto"/>
        </w:rPr>
        <w:tab/>
      </w:r>
      <w:r>
        <w:rPr>
          <w:rFonts w:ascii="Arial" w:cs="Arial" w:eastAsia="Arial" w:hAnsi="Arial"/>
          <w:sz w:val="21"/>
          <w:szCs w:val="21"/>
          <w:color w:val="auto"/>
        </w:rPr>
        <w:t>SURVIVAL</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8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8.11</w:t>
      </w:r>
      <w:r>
        <w:rPr>
          <w:sz w:val="20"/>
          <w:szCs w:val="20"/>
          <w:color w:val="auto"/>
        </w:rPr>
        <w:tab/>
      </w:r>
      <w:r>
        <w:rPr>
          <w:rFonts w:ascii="Arial" w:cs="Arial" w:eastAsia="Arial" w:hAnsi="Arial"/>
          <w:sz w:val="19"/>
          <w:szCs w:val="19"/>
          <w:color w:val="auto"/>
        </w:rPr>
        <w:t>EFFECT OF REPEAL OR MODIFICATION</w:t>
      </w:r>
    </w:p>
    <w:p>
      <w:pPr>
        <w:spacing w:after="0" w:line="206"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8.12</w:t>
      </w:r>
      <w:r>
        <w:rPr>
          <w:sz w:val="20"/>
          <w:szCs w:val="20"/>
          <w:color w:val="auto"/>
        </w:rPr>
        <w:tab/>
      </w:r>
      <w:r>
        <w:rPr>
          <w:rFonts w:ascii="Arial" w:cs="Arial" w:eastAsia="Arial" w:hAnsi="Arial"/>
          <w:sz w:val="19"/>
          <w:szCs w:val="19"/>
          <w:color w:val="auto"/>
        </w:rPr>
        <w:t>CERTAIN DEFINITIONS</w:t>
      </w:r>
    </w:p>
    <w:p>
      <w:pPr>
        <w:spacing w:after="0" w:line="20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For purposes of this Article VIII, references to the “</w:t>
      </w:r>
      <w:r>
        <w:rPr>
          <w:rFonts w:ascii="Arial" w:cs="Arial" w:eastAsia="Arial" w:hAnsi="Arial"/>
          <w:sz w:val="19"/>
          <w:szCs w:val="19"/>
          <w:b w:val="1"/>
          <w:bCs w:val="1"/>
          <w:color w:val="auto"/>
        </w:rPr>
        <w:t>corporation</w:t>
      </w:r>
      <w:r>
        <w:rPr>
          <w:rFonts w:ascii="Arial" w:cs="Arial" w:eastAsia="Arial" w:hAnsi="Arial"/>
          <w:sz w:val="19"/>
          <w:szCs w:val="19"/>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w:t>
      </w:r>
    </w:p>
    <w:p>
      <w:pPr>
        <w:spacing w:after="0" w:line="4"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7" w:name="page38"/>
    <w:bookmarkEnd w:id="37"/>
    <w:p>
      <w:pPr>
        <w:jc w:val="both"/>
        <w:spacing w:after="0" w:line="274" w:lineRule="auto"/>
        <w:rPr>
          <w:sz w:val="20"/>
          <w:szCs w:val="20"/>
          <w:color w:val="auto"/>
        </w:rPr>
      </w:pPr>
      <w:r>
        <w:rPr>
          <w:rFonts w:ascii="Arial" w:cs="Arial" w:eastAsia="Arial" w:hAnsi="Arial"/>
          <w:sz w:val="19"/>
          <w:szCs w:val="19"/>
          <w:color w:val="auto"/>
        </w:rPr>
        <w:t>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Arial" w:cs="Arial" w:eastAsia="Arial" w:hAnsi="Arial"/>
          <w:sz w:val="19"/>
          <w:szCs w:val="19"/>
          <w:b w:val="1"/>
          <w:bCs w:val="1"/>
          <w:color w:val="auto"/>
        </w:rPr>
        <w:t>other enterprises</w:t>
      </w:r>
      <w:r>
        <w:rPr>
          <w:rFonts w:ascii="Arial" w:cs="Arial" w:eastAsia="Arial" w:hAnsi="Arial"/>
          <w:sz w:val="19"/>
          <w:szCs w:val="19"/>
          <w:color w:val="auto"/>
        </w:rPr>
        <w:t>” shall include employee benefit plans; references to “</w:t>
      </w:r>
      <w:r>
        <w:rPr>
          <w:rFonts w:ascii="Arial" w:cs="Arial" w:eastAsia="Arial" w:hAnsi="Arial"/>
          <w:sz w:val="19"/>
          <w:szCs w:val="19"/>
          <w:b w:val="1"/>
          <w:bCs w:val="1"/>
          <w:color w:val="auto"/>
        </w:rPr>
        <w:t>fines</w:t>
      </w:r>
      <w:r>
        <w:rPr>
          <w:rFonts w:ascii="Arial" w:cs="Arial" w:eastAsia="Arial" w:hAnsi="Arial"/>
          <w:sz w:val="19"/>
          <w:szCs w:val="19"/>
          <w:color w:val="auto"/>
        </w:rPr>
        <w:t>” shall include any excise taxes assessed on a person with respect to an employee benefit plan; and references to “</w:t>
      </w:r>
      <w:r>
        <w:rPr>
          <w:rFonts w:ascii="Arial" w:cs="Arial" w:eastAsia="Arial" w:hAnsi="Arial"/>
          <w:sz w:val="19"/>
          <w:szCs w:val="19"/>
          <w:b w:val="1"/>
          <w:bCs w:val="1"/>
          <w:color w:val="auto"/>
        </w:rPr>
        <w:t>serving</w:t>
      </w:r>
      <w:r>
        <w:rPr>
          <w:rFonts w:ascii="Arial" w:cs="Arial" w:eastAsia="Arial" w:hAnsi="Arial"/>
          <w:sz w:val="19"/>
          <w:szCs w:val="19"/>
          <w:color w:val="auto"/>
        </w:rPr>
        <w:t xml:space="preserve"> </w:t>
      </w:r>
      <w:r>
        <w:rPr>
          <w:rFonts w:ascii="Arial" w:cs="Arial" w:eastAsia="Arial" w:hAnsi="Arial"/>
          <w:sz w:val="19"/>
          <w:szCs w:val="19"/>
          <w:b w:val="1"/>
          <w:bCs w:val="1"/>
          <w:color w:val="auto"/>
        </w:rPr>
        <w:t>at the request of the corporation</w:t>
      </w:r>
      <w:r>
        <w:rPr>
          <w:rFonts w:ascii="Arial" w:cs="Arial" w:eastAsia="Arial" w:hAnsi="Arial"/>
          <w:sz w:val="19"/>
          <w:szCs w:val="19"/>
          <w:color w:val="auto"/>
        </w:rPr>
        <w:t>” shall include any service as a director, officer, employee or agent of the corporation which</w:t>
      </w:r>
      <w:r>
        <w:rPr>
          <w:rFonts w:ascii="Arial" w:cs="Arial" w:eastAsia="Arial" w:hAnsi="Arial"/>
          <w:sz w:val="19"/>
          <w:szCs w:val="19"/>
          <w:b w:val="1"/>
          <w:bCs w:val="1"/>
          <w:color w:val="auto"/>
        </w:rPr>
        <w:t xml:space="preserve"> </w:t>
      </w:r>
      <w:r>
        <w:rPr>
          <w:rFonts w:ascii="Arial" w:cs="Arial" w:eastAsia="Arial" w:hAnsi="Arial"/>
          <w:sz w:val="19"/>
          <w:szCs w:val="19"/>
          <w:color w:val="auto"/>
        </w:rPr>
        <w:t>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9"/>
          <w:szCs w:val="19"/>
          <w:b w:val="1"/>
          <w:bCs w:val="1"/>
          <w:color w:val="auto"/>
        </w:rPr>
        <w:t>not opposed</w:t>
      </w:r>
      <w:r>
        <w:rPr>
          <w:rFonts w:ascii="Arial" w:cs="Arial" w:eastAsia="Arial" w:hAnsi="Arial"/>
          <w:sz w:val="19"/>
          <w:szCs w:val="19"/>
          <w:color w:val="auto"/>
        </w:rPr>
        <w:t xml:space="preserve"> </w:t>
      </w:r>
      <w:r>
        <w:rPr>
          <w:rFonts w:ascii="Arial" w:cs="Arial" w:eastAsia="Arial" w:hAnsi="Arial"/>
          <w:sz w:val="19"/>
          <w:szCs w:val="19"/>
          <w:b w:val="1"/>
          <w:bCs w:val="1"/>
          <w:color w:val="auto"/>
        </w:rPr>
        <w:t>to the best interests of the corporation</w:t>
      </w:r>
      <w:r>
        <w:rPr>
          <w:rFonts w:ascii="Arial" w:cs="Arial" w:eastAsia="Arial" w:hAnsi="Arial"/>
          <w:sz w:val="19"/>
          <w:szCs w:val="19"/>
          <w:color w:val="auto"/>
        </w:rPr>
        <w:t>” as referred to in this Article VIII.</w:t>
      </w:r>
    </w:p>
    <w:p>
      <w:pPr>
        <w:spacing w:after="0" w:line="36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ARTICLE IX - GENERAL MATTERS</w:t>
      </w:r>
    </w:p>
    <w:p>
      <w:pPr>
        <w:spacing w:after="0" w:line="212"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EXECUTION OF CORPORATE CONTRACTS AND INSTRUMENTS</w:t>
      </w:r>
    </w:p>
    <w:p>
      <w:pPr>
        <w:spacing w:after="0" w:line="2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corporation; such authority may be general or confined to specific instances. Unless so authorized or ratified by the board of directors or within the agency power of an officer, agent or employee, no officer, agent or employee shall have any power or authority to bind the corporation by any contract or engagement or to pledge its credit or to render it liable for any purpose or for any amount.</w:t>
      </w:r>
    </w:p>
    <w:p>
      <w:pPr>
        <w:spacing w:after="0" w:line="177"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FISCAL YEAR</w:t>
      </w:r>
    </w:p>
    <w:p>
      <w:pPr>
        <w:spacing w:after="0" w:line="20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fiscal year of the corporation shall be fixed by resolution of the board of directors and may be changed by the board of directors.</w:t>
      </w:r>
    </w:p>
    <w:p>
      <w:pPr>
        <w:spacing w:after="0" w:line="175"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1"/>
          <w:szCs w:val="21"/>
          <w:color w:val="auto"/>
        </w:rPr>
        <w:t>SEAL</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86" w:lineRule="exact"/>
        <w:rPr>
          <w:sz w:val="20"/>
          <w:szCs w:val="20"/>
          <w:color w:val="auto"/>
        </w:rPr>
      </w:pPr>
    </w:p>
    <w:p>
      <w:pPr>
        <w:ind w:left="760"/>
        <w:spacing w:after="0"/>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CONSTRUCTION; DEFINITIONS</w:t>
      </w:r>
    </w:p>
    <w:p>
      <w:pPr>
        <w:spacing w:after="0" w:line="20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9"/>
          <w:szCs w:val="19"/>
          <w:b w:val="1"/>
          <w:bCs w:val="1"/>
          <w:color w:val="auto"/>
        </w:rPr>
        <w:t>person</w:t>
      </w:r>
      <w:r>
        <w:rPr>
          <w:rFonts w:ascii="Arial" w:cs="Arial" w:eastAsia="Arial" w:hAnsi="Arial"/>
          <w:sz w:val="19"/>
          <w:szCs w:val="19"/>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ARTICLE X - AMENDMENTS</w:t>
      </w:r>
    </w:p>
    <w:p>
      <w:pPr>
        <w:spacing w:after="0" w:line="21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corporation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 - EXCLUSIVE FORUM</w:t>
      </w:r>
    </w:p>
    <w:p>
      <w:pPr>
        <w:spacing w:after="0" w:line="21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(i) any derivative action or proceeding brought on behalf of the corporation, (ii) any action asserting a claim of breach of a fiduciary duty owed by any director, stockholder, officer or other employee of the corporation to the corporation or the corporation’s stockholders, (iii) any action arising pursuant to any provision of the DGCL or the certificate of incorporation or these bylaws (as either may be amended from time to time) or (iv) any action asserting a claim governed by the internal affairs doctrine, except for, as to each of</w:t>
      </w:r>
    </w:p>
    <w:p>
      <w:pPr>
        <w:spacing w:after="0" w:line="5" w:lineRule="exact"/>
        <w:rPr>
          <w:sz w:val="20"/>
          <w:szCs w:val="20"/>
          <w:color w:val="auto"/>
        </w:rPr>
      </w:pPr>
    </w:p>
    <w:p>
      <w:pPr>
        <w:jc w:val="both"/>
        <w:ind w:firstLine="8"/>
        <w:spacing w:after="0" w:line="233" w:lineRule="auto"/>
        <w:tabs>
          <w:tab w:leader="none" w:pos="2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through (iv) above, any claim (A) as to which such court determines that there is an indispensable party not subject to the jurisdiction of such court (and the indispensable party does not consent to the personal jurisdiction of such court within 10 days following such determination), (B) which is vested in the exclusive jurisdiction of a court or forum other than such court, or (C) for which such court does not have subject matter jurisdiction.</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 person in connection with any offering of the corporation’s securities, including, without limitation and for the avoidance of doubt, any auditor, underwriter, expert, control person or other defendant.</w:t>
      </w:r>
    </w:p>
    <w:p>
      <w:pPr>
        <w:spacing w:after="0" w:line="18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Any person or entity purchasing, holding or otherwise acquiring any interest in any security of the corporation shall be deemed to have notice of and consented to the provisions of this Article XI. This provision shall be enforceable by any party to a complaint covered by the provisions of this Article XI. For the avoidance of doubt, nothing contained in this Article XI shall apply to any claim brought to enforce a duty or liability created by the 1934 Act or any successor thereto.</w:t>
      </w:r>
    </w:p>
    <w:p>
      <w:pPr>
        <w:spacing w:after="0" w:line="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ALX ONCOLOGY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AMENDMENT OF BYLAWS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 undersigned hereby certifies that he or she is the duly elected, qualified, and acting Secretary or Assistant Secretary of ALX Oncology Holdings Inc., a Delaware corporation and that the foregoing bylaws were amended and restated on June 17, 2023 by the corporation’s board of directors.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IN WITNESS WHEREOF, the undersigned has hereunto set his or her hand this 20th day of June 2023.</w:t>
      </w: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Arial" w:cs="Arial" w:eastAsia="Arial" w:hAnsi="Arial"/>
          <w:sz w:val="22"/>
          <w:szCs w:val="22"/>
          <w:u w:val="single" w:color="auto"/>
          <w:color w:val="auto"/>
        </w:rPr>
        <w:t>/s/ Peter Garcia</w:t>
      </w:r>
    </w:p>
    <w:p>
      <w:pPr>
        <w:spacing w:after="0" w:line="8"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lowerRoman"/>
      <w:start w:val="2"/>
    </w:lvl>
  </w:abstractNum>
  <w:abstractNum w:abstractNumId="4">
    <w:nsid w:val="41A7C4C9"/>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5">
    <w:nsid w:val="6B68079A"/>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6">
    <w:nsid w:val="4E6AFB66"/>
    <w:multiLevelType w:val="hybridMultilevel"/>
    <w:lvl w:ilvl="0">
      <w:lvlJc w:val="left"/>
      <w:lvlText w:val="(%1)"/>
      <w:numFmt w:val="lowerLetter"/>
      <w:start w:val="2"/>
    </w:lvl>
    <w:lvl w:ilvl="1">
      <w:lvlJc w:val="left"/>
      <w:lvlText w:val="(%2)"/>
      <w:numFmt w:val="decimal"/>
      <w:start w:val="1"/>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14"/>
    </w:lvl>
  </w:abstractNum>
  <w:abstractNum w:abstractNumId="9">
    <w:nsid w:val="431BD7B7"/>
    <w:multiLevelType w:val="hybridMultilevel"/>
    <w:lvl w:ilvl="0">
      <w:lvlJc w:val="left"/>
      <w:lvlText w:val="%1"/>
      <w:numFmt w:val="lowerLetter"/>
      <w:start w:val="1"/>
    </w:lvl>
    <w:lvl w:ilvl="1">
      <w:lvlJc w:val="left"/>
      <w:lvlText w:val="(%2)"/>
      <w:numFmt w:val="lowerLetter"/>
      <w:start w:val="3"/>
    </w:lvl>
  </w:abstractNum>
  <w:abstractNum w:abstractNumId="10">
    <w:nsid w:val="3F2DBA31"/>
    <w:multiLevelType w:val="hybridMultilevel"/>
    <w:lvl w:ilvl="0">
      <w:lvlJc w:val="left"/>
      <w:lvlText w:val="(%1)"/>
      <w:numFmt w:val="lowerLetter"/>
      <w:start w:val="35"/>
    </w:lvl>
    <w:lvl w:ilvl="1">
      <w:lvlJc w:val="left"/>
      <w:lvlText w:val="%2"/>
      <w:numFmt w:val="lowerLetter"/>
      <w:start w:val="1"/>
    </w:lvl>
  </w:abstractNum>
  <w:abstractNum w:abstractNumId="11">
    <w:nsid w:val="7C83E458"/>
    <w:multiLevelType w:val="hybridMultilevel"/>
    <w:lvl w:ilvl="0">
      <w:lvlJc w:val="left"/>
      <w:lvlText w:val="(%1)"/>
      <w:numFmt w:val="lowerLetter"/>
      <w:start w:val="1"/>
    </w:lvl>
    <w:lvl w:ilvl="1">
      <w:lvlJc w:val="left"/>
      <w:lvlText w:val="(%2)"/>
      <w:numFmt w:val="decimal"/>
      <w:start w:val="1"/>
    </w:lvl>
  </w:abstractNum>
  <w:abstractNum w:abstractNumId="12">
    <w:nsid w:val="257130A3"/>
    <w:multiLevelType w:val="hybridMultilevel"/>
    <w:lvl w:ilvl="0">
      <w:lvlJc w:val="left"/>
      <w:lvlText w:val="%1"/>
      <w:numFmt w:val="lowerLetter"/>
      <w:start w:val="1"/>
    </w:lvl>
    <w:lvl w:ilvl="1">
      <w:lvlJc w:val="left"/>
      <w:lvlText w:val="(%2)"/>
      <w:numFmt w:val="decimal"/>
      <w:start w:val="2"/>
    </w:lvl>
  </w:abstractNum>
  <w:abstractNum w:abstractNumId="13">
    <w:nsid w:val="62BBD95A"/>
    <w:multiLevelType w:val="hybridMultilevel"/>
    <w:lvl w:ilvl="0">
      <w:lvlJc w:val="left"/>
      <w:lvlText w:val="(%1)"/>
      <w:numFmt w:val="lowerLetter"/>
      <w:start w:val="3"/>
    </w:lvl>
    <w:lvl w:ilvl="1">
      <w:lvlJc w:val="left"/>
      <w:lvlText w:val="%2"/>
      <w:numFmt w:val="decimal"/>
      <w:start w:val="1"/>
    </w:lvl>
  </w:abstractNum>
  <w:abstractNum w:abstractNumId="14">
    <w:nsid w:val="436C6125"/>
    <w:multiLevelType w:val="hybridMultilevel"/>
    <w:lvl w:ilvl="0">
      <w:lvlJc w:val="left"/>
      <w:lvlText w:val="(%1)"/>
      <w:numFmt w:val="lowerLetter"/>
      <w:start w:val="4"/>
    </w:lvl>
  </w:abstractNum>
  <w:abstractNum w:abstractNumId="15">
    <w:nsid w:val="628C895D"/>
    <w:multiLevelType w:val="hybridMultilevel"/>
    <w:lvl w:ilvl="0">
      <w:lvlJc w:val="left"/>
      <w:lvlText w:val="%1"/>
      <w:numFmt w:val="lowerLetter"/>
      <w:start w:val="1"/>
    </w:lvl>
    <w:lvl w:ilvl="1">
      <w:lvlJc w:val="left"/>
      <w:lvlText w:val="(%2)"/>
      <w:numFmt w:val="lowerLetter"/>
      <w:start w:val="5"/>
    </w:lvl>
  </w:abstractNum>
  <w:abstractNum w:abstractNumId="16">
    <w:nsid w:val="333AB105"/>
    <w:multiLevelType w:val="hybridMultilevel"/>
    <w:lvl w:ilvl="0">
      <w:lvlJc w:val="left"/>
      <w:lvlText w:val="(%1)"/>
      <w:numFmt w:val="lowerLetter"/>
      <w:start w:val="61"/>
    </w:lvl>
    <w:lvl w:ilvl="1">
      <w:lvlJc w:val="left"/>
      <w:lvlText w:val="(%2)"/>
      <w:numFmt w:val="lowerLetter"/>
      <w:start w:val="1"/>
    </w:lvl>
  </w:abstractNum>
  <w:abstractNum w:abstractNumId="17">
    <w:nsid w:val="721DA317"/>
    <w:multiLevelType w:val="hybridMultilevel"/>
    <w:lvl w:ilvl="0">
      <w:lvlJc w:val="left"/>
      <w:lvlText w:val="%1"/>
      <w:numFmt w:val="lowerRoman"/>
      <w:start w:val="1"/>
    </w:lvl>
    <w:lvl w:ilvl="1">
      <w:lvlJc w:val="left"/>
      <w:lvlText w:val="(%2)"/>
      <w:numFmt w:val="lowerLetter"/>
      <w:start w:val="2"/>
    </w:lvl>
  </w:abstractNum>
  <w:abstractNum w:abstractNumId="18">
    <w:nsid w:val="2443A858"/>
    <w:multiLevelType w:val="hybridMultilevel"/>
    <w:lvl w:ilvl="0">
      <w:lvlJc w:val="left"/>
      <w:lvlText w:val="(%1)"/>
      <w:numFmt w:val="lowerRoman"/>
      <w:start w:val="4"/>
    </w:lvl>
    <w:lvl w:ilvl="1">
      <w:lvlJc w:val="left"/>
      <w:lvlText w:val="(%2)"/>
      <w:numFmt w:val="lowerLetter"/>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Roman"/>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1)"/>
      <w:numFmt w:val="lowerRoman"/>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2023-06-20T07:53:42Z</dcterms:created>
  <dcterms:modified xsi:type="dcterms:W3CDTF">2023-06-20T07:53:42Z</dcterms:modified>
</cp:coreProperties>
</file>