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xo-20260630.htm"/>
      <w:bookmarkStart w:id="1" w:name="ksalxo20260630"/>
      <w:bookmarkEnd w:id="0"/>
      <w:bookmarkEnd w:id="1"/>
      <w:r>
        <w:rPr/>
        <w:t> </w:t>
      </w:r>
    </w:p>
    <w:p>
      <w:pPr>
        <w:pStyle w:val="TextBody"/>
        <w:bidi w:val="0"/>
        <w:jc w:val="center"/>
        <w:rPr/>
      </w:pPr>
      <w:r>
        <w:rPr/>
        <w:t> </w:t>
      </w:r>
    </w:p>
    <w:p>
      <w:pPr>
        <w:pStyle w:val="TextBody"/>
        <w:pBdr>
          <w:top w:val="double" w:sz="4"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0"/>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0"/>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4" w:space="1" w:color="000000"/>
        </w:pBdr>
        <w:bidi w:val="0"/>
        <w:ind w:left="4320" w:right="4320" w:hanging="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40" w:after="283"/>
        <w:ind w:left="4320" w:right="4320" w:hanging="0"/>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tbl>
      <w:tblPr>
        <w:tblW w:w="9062" w:type="dxa"/>
        <w:jc w:val="left"/>
        <w:tblInd w:w="0" w:type="dxa"/>
        <w:tblLayout w:type="fixed"/>
        <w:tblCellMar>
          <w:top w:w="28" w:type="dxa"/>
          <w:left w:w="28" w:type="dxa"/>
          <w:bottom w:w="28" w:type="dxa"/>
          <w:right w:w="28" w:type="dxa"/>
        </w:tblCellMar>
      </w:tblPr>
      <w:tblGrid>
        <w:gridCol w:w="331"/>
        <w:gridCol w:w="8731"/>
      </w:tblGrid>
      <w:tr>
        <w:trPr/>
        <w:tc>
          <w:tcPr>
            <w:tcW w:w="331" w:type="dxa"/>
            <w:tcBorders/>
            <w:vAlign w:val="center"/>
          </w:tcPr>
          <w:p>
            <w:pPr>
              <w:pStyle w:val="TableContents"/>
              <w:bidi w:val="0"/>
              <w:spacing w:before="0" w:after="283"/>
              <w:jc w:val="left"/>
              <w:rPr>
                <w:sz w:val="4"/>
                <w:szCs w:val="4"/>
              </w:rPr>
            </w:pPr>
            <w:r>
              <w:rPr>
                <w:sz w:val="4"/>
                <w:szCs w:val="4"/>
              </w:rPr>
            </w:r>
          </w:p>
        </w:tc>
        <w:tc>
          <w:tcPr>
            <w:tcW w:w="873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QUARTERLY REPORT PURSUANT TO SECTION 13 OR 15(d) OF THE SECURITIES EXCHANGE ACT OF 1934</w:t>
            </w:r>
            <w:r>
              <w:rPr>
                <w:rFonts w:ascii="Times New Roman" w:hAnsi="Times New Roman"/>
                <w:color w:val="000000"/>
                <w:sz w:val="16"/>
              </w:rPr>
              <w:t xml:space="preserve"> </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4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9047" w:type="dxa"/>
        <w:jc w:val="left"/>
        <w:tblInd w:w="0" w:type="dxa"/>
        <w:tblLayout w:type="fixed"/>
        <w:tblCellMar>
          <w:top w:w="28" w:type="dxa"/>
          <w:left w:w="28" w:type="dxa"/>
          <w:bottom w:w="28" w:type="dxa"/>
          <w:right w:w="28" w:type="dxa"/>
        </w:tblCellMar>
      </w:tblPr>
      <w:tblGrid>
        <w:gridCol w:w="331"/>
        <w:gridCol w:w="8716"/>
      </w:tblGrid>
      <w:tr>
        <w:trPr/>
        <w:tc>
          <w:tcPr>
            <w:tcW w:w="331" w:type="dxa"/>
            <w:tcBorders/>
            <w:vAlign w:val="center"/>
          </w:tcPr>
          <w:p>
            <w:pPr>
              <w:pStyle w:val="TableContents"/>
              <w:bidi w:val="0"/>
              <w:spacing w:before="0" w:after="283"/>
              <w:jc w:val="left"/>
              <w:rPr>
                <w:sz w:val="4"/>
                <w:szCs w:val="4"/>
              </w:rPr>
            </w:pPr>
            <w:r>
              <w:rPr>
                <w:sz w:val="4"/>
                <w:szCs w:val="4"/>
              </w:rPr>
            </w:r>
          </w:p>
        </w:tc>
        <w:tc>
          <w:tcPr>
            <w:tcW w:w="871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871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sz w:val="16"/>
              </w:rPr>
            </w:pPr>
            <w:r>
              <w:rPr>
                <w:rFonts w:ascii="Times New Roman" w:hAnsi="Times New Roman"/>
                <w:b/>
                <w:color w:val="000000"/>
                <w:sz w:val="16"/>
              </w:rPr>
              <w:t>TRANSITION REPORT PURSUANT TO SECTION 13 OR 15(d) OF THE SECURITIES EXCHANGE ACT OF 1934</w:t>
            </w:r>
            <w:r>
              <w:rPr>
                <w:rFonts w:ascii="Times New Roman" w:hAnsi="Times New Roman"/>
                <w:color w:val="000000"/>
                <w:sz w:val="16"/>
              </w:rPr>
              <w:t xml:space="preserve"> </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to</w:t>
      </w:r>
    </w:p>
    <w:p>
      <w:pPr>
        <w:pStyle w:val="TextBody"/>
        <w:bidi w:val="0"/>
        <w:spacing w:before="40" w:after="283"/>
        <w:jc w:val="center"/>
        <w:rPr>
          <w:rFonts w:ascii="Times New Roman" w:hAnsi="Times New Roman"/>
          <w:sz w:val="20"/>
        </w:rPr>
      </w:pPr>
      <w:r>
        <w:rPr>
          <w:rFonts w:ascii="Times New Roman" w:hAnsi="Times New Roman"/>
          <w:b/>
          <w:color w:val="000000"/>
          <w:sz w:val="20"/>
        </w:rPr>
        <w:t>Commission File Number 001-39386</w:t>
      </w:r>
      <w:r>
        <w:rPr>
          <w:rFonts w:ascii="Times New Roman" w:hAnsi="Times New Roman"/>
          <w:color w:val="000000"/>
          <w:sz w:val="20"/>
        </w:rPr>
        <w:t xml:space="preserve"> </w:t>
      </w:r>
    </w:p>
    <w:p>
      <w:pPr>
        <w:pStyle w:val="TextBody"/>
        <w:bidi w:val="0"/>
        <w:spacing w:before="40" w:after="283"/>
        <w:ind w:left="4320" w:right="4320" w:hanging="0"/>
        <w:jc w:val="center"/>
        <w:rPr>
          <w:rFonts w:ascii="Times New Roman" w:hAnsi="Times New Roman"/>
          <w:b/>
          <w:color w:val="000000"/>
          <w:sz w:val="36"/>
        </w:rPr>
      </w:pPr>
      <w:r>
        <w:rPr>
          <w:rFonts w:ascii="Times New Roman" w:hAnsi="Times New Roman"/>
          <w:b/>
          <w:color w:val="000000"/>
          <w:sz w:val="36"/>
        </w:rPr>
        <w:t>ALX ONCOLOGY HOLDINGS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bidi w:val="0"/>
        <w:ind w:left="4320" w:right="4320" w:hanging="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85-0642577</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323 Allerton Avenue</w:t>
            </w:r>
          </w:p>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4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94080</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650-466-7125</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(Former name, former address and former fiscal year, if changed since last report)</w:t>
      </w:r>
    </w:p>
    <w:p>
      <w:pPr>
        <w:pStyle w:val="TextBody"/>
        <w:bidi w:val="0"/>
        <w:spacing w:before="40" w:after="283"/>
        <w:ind w:left="4320" w:right="4320" w:hanging="0"/>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85" w:type="dxa"/>
        <w:jc w:val="left"/>
        <w:tblInd w:w="0" w:type="dxa"/>
        <w:tblLayout w:type="fixed"/>
        <w:tblCellMar>
          <w:top w:w="28" w:type="dxa"/>
          <w:left w:w="28" w:type="dxa"/>
          <w:bottom w:w="28" w:type="dxa"/>
          <w:right w:w="28" w:type="dxa"/>
        </w:tblCellMar>
      </w:tblPr>
      <w:tblGrid>
        <w:gridCol w:w="3151"/>
        <w:gridCol w:w="146"/>
        <w:gridCol w:w="826"/>
        <w:gridCol w:w="146"/>
        <w:gridCol w:w="331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ALXO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Global Select Market</w:t>
            </w:r>
          </w:p>
        </w:tc>
      </w:tr>
    </w:tbl>
    <w:p>
      <w:pPr>
        <w:pStyle w:val="TextBody"/>
        <w:bidi w:val="0"/>
        <w:spacing w:before="40" w:after="283"/>
        <w:jc w:val="left"/>
        <w:rPr/>
      </w:pPr>
      <w:r>
        <w:rPr/>
        <w:t> </w:t>
      </w:r>
    </w:p>
    <w:p>
      <w:pPr>
        <w:pStyle w:val="TextBody"/>
        <w:bidi w:val="0"/>
        <w:spacing w:before="80" w:after="283"/>
        <w:ind w:left="0" w:right="0" w:firstLine="288"/>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80" w:after="283"/>
        <w:ind w:left="0" w:right="0" w:firstLine="288"/>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ind w:left="0" w:right="0" w:firstLine="288"/>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spacing w:before="80" w:after="283"/>
        <w:ind w:left="0" w:right="0" w:firstLine="288"/>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ind w:left="0" w:right="0" w:firstLine="288"/>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80" w:after="283"/>
        <w:ind w:left="0" w:right="0" w:firstLine="288"/>
        <w:jc w:val="left"/>
        <w:rPr>
          <w:rFonts w:ascii="Times New Roman" w:hAnsi="Times New Roman"/>
          <w:sz w:val="20"/>
        </w:rPr>
      </w:pPr>
      <w:r>
        <w:rPr>
          <w:rFonts w:ascii="Times New Roman" w:hAnsi="Times New Roman"/>
          <w:color w:val="000000"/>
          <w:sz w:val="16"/>
        </w:rPr>
        <w:t>As of July 30, 2026, the registrant had 138,276,997</w:t>
      </w:r>
      <w:r>
        <w:rPr>
          <w:rFonts w:ascii="Times New Roman" w:hAnsi="Times New Roman"/>
          <w:color w:val="000000"/>
          <w:sz w:val="20"/>
        </w:rPr>
        <w:t xml:space="preserve"> </w:t>
      </w:r>
      <w:r>
        <w:rPr>
          <w:rFonts w:ascii="Times New Roman" w:hAnsi="Times New Roman"/>
          <w:color w:val="000000"/>
          <w:sz w:val="16"/>
        </w:rPr>
        <w:t>shares of common stock outstanding, $0.001 par value per share.</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This Quarterly Report on Form 10-Q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 </w:t>
      </w:r>
    </w:p>
    <w:p>
      <w:pPr>
        <w:pStyle w:val="TextBody"/>
        <w:bidi w:val="0"/>
        <w:ind w:left="0" w:right="0" w:firstLine="490"/>
        <w:jc w:val="left"/>
        <w:rPr/>
      </w:pPr>
      <w:r>
        <w:rPr/>
        <w:t>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performance;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sufficiency of our existing cash to fund our future operating expenses and capital expenditure requirements;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accuracy of our estimates regarding expenses, future revenue, capital requirements, and needs for additional financing;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relating to commercializing our product candidates, if approved, including the geographic areas of focus and our ability to grow a sales team;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strategic plans for our business and product candidates;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to conduct preclinical research activities, and for the manufacture of our product candidates;</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beneficial characteristics, mechanisms of action, safety profile, efficacy and therapeutic effects of our product candidates;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and focus of our current and future clinical trials, and the reporting of data from those trials;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advance product candidates into and successfully complete clinical trials;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clinical trials, including collaborations and investigator sponsored trials, to demonstrate the safety and efficacy of our product candidates, and other positive results;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competing therapies that are or may become available;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relating to our competitors and our industry, including competing product candidates and therapies;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relating to the further development and manufacturing of our product candidates, including additional indications that we may pursue;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existing regulations and regulatory developments in the United States and other jurisdictions;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potential and ability to successfully manufacture and supply our product candidates for clinical trials and for commercial use, if approved;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continued reliance on third parties to conduct clinical trials of our product candidates, and for the manufacture of our product candidates;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and ability to obtain or protect intellectual property rights, including extensions of existing patent terms where available;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we are able to establish and maintain for intellectual property rights, including our technology platform and product candidates;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retain the continued service of our key personnel, the impacts of any executive officer changes, and to identify, hire, and then retain additional qualified personnel;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macroeconomic conditions and global economic environment, such as inflation, interest rate changes, trade and other global disputes and interruptions, including related to tariffs and trade protection measures, duration of the U.S. federal government shutdown, economic downturns, bank failures or instability in the financial services sector, or geopolitical risks, disasters, and medical or public health crises, such as the COVID-19 pandemic;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for and prospects of our acquisitions and other business development activities, and our ability to successfully capitalize on these opportunities; </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financial and internal controls; and</w:t>
      </w:r>
    </w:p>
    <w:p>
      <w:pPr>
        <w:pStyle w:val="TextBody"/>
        <w:bidi w:val="0"/>
        <w:spacing w:before="120" w:after="283"/>
        <w:ind w:left="85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use of our existing cash and cash equivalents, short-term and long-term investments, and the funds available from our term loan.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8780" w:type="dxa"/>
        <w:jc w:val="left"/>
        <w:tblInd w:w="0" w:type="dxa"/>
        <w:tblLayout w:type="fixed"/>
        <w:tblCellMar>
          <w:top w:w="28" w:type="dxa"/>
          <w:left w:w="28" w:type="dxa"/>
          <w:bottom w:w="28" w:type="dxa"/>
          <w:right w:w="28" w:type="dxa"/>
        </w:tblCellMar>
      </w:tblPr>
      <w:tblGrid>
        <w:gridCol w:w="903"/>
        <w:gridCol w:w="7366"/>
        <w:gridCol w:w="511"/>
      </w:tblGrid>
      <w:tr>
        <w:trPr/>
        <w:tc>
          <w:tcPr>
            <w:tcW w:w="903"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1">
              <w:r>
                <w:rPr>
                  <w:rStyle w:val="InternetLink"/>
                  <w:rFonts w:ascii="Times New Roman" w:hAnsi="Times New Roman"/>
                  <w:color w:val="0000FF"/>
                  <w:sz w:val="20"/>
                  <w:u w:val="single"/>
                </w:rPr>
                <w:t>FINANCIAL INFORMATION</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f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bs">
              <w:r>
                <w:rPr>
                  <w:rStyle w:val="InternetLink"/>
                  <w:rFonts w:ascii="Times New Roman" w:hAnsi="Times New Roman"/>
                  <w:color w:val="0000FF"/>
                  <w:sz w:val="20"/>
                  <w:u w:val="single"/>
                </w:rPr>
                <w:t>Condensed Consolidated Balance Sheets</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is">
              <w:r>
                <w:rPr>
                  <w:rStyle w:val="InternetLink"/>
                  <w:rFonts w:ascii="Times New Roman" w:hAnsi="Times New Roman"/>
                  <w:color w:val="0000FF"/>
                  <w:sz w:val="20"/>
                  <w:u w:val="single"/>
                </w:rPr>
                <w:t>Condensed 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cl">
              <w:r>
                <w:rPr>
                  <w:rStyle w:val="InternetLink"/>
                  <w:rFonts w:ascii="Times New Roman" w:hAnsi="Times New Roman"/>
                  <w:color w:val="0000FF"/>
                  <w:sz w:val="20"/>
                  <w:u w:val="single"/>
                </w:rPr>
                <w:t>Condensed Consolidated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se">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cf">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notes">
              <w:r>
                <w:rPr>
                  <w:rStyle w:val="InternetLink"/>
                  <w:rFonts w:ascii="Times New Roman" w:hAnsi="Times New Roman"/>
                  <w:color w:val="0000FF"/>
                  <w:sz w:val="20"/>
                  <w:u w:val="single"/>
                </w:rPr>
                <w:t>Notes to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2_mda">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23</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3_risk">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34</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4_controls">
              <w:r>
                <w:rPr>
                  <w:rStyle w:val="InternetLink"/>
                  <w:rFonts w:ascii="Times New Roman" w:hAnsi="Times New Roman"/>
                  <w:color w:val="0000FF"/>
                  <w:sz w:val="20"/>
                  <w:u w:val="single"/>
                </w:rPr>
                <w:t>Controls and Procedures</w:t>
              </w:r>
            </w:hyperlink>
            <w:hyperlink w:anchor="part1_item4_controls">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2">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1_legal">
              <w:r>
                <w:rPr>
                  <w:rStyle w:val="InternetLink"/>
                  <w:rFonts w:ascii="Times New Roman" w:hAnsi="Times New Roman"/>
                  <w:color w:val="0000FF"/>
                  <w:sz w:val="20"/>
                  <w:u w:val="single"/>
                </w:rPr>
                <w:t>Legal Proceedings</w:t>
              </w:r>
            </w:hyperlink>
            <w:r>
              <w:rPr>
                <w:rFonts w:ascii="Times New Roman" w:hAnsi="Times New Roman"/>
                <w:color w:val="0000EE"/>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36</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1a_rf">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36</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2_unreg">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83</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3_defaults">
              <w:r>
                <w:rPr>
                  <w:rStyle w:val="InternetLink"/>
                  <w:rFonts w:ascii="Times New Roman" w:hAnsi="Times New Roman"/>
                  <w:color w:val="0000FF"/>
                  <w:sz w:val="20"/>
                  <w:u w:val="single"/>
                </w:rPr>
                <w:t>Defaults Upon Senior Securities</w:t>
              </w:r>
            </w:hyperlink>
            <w:hyperlink w:anchor="part2_item3_defaults">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83</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4_mine">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83</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5_other">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83</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rt1"/>
      <w:bookmarkEnd w:id="3"/>
      <w:r>
        <w:rPr>
          <w:rFonts w:ascii="Times New Roman" w:hAnsi="Times New Roman"/>
          <w:b/>
          <w:color w:val="000000"/>
          <w:sz w:val="20"/>
        </w:rPr>
        <w:t>PART I — FINANCIAL INFORMATION</w:t>
      </w:r>
    </w:p>
    <w:p>
      <w:pPr>
        <w:pStyle w:val="TextBody"/>
        <w:bidi w:val="0"/>
        <w:spacing w:before="360" w:after="283"/>
        <w:jc w:val="left"/>
        <w:rPr>
          <w:rFonts w:ascii="Times New Roman" w:hAnsi="Times New Roman"/>
          <w:sz w:val="20"/>
        </w:rPr>
      </w:pPr>
      <w:bookmarkStart w:id="4" w:name="part1_item1_fs"/>
      <w:bookmarkEnd w:id="4"/>
      <w:r>
        <w:rPr>
          <w:rFonts w:ascii="Times New Roman" w:hAnsi="Times New Roman"/>
          <w:b/>
          <w:color w:val="000000"/>
          <w:sz w:val="20"/>
        </w:rPr>
        <w:t>Item 1. Financial Statements</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5" w:name="part1_item1_bs"/>
      <w:bookmarkEnd w:id="5"/>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left"/>
        <w:rPr/>
      </w:pPr>
      <w:r>
        <w:rPr/>
        <w:t> </w:t>
      </w:r>
    </w:p>
    <w:tbl>
      <w:tblPr>
        <w:tblW w:w="9177" w:type="dxa"/>
        <w:jc w:val="left"/>
        <w:tblInd w:w="0" w:type="dxa"/>
        <w:tblLayout w:type="fixed"/>
        <w:tblCellMar>
          <w:top w:w="28" w:type="dxa"/>
          <w:left w:w="28" w:type="dxa"/>
          <w:bottom w:w="28" w:type="dxa"/>
          <w:right w:w="28" w:type="dxa"/>
        </w:tblCellMar>
      </w:tblPr>
      <w:tblGrid>
        <w:gridCol w:w="5796"/>
        <w:gridCol w:w="146"/>
        <w:gridCol w:w="211"/>
        <w:gridCol w:w="841"/>
        <w:gridCol w:w="166"/>
        <w:gridCol w:w="146"/>
        <w:gridCol w:w="252"/>
        <w:gridCol w:w="1008"/>
        <w:gridCol w:w="611"/>
      </w:tblGrid>
      <w:tr>
        <w:trPr/>
        <w:tc>
          <w:tcPr>
            <w:tcW w:w="5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50,727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59,046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Common stock, $0.001 par value; 1,000,000,000 shares authorized </w:t>
              <w:br/>
              <w:t xml:space="preserve">     as of June 30, 2026 and December 31, 2025; 138,216,247 and </w:t>
              <w:br/>
              <w:t>     54,388,022 shares issued and outstanding as of June 30, 2026</w:t>
              <w:br/>
              <w:t>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748,716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(722,817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59,046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6" w:name="part1_item1_is"/>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34"/>
        <w:gridCol w:w="146"/>
        <w:gridCol w:w="211"/>
        <w:gridCol w:w="1141"/>
        <w:gridCol w:w="166"/>
        <w:gridCol w:w="146"/>
        <w:gridCol w:w="211"/>
        <w:gridCol w:w="1036"/>
        <w:gridCol w:w="166"/>
        <w:gridCol w:w="146"/>
        <w:gridCol w:w="211"/>
        <w:gridCol w:w="1141"/>
        <w:gridCol w:w="166"/>
        <w:gridCol w:w="146"/>
        <w:gridCol w:w="211"/>
        <w:gridCol w:w="1036"/>
        <w:gridCol w:w="591"/>
      </w:tblGrid>
      <w:tr>
        <w:trPr/>
        <w:tc>
          <w:tcPr>
            <w:tcW w:w="33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termination (gain) and impairment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58,468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(58,468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(56,703</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of common stock used to </w:t>
              <w:br/>
              <w:t>    compute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135,639,684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53,445,631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120,097,125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54,031,176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7" w:name="part1_item1_cl"/>
      <w:bookmarkEnd w:id="7"/>
      <w:r>
        <w:rPr>
          <w:rFonts w:ascii="Times New Roman" w:hAnsi="Times New Roman"/>
          <w:b/>
          <w:color w:val="000000"/>
          <w:sz w:val="20"/>
        </w:rPr>
        <w:t>Condensed Consolidated Statements of Comprehensive Loss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pPr>
      <w:r>
        <w:rPr/>
        <w:t> </w:t>
      </w:r>
    </w:p>
    <w:tbl>
      <w:tblPr>
        <w:tblW w:w="10082" w:type="dxa"/>
        <w:jc w:val="left"/>
        <w:tblInd w:w="0" w:type="dxa"/>
        <w:tblLayout w:type="fixed"/>
        <w:tblCellMar>
          <w:top w:w="28" w:type="dxa"/>
          <w:left w:w="28" w:type="dxa"/>
          <w:bottom w:w="28" w:type="dxa"/>
          <w:right w:w="28" w:type="dxa"/>
        </w:tblCellMar>
      </w:tblPr>
      <w:tblGrid>
        <w:gridCol w:w="4821"/>
        <w:gridCol w:w="146"/>
        <w:gridCol w:w="211"/>
        <w:gridCol w:w="736"/>
        <w:gridCol w:w="166"/>
        <w:gridCol w:w="146"/>
        <w:gridCol w:w="211"/>
        <w:gridCol w:w="736"/>
        <w:gridCol w:w="166"/>
        <w:gridCol w:w="146"/>
        <w:gridCol w:w="211"/>
        <w:gridCol w:w="736"/>
        <w:gridCol w:w="166"/>
        <w:gridCol w:w="146"/>
        <w:gridCol w:w="211"/>
        <w:gridCol w:w="736"/>
        <w:gridCol w:w="391"/>
      </w:tblGrid>
      <w:tr>
        <w:trPr/>
        <w:tc>
          <w:tcPr>
            <w:tcW w:w="4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(loss) on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(56,942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sz w:val="20"/>
        </w:rPr>
      </w:pPr>
      <w:bookmarkStart w:id="8" w:name="part1_item1_se"/>
      <w:bookmarkEnd w:id="8"/>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02"/>
        <w:gridCol w:w="146"/>
        <w:gridCol w:w="146"/>
        <w:gridCol w:w="1006"/>
        <w:gridCol w:w="146"/>
        <w:gridCol w:w="146"/>
        <w:gridCol w:w="236"/>
        <w:gridCol w:w="455"/>
        <w:gridCol w:w="146"/>
        <w:gridCol w:w="146"/>
        <w:gridCol w:w="196"/>
        <w:gridCol w:w="691"/>
        <w:gridCol w:w="146"/>
        <w:gridCol w:w="146"/>
        <w:gridCol w:w="377"/>
        <w:gridCol w:w="839"/>
        <w:gridCol w:w="166"/>
        <w:gridCol w:w="146"/>
        <w:gridCol w:w="217"/>
        <w:gridCol w:w="834"/>
        <w:gridCol w:w="166"/>
        <w:gridCol w:w="146"/>
        <w:gridCol w:w="230"/>
        <w:gridCol w:w="818"/>
        <w:gridCol w:w="412"/>
      </w:tblGrid>
      <w:tr>
        <w:trPr/>
        <w:tc>
          <w:tcPr>
            <w:tcW w:w="21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1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54,388,022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25,981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and pre-funded warrants in</w:t>
              <w:br/>
              <w:t>   connection with equity offerings, net of underwriter</w:t>
              <w:br/>
              <w:t>   discounts ($9,000) and issuance costs ($627)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76,979,112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140,373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from exercise of pre-funded</w:t>
              <w:br/>
              <w:t>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2,563,507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 xml:space="preserve">Issuance of common stock under equity incentive </w:t>
              <w:br/>
              <w:t>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through ATM offering,</w:t>
              <w:br/>
              <w:t>   net of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2,509</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Unrealized loss on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10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(17,927</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134,540,741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892,201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(740,744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151,347</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0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from exercise of pre-funded</w:t>
              <w:br/>
              <w: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3,536,810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 xml:space="preserve">Issuance of common stock under equity incentive </w:t>
              <w:br/>
              <w: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 employee stock</w:t>
              <w:br/>
              <w:t>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Unrealized gain on 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(17,971</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138,216,247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894,988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(758,715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136,187</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70"/>
        <w:gridCol w:w="146"/>
        <w:gridCol w:w="146"/>
        <w:gridCol w:w="916"/>
        <w:gridCol w:w="146"/>
        <w:gridCol w:w="146"/>
        <w:gridCol w:w="249"/>
        <w:gridCol w:w="442"/>
        <w:gridCol w:w="146"/>
        <w:gridCol w:w="146"/>
        <w:gridCol w:w="196"/>
        <w:gridCol w:w="691"/>
        <w:gridCol w:w="166"/>
        <w:gridCol w:w="146"/>
        <w:gridCol w:w="377"/>
        <w:gridCol w:w="839"/>
        <w:gridCol w:w="166"/>
        <w:gridCol w:w="146"/>
        <w:gridCol w:w="217"/>
        <w:gridCol w:w="834"/>
        <w:gridCol w:w="166"/>
        <w:gridCol w:w="146"/>
        <w:gridCol w:w="231"/>
        <w:gridCol w:w="819"/>
        <w:gridCol w:w="412"/>
      </w:tblGrid>
      <w:tr>
        <w:trPr/>
        <w:tc>
          <w:tcPr>
            <w:tcW w:w="21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53,052,912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113,618</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7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 xml:space="preserve">Issuance of common stock under equity incentive </w:t>
              <w:br/>
              <w: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7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through ATM offering,</w:t>
              <w:br/>
              <w:t>   net of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7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7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Unrealized loss on 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17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(30,754</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53,384,145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(651,876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88,295</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7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 equity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7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Issuance of common stock under employee stock</w:t>
              <w:br/>
              <w:t>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7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7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Unrealized loss on 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170"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(25,949</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53,506,777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(677,825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64,415</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9" w:name="part1_item1_cf"/>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8884" w:type="dxa"/>
        <w:jc w:val="left"/>
        <w:tblInd w:w="0" w:type="dxa"/>
        <w:tblLayout w:type="fixed"/>
        <w:tblCellMar>
          <w:top w:w="28" w:type="dxa"/>
          <w:left w:w="28" w:type="dxa"/>
          <w:bottom w:w="28" w:type="dxa"/>
          <w:right w:w="28" w:type="dxa"/>
        </w:tblCellMar>
      </w:tblPr>
      <w:tblGrid>
        <w:gridCol w:w="5811"/>
        <w:gridCol w:w="146"/>
        <w:gridCol w:w="196"/>
        <w:gridCol w:w="751"/>
        <w:gridCol w:w="166"/>
        <w:gridCol w:w="146"/>
        <w:gridCol w:w="196"/>
        <w:gridCol w:w="661"/>
        <w:gridCol w:w="811"/>
      </w:tblGrid>
      <w:tr>
        <w:trPr/>
        <w:tc>
          <w:tcPr>
            <w:tcW w:w="5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(56,703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Non-cash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accretion of discounts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Accretion of term loan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Loss on early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Gain on lease termination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Lease impairment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Loss on disposal of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Payable and accrued liabilities due to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(48,069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(41,177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Maturities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91,245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49,961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equity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Payments of issuance costs related to equity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ATM offering, net of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exercise of stock options under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Principal payments on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Principal payments on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Payments for early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issuance of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Payments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139,732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17,633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19,368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property and equipment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Debt issuance costs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Right-of-use asset acquired under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cash and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19,302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Restricted cash (included in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Restricted cash (included in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19,368</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10" w:name="part1_item1_notes"/>
      <w:bookmarkEnd w:id="10"/>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 ORGANIZATION</w:t>
      </w:r>
    </w:p>
    <w:p>
      <w:pPr>
        <w:pStyle w:val="TextBody"/>
        <w:bidi w:val="0"/>
        <w:spacing w:before="120" w:after="283"/>
        <w:ind w:left="490" w:right="0" w:hanging="0"/>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ALX Oncology Holdings Inc., or the Company, was formed as a Delaware corporation on April 1, 2020, or Inception. The Company was formed for the purpose of completing the Company’s initial public offering of its common stock and related transactions in order to carry on the business of ALX Oncology Limited. The Company is a clinical-stage biotechnology company advancing a pipeline of novel therapies designed to treat cancer and extend patients’ lives.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ALX Oncology Holdings Inc. is incorporated in Delaware. ALX Oncology Limited, incorporated in Ireland, is a wholly-owned subsidiary of ALX Oncology Holdings Inc. ALX Oncology Inc., incorporated in Delaware, is a wholly-owned subsidiary of ALX Oncology Limited. All the companies, except for ALX Oncology Holdings Inc., are collectively known as the Subsidiaries.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June 30, 2026, the Company has devoted substantially all of its efforts to the formation and financing of the Company, as well as product development, and has not realized product revenues from its planned principal operations. The Company does not have manufacturing facilities and all manufacturing related activities are contracted out to third-party service providers.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Management expects to incur additional losses in the future to conduct product candidate research and development and to conduct pre-commercialization activities and recognizes that the Company will be required to raise additional capital to fully implement its business plan. The Company intends to raise such capital through the sale of additional equity, debt financings and/or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 The Company believes that the existing capital resources will be sufficient to fund the projected operating requirements for at least the next twelve months after the date the condensed consolidated financial statements are issued.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SIGNIFICANT ACCOUNTING POLICIES</w:t>
      </w:r>
    </w:p>
    <w:p>
      <w:pPr>
        <w:pStyle w:val="TextBody"/>
        <w:bidi w:val="0"/>
        <w:spacing w:before="120" w:after="283"/>
        <w:ind w:left="490" w:right="0" w:hanging="0"/>
        <w:jc w:val="left"/>
        <w:rPr>
          <w:rFonts w:ascii="Times New Roman" w:hAnsi="Times New Roman"/>
          <w:b/>
          <w:i/>
          <w:color w:val="000000"/>
          <w:sz w:val="20"/>
        </w:rPr>
      </w:pPr>
      <w:r>
        <w:rPr>
          <w:rFonts w:ascii="Times New Roman" w:hAnsi="Times New Roman"/>
          <w:b/>
          <w:i/>
          <w:color w:val="000000"/>
          <w:sz w:val="20"/>
        </w:rPr>
        <w:t>Basis of Preparation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generally accepted accounting principles in the United States, or U.S. GAAP, and applicable rules and regulations of the Securities and Exchange Commission, or SEC, regarding interim financial reporting.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consolidated financial statements and accompanying notes included in the Annual Report on Form 10-K for the year ended December 31, 2025 filed with the SEC on March 9, 2026.</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condensed consolidated balance sheet as of December 31, 2025 included herein was derived from the audited financial statements as of that date, but does not include all disclosures including notes required by U.S. GAAP.</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accompanying condensed consolidated financial statements reflect all normal recurring adjustments that are necessary to present fairly the results for the interim periods presented. Interim results are not necessarily indicative of the results for the full year ending December 31, 2026.</w:t>
      </w:r>
    </w:p>
    <w:p>
      <w:pPr>
        <w:pStyle w:val="TextBody"/>
        <w:bidi w:val="0"/>
        <w:spacing w:before="120" w:after="283"/>
        <w:ind w:left="490" w:right="0" w:hanging="0"/>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All intercompany balances and transactions have been eliminated in consolidation.</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On an ongoing basis, the Company evaluates its estimates, including, but not limited to, those related to the estimated useful lives of long-lived assets, clinical and contract manufacturing accruals, fair value of assets and liabilities, fair value of investments, and stock-based compensation. The Company evaluates its estimates and assumptions on an ongoing basis based on historical experience and on various other market-specific and relevant assumptions that the Company believes to be reasonable under the circumstances and adjusts those estimates and assumptions when facts and circumstances change. Actual results could differ from those estimates.</w:t>
      </w:r>
    </w:p>
    <w:p>
      <w:pPr>
        <w:pStyle w:val="TextBody"/>
        <w:bidi w:val="0"/>
        <w:spacing w:before="120" w:after="283"/>
        <w:ind w:left="490" w:right="0" w:hanging="0"/>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There have been no new or material changes to the significant accounting policies discussed in the Company’s Annual Report on Form 10-K for the year ended December 31, 2025.</w:t>
      </w:r>
    </w:p>
    <w:p>
      <w:pPr>
        <w:pStyle w:val="TextBody"/>
        <w:bidi w:val="0"/>
        <w:spacing w:before="120" w:after="283"/>
        <w:ind w:left="490" w:right="0" w:hanging="0"/>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Recently adopted accounting pronouncements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In December 2025, the FASB issued ASU 2025-12, </w:t>
      </w:r>
      <w:r>
        <w:rPr>
          <w:rFonts w:ascii="Times New Roman" w:hAnsi="Times New Roman"/>
          <w:i/>
          <w:color w:val="000000"/>
          <w:sz w:val="20"/>
        </w:rPr>
        <w:t xml:space="preserve">Codification Improvements </w:t>
      </w:r>
      <w:r>
        <w:rPr>
          <w:rFonts w:ascii="Times New Roman" w:hAnsi="Times New Roman"/>
          <w:color w:val="000000"/>
          <w:sz w:val="20"/>
        </w:rPr>
        <w:t xml:space="preserve">(ASU 2025-12). ASU 2025-12 aims to make the Codification easier to understand and apply by making changes to the Codification that (1) clarify, (2) correct errors, or (3) make minor improvements. Key improvements include clarifying the calculation of diluted earnings per share (EPS) when a loss from continuing operations exists. ASU 2025-12 is effective for annual periods beginning after December 15, 2026, including interim periods within those annual periods. Early adoption is permitted. The guidance can be applied on a prospective or retrospective basis. The Company adopted ASU 2025-12 on January 1, 2026. The adoption did not have a material impact on the Company’s consolidated financial statements. </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Recently issued accounting pronouncements not yet adopted</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Reporting - Comprehensive Income - Expense Disaggregation Disclosures (Subtopic 220-40): Disaggregation of Income Statement Expenses</w:t>
      </w:r>
      <w:r>
        <w:rPr>
          <w:rFonts w:ascii="Times New Roman" w:hAnsi="Times New Roman"/>
          <w:color w:val="000000"/>
          <w:sz w:val="20"/>
        </w:rPr>
        <w:t xml:space="preserve"> (ASU 2024-03). ASU 2024-03 requires disaggregated disclosure of certain costs and expenses, including purchases of inventory, employee compensation, depreciation and amortization, within relevant income statement captions. ASU 2024-03 is effective for annual periods beginning after December 15, 2026 and interim periods beginning after December 15, 2027. Early adoption is permitted. The guidance is applied on a prospective basis with the option for retrospective application. The Company is evaluating the impact of this guidance on its consolidated financial statements and related disclosures.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xml:space="preserve"> (ASU 2025-11). ASU 2025-11 clarifies interim disclosure requirements and the applicability of Topic 270. ASU 2025-11 is effective for annual periods beginning after December 15, 2027 and interim periods beginning after December 15, 2028. Early adoption is permitted. The guidance can be applied either on a prospective basis or a retrospective basis to any or all prior periods presented in the financial statements. The Company is evaluating the impact of this guidance and does not expect it to have a material impact on its consolidated financial statements and related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SEGMENT REPORTING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manages its operations as a single operating segment. The Company’s chief operating decision maker (CODM) uses consolidated, single-segment financial information for the purposes of assessing performance, making operating decisions, allocating resources, and planning and forecasting for future periods.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CODM assesses performance and decides how to allocate resources based on the Company’s consolidated net loss, including key components of research and development costs and general and administrative costs. These measures are used to monitor budget versus actual results and to evaluate the performance of the segment.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CODM reviews cash, cash equivalents and investments as a measure of segment assets. As of June 30, 2026 and December 31, 2025, the Company’s cash, cash equivalents and investments were $153.4 million and $48.3 million, respectively.</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The following table presents the significant segment expenses for the three months and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4744"/>
        <w:gridCol w:w="146"/>
        <w:gridCol w:w="211"/>
        <w:gridCol w:w="736"/>
        <w:gridCol w:w="166"/>
        <w:gridCol w:w="146"/>
        <w:gridCol w:w="211"/>
        <w:gridCol w:w="736"/>
        <w:gridCol w:w="166"/>
        <w:gridCol w:w="146"/>
        <w:gridCol w:w="211"/>
        <w:gridCol w:w="736"/>
        <w:gridCol w:w="166"/>
        <w:gridCol w:w="146"/>
        <w:gridCol w:w="211"/>
        <w:gridCol w:w="736"/>
        <w:gridCol w:w="591"/>
      </w:tblGrid>
      <w:tr>
        <w:trPr/>
        <w:tc>
          <w:tcPr>
            <w:tcW w:w="4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Clinical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Preclinical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 and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research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Personnel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general and administrative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termination (gain) and impairment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termination (gain) and impairment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lease termination (gain) and impairment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(58,468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(56,703</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(4) FAIR VALUE OF FINANCIAL INSTRUMENTS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fair value of the Company’s financial assets and liabilities are determined in accordance with the fair value hierarchy established in ASC 820, Fair Value Measurements and Disclosures.</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The following table presents the Company’s investments, which consist of cash equivalents and investments classified as available-for-sale investments, that are measured at fair value on a recurring basis by level within the fair value hierarchy as of June 30, 2026 and December 31, 2025 (in thousands):</w:t>
      </w:r>
    </w:p>
    <w:tbl>
      <w:tblPr>
        <w:tblW w:w="10205" w:type="dxa"/>
        <w:jc w:val="left"/>
        <w:tblInd w:w="0" w:type="dxa"/>
        <w:tblLayout w:type="fixed"/>
        <w:tblCellMar>
          <w:top w:w="28" w:type="dxa"/>
          <w:left w:w="28" w:type="dxa"/>
          <w:bottom w:w="28" w:type="dxa"/>
          <w:right w:w="28" w:type="dxa"/>
        </w:tblCellMar>
      </w:tblPr>
      <w:tblGrid>
        <w:gridCol w:w="2191"/>
        <w:gridCol w:w="146"/>
        <w:gridCol w:w="1016"/>
        <w:gridCol w:w="146"/>
        <w:gridCol w:w="287"/>
        <w:gridCol w:w="1074"/>
        <w:gridCol w:w="146"/>
        <w:gridCol w:w="146"/>
        <w:gridCol w:w="565"/>
        <w:gridCol w:w="928"/>
        <w:gridCol w:w="146"/>
        <w:gridCol w:w="146"/>
        <w:gridCol w:w="469"/>
        <w:gridCol w:w="1075"/>
        <w:gridCol w:w="166"/>
        <w:gridCol w:w="146"/>
        <w:gridCol w:w="216"/>
        <w:gridCol w:w="799"/>
        <w:gridCol w:w="397"/>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1"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br/>
              <w:t>Hierarchy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11,477</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32,785</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70,902</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11,855</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10,374</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142,166</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27"/>
        <w:gridCol w:w="146"/>
        <w:gridCol w:w="1011"/>
        <w:gridCol w:w="146"/>
        <w:gridCol w:w="305"/>
        <w:gridCol w:w="983"/>
        <w:gridCol w:w="146"/>
        <w:gridCol w:w="146"/>
        <w:gridCol w:w="529"/>
        <w:gridCol w:w="870"/>
        <w:gridCol w:w="146"/>
        <w:gridCol w:w="146"/>
        <w:gridCol w:w="545"/>
        <w:gridCol w:w="895"/>
        <w:gridCol w:w="146"/>
        <w:gridCol w:w="146"/>
        <w:gridCol w:w="231"/>
        <w:gridCol w:w="744"/>
        <w:gridCol w:w="397"/>
      </w:tblGrid>
      <w:tr>
        <w:trPr/>
        <w:tc>
          <w:tcPr>
            <w:tcW w:w="2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5"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br/>
              <w:t>Hierarchy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14,682</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5,467</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19,215</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2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46,593</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The fair value of cash equivalents and available-for-sale investments by classification included in the condensed consolidated balance sheets was as follows as of June 30, 2026 and December 31, 2025 (in thousands):</w:t>
      </w:r>
    </w:p>
    <w:tbl>
      <w:tblPr>
        <w:tblW w:w="4877" w:type="dxa"/>
        <w:jc w:val="left"/>
        <w:tblInd w:w="0" w:type="dxa"/>
        <w:tblLayout w:type="fixed"/>
        <w:tblCellMar>
          <w:top w:w="28" w:type="dxa"/>
          <w:left w:w="28" w:type="dxa"/>
          <w:bottom w:w="28" w:type="dxa"/>
          <w:right w:w="28" w:type="dxa"/>
        </w:tblCellMar>
      </w:tblPr>
      <w:tblGrid>
        <w:gridCol w:w="1996"/>
        <w:gridCol w:w="146"/>
        <w:gridCol w:w="211"/>
        <w:gridCol w:w="781"/>
        <w:gridCol w:w="146"/>
        <w:gridCol w:w="146"/>
        <w:gridCol w:w="299"/>
        <w:gridCol w:w="961"/>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Cash and cash equivalents in the above table excludes bank account cash of $11.2 million and $1.7 million as of June 30, 2026 and December 31, 2025, respectively.</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The fair value of cash equivalents and available-for-sale investments by contractual maturity was as follows as of June 30, 2026 and December 31, 2025 (in thousands):</w:t>
      </w:r>
    </w:p>
    <w:tbl>
      <w:tblPr>
        <w:tblW w:w="6422" w:type="dxa"/>
        <w:jc w:val="left"/>
        <w:tblInd w:w="0" w:type="dxa"/>
        <w:tblLayout w:type="fixed"/>
        <w:tblCellMar>
          <w:top w:w="28" w:type="dxa"/>
          <w:left w:w="28" w:type="dxa"/>
          <w:bottom w:w="28" w:type="dxa"/>
          <w:right w:w="28" w:type="dxa"/>
        </w:tblCellMar>
      </w:tblPr>
      <w:tblGrid>
        <w:gridCol w:w="3541"/>
        <w:gridCol w:w="146"/>
        <w:gridCol w:w="211"/>
        <w:gridCol w:w="781"/>
        <w:gridCol w:w="146"/>
        <w:gridCol w:w="146"/>
        <w:gridCol w:w="299"/>
        <w:gridCol w:w="961"/>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Maturing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Maturing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primary objective of the Company’s investment portfolio is to maintain safety of principal, prudent levels of liquidity and acceptable levels of risk. The Company’s investment policy limits investments to certain types of instruments issued by institutions with investment-grade credit ratings, and it places restrictions on maturities and concentration by asset class and issuer.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There were no transfers of financial instruments between the fair value measurement levels during the three months and six months ended June 30, 2026 and 2025 and there were no financial instruments classified as Level 3 as of June 30, 2026 and December 31,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June 30, 2026 and December 31, 2025, accrued interest receivable related to the Company’s investments of $1.2 million and $0.3 million was included in prepaid expenses and other current assets on the condensed consolidated balance sheet.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June 30, 2026, the unrealized losses for available-for-sale investments were non-credit related and the Company does not intend to sell the investments that were in an unrealized loss position, nor does it foresee or project that it will be required to sell those investments before recovery of their amortized costs basis, which may be maturity. As of June 30, 2026 and 2025, no allowance for credit losses for the Company’s investments was recorded. As of June 30, 2026 and December 31, 2025, no securities were in a continuous net unrealized loss position for more than 12 months. As of June 30, 2026 and 2025, the Company has not recognized any impairment losses on available-for-sale investments.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BALANCE SHEET COMPONENTS</w:t>
      </w:r>
    </w:p>
    <w:p>
      <w:pPr>
        <w:pStyle w:val="TextBody"/>
        <w:bidi w:val="0"/>
        <w:spacing w:before="120" w:after="283"/>
        <w:ind w:left="490" w:right="0" w:hanging="0"/>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The following table presents the components of prepaid expenses and other current assets as of June 30, 2026 and December 31, 2025 (in thousands):</w:t>
      </w:r>
    </w:p>
    <w:tbl>
      <w:tblPr>
        <w:tblW w:w="7030" w:type="dxa"/>
        <w:jc w:val="left"/>
        <w:tblInd w:w="0" w:type="dxa"/>
        <w:tblLayout w:type="fixed"/>
        <w:tblCellMar>
          <w:top w:w="28" w:type="dxa"/>
          <w:left w:w="28" w:type="dxa"/>
          <w:bottom w:w="28" w:type="dxa"/>
          <w:right w:w="28" w:type="dxa"/>
        </w:tblCellMar>
      </w:tblPr>
      <w:tblGrid>
        <w:gridCol w:w="4131"/>
        <w:gridCol w:w="146"/>
        <w:gridCol w:w="218"/>
        <w:gridCol w:w="592"/>
        <w:gridCol w:w="146"/>
        <w:gridCol w:w="146"/>
        <w:gridCol w:w="339"/>
        <w:gridCol w:w="921"/>
        <w:gridCol w:w="391"/>
      </w:tblGrid>
      <w:tr>
        <w:trPr/>
        <w:tc>
          <w:tcPr>
            <w:tcW w:w="4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clinical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investment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ind w:left="0" w:right="0" w:firstLine="490"/>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0" w:after="120"/>
        <w:ind w:left="0" w:right="0" w:firstLine="490"/>
        <w:jc w:val="left"/>
        <w:rPr>
          <w:rFonts w:ascii="Times New Roman" w:hAnsi="Times New Roman"/>
          <w:color w:val="000000"/>
          <w:sz w:val="20"/>
        </w:rPr>
      </w:pPr>
      <w:r>
        <w:rPr>
          <w:rFonts w:ascii="Times New Roman" w:hAnsi="Times New Roman"/>
          <w:color w:val="000000"/>
          <w:sz w:val="20"/>
        </w:rPr>
        <w:t>The following table presents the components of property and equipment, net as of June 30, 2026 and December 31, 2025 (in thousands):</w:t>
      </w:r>
    </w:p>
    <w:tbl>
      <w:tblPr>
        <w:tblW w:w="5720" w:type="dxa"/>
        <w:jc w:val="left"/>
        <w:tblInd w:w="0" w:type="dxa"/>
        <w:tblLayout w:type="fixed"/>
        <w:tblCellMar>
          <w:top w:w="28" w:type="dxa"/>
          <w:left w:w="28" w:type="dxa"/>
          <w:bottom w:w="28" w:type="dxa"/>
          <w:right w:w="28" w:type="dxa"/>
        </w:tblCellMar>
      </w:tblPr>
      <w:tblGrid>
        <w:gridCol w:w="2781"/>
        <w:gridCol w:w="146"/>
        <w:gridCol w:w="218"/>
        <w:gridCol w:w="592"/>
        <w:gridCol w:w="166"/>
        <w:gridCol w:w="146"/>
        <w:gridCol w:w="314"/>
        <w:gridCol w:w="946"/>
        <w:gridCol w:w="41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hardware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Depreciation was $0.1 million and $0.2 million for the three months ended June 30, 2026 and 2025, respectively. Depreciation was $0.2 million and $0.4 million for the six months ended June 30, 2026 and 2025, respectively.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During the three months and six months ended June 30, 2026, the Company disposed of property and equipment, which consisted of laboratory equipment with a carrying amount of $0.4 million and leasehold improvements with a net carrying amount of $0.4 million, as a result of the Palo Alto lease termination (see Note 6 “Leases”). These disposals included sale of certain laboratory equipment for total proceeds of $0.2 million. For the three months and six months ended June 30, 2026, the Company incurred losses on disposal of fixed assets of $0.2 million. </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Other Assets</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 xml:space="preserve">The following table presents the components of other assets as of June 30, 2026 and December 31, 2025 (in thousands): </w:t>
      </w:r>
    </w:p>
    <w:tbl>
      <w:tblPr>
        <w:tblW w:w="6920" w:type="dxa"/>
        <w:jc w:val="left"/>
        <w:tblInd w:w="0" w:type="dxa"/>
        <w:tblLayout w:type="fixed"/>
        <w:tblCellMar>
          <w:top w:w="28" w:type="dxa"/>
          <w:left w:w="28" w:type="dxa"/>
          <w:bottom w:w="28" w:type="dxa"/>
          <w:right w:w="28" w:type="dxa"/>
        </w:tblCellMar>
      </w:tblPr>
      <w:tblGrid>
        <w:gridCol w:w="4021"/>
        <w:gridCol w:w="146"/>
        <w:gridCol w:w="218"/>
        <w:gridCol w:w="592"/>
        <w:gridCol w:w="146"/>
        <w:gridCol w:w="146"/>
        <w:gridCol w:w="339"/>
        <w:gridCol w:w="921"/>
        <w:gridCol w:w="3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prepaid 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prepaid contract manufacturing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The following table presents the components of accrued expenses and other current liabilities as of June 30, 2026 and December 31, 2025 (in thousands):</w:t>
      </w:r>
    </w:p>
    <w:tbl>
      <w:tblPr>
        <w:tblW w:w="7437" w:type="dxa"/>
        <w:jc w:val="left"/>
        <w:tblInd w:w="0" w:type="dxa"/>
        <w:tblLayout w:type="fixed"/>
        <w:tblCellMar>
          <w:top w:w="28" w:type="dxa"/>
          <w:left w:w="28" w:type="dxa"/>
          <w:bottom w:w="28" w:type="dxa"/>
          <w:right w:w="28" w:type="dxa"/>
        </w:tblCellMar>
      </w:tblPr>
      <w:tblGrid>
        <w:gridCol w:w="4461"/>
        <w:gridCol w:w="146"/>
        <w:gridCol w:w="211"/>
        <w:gridCol w:w="676"/>
        <w:gridCol w:w="146"/>
        <w:gridCol w:w="146"/>
        <w:gridCol w:w="299"/>
        <w:gridCol w:w="961"/>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and nonclinical study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contract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 LEASES</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South San Francisco Lease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May 2021, the Company entered into a lease agreement for approximately 10,000 square feet of office space located in South San Francisco, California. The lease commenced on June 6, 2021 and expires on August 31, 2026. The lease does not provide an option to extend after it expires. The total lease payments for the life of the lease are approximately $2.0 million. The Company classified the lease as an operating lease.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May 2026, the Company entered into the first amendment to the lease agreement for the office space located in South San Francisco, California, which extended the lease term by six months from September 1, 2026 to February 28, 2027. This lease modification increase total lease payments by $0.2 million. The Company continues to classify the lease as an operating lease.</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Palo Alto Lease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February 2022, the Company entered into a lease agreement totaling approximately 11,074 square feet of office and laboratory space located in Palo Alto, California. The lease consists of two premises and expires in February 2030. The lease provides for an option to extend for two years after expiration. The lease for one of the premises commenced in February 2022 and the lease for the second premises commenced in April 2022. The total lease payments for the life of the lease are approximately $6.9 million. The Company is also responsible for leasehold improvement costs related to the second premises, which totaled to $2.3 million, of which $1.5 million is to be paid with interest at a rate of 7% per annum as additional payments over the life of the lease. The Company classified the lease as an operating lease.</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Impairment of Long-Lived Assets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determined it operates in a single operating segment and has one reportable segment. The Company reviews for indicators of impairment on a quarterly basis, including changes in how its property is being used.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May 2025, the Company made a decision to sublease its leased property in Palo Alto. The Company determined that the change in how this building is being used could indicate impairment. The Company identified this to-be-sublet property as a separate asset group for purposes of long-lived asset impairment assessment. The Company concluded that the carrying value of this to-be-sublet property asset group was not recoverable and the estimated fair value of this asset group was below its carrying value. The Company applied a discounted cash flow method to estimate fair value of its right-of-use (ROU) asset and leasehold improvements. Based on this analysis, the Company concluded the fair value of the ROU asset and leasehold improvements of $1.5 million was lower than its net book value of $4.7 million. The Company recognized a pre-tax long-lived asset impairment charge of $3.2 million on the ROU asset and leasehold improvements in the second quarter of 2025.</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Lease Termination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May 2026, the Company entered into a lease termination agreement for the office and laboratory space located in Palo Alto, California. Pursuant to the lease termination agreement, the Company vacated the premises in June 2026 and paid total termination fees of $2.4 million, which included brokerage costs. Since the termination fees were not already included in the lease payments, the termination fees were recognized as a loss on lease termination. The Company derecognized operating lease liabilities of $3.8 million and operating lease assets of $1.3 million associated with the terminated lease, resulting in a gain of $2.5 million. The net impact is a gain on lease termination of $0.2 million, which was recorded within operating expense in the condensed consolidated statement of operations for the three and six months ended June 30, 2026.</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The following table presents the maturities and balance sheet information of the Company’s lease liabilities as of June 30, 2026 (in thousands, except lease term and discount rate):</w:t>
      </w:r>
    </w:p>
    <w:tbl>
      <w:tblPr>
        <w:tblW w:w="7540" w:type="dxa"/>
        <w:jc w:val="left"/>
        <w:tblInd w:w="0" w:type="dxa"/>
        <w:tblLayout w:type="fixed"/>
        <w:tblCellMar>
          <w:top w:w="28" w:type="dxa"/>
          <w:left w:w="28" w:type="dxa"/>
          <w:bottom w:w="28" w:type="dxa"/>
          <w:right w:w="28" w:type="dxa"/>
        </w:tblCellMar>
      </w:tblPr>
      <w:tblGrid>
        <w:gridCol w:w="4111"/>
        <w:gridCol w:w="146"/>
        <w:gridCol w:w="454"/>
        <w:gridCol w:w="911"/>
        <w:gridCol w:w="271"/>
        <w:gridCol w:w="146"/>
        <w:gridCol w:w="320"/>
        <w:gridCol w:w="865"/>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Lease liabilities: current </w:t>
            </w:r>
            <w:r>
              <w:rPr>
                <w:rFonts w:ascii="Times New Roman" w:hAnsi="Times New Roman"/>
                <w:color w:val="000000"/>
                <w:sz w:val="13"/>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Lease liabilities: non-current </w:t>
            </w:r>
            <w:r>
              <w:rPr>
                <w:rFonts w:ascii="Times New Roman" w:hAnsi="Times New Roman"/>
                <w:color w:val="000000"/>
                <w:sz w:val="13"/>
              </w:rPr>
              <w:t>(ii)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ind w:left="360" w:right="0" w:hanging="0"/>
        <w:jc w:val="left"/>
        <w:rPr>
          <w:rFonts w:ascii="Times New Roman" w:hAnsi="Times New Roman"/>
          <w:color w:val="000000"/>
          <w:sz w:val="18"/>
        </w:rPr>
      </w:pPr>
      <w:r>
        <w:rPr>
          <w:rFonts w:ascii="Times New Roman" w:hAnsi="Times New Roman"/>
          <w:color w:val="000000"/>
          <w:sz w:val="18"/>
        </w:rPr>
        <w:t>(i)</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Current lease liabilities are presented within accrued expenses and other current liabilities on the condensed consolidated balance sheets.</w:t>
      </w:r>
    </w:p>
    <w:p>
      <w:pPr>
        <w:pStyle w:val="TextBody"/>
        <w:bidi w:val="0"/>
        <w:spacing w:before="120" w:after="283"/>
        <w:ind w:left="360" w:right="0" w:hanging="0"/>
        <w:jc w:val="left"/>
        <w:rPr>
          <w:rFonts w:ascii="Times New Roman" w:hAnsi="Times New Roman"/>
          <w:color w:val="000000"/>
          <w:sz w:val="18"/>
        </w:rPr>
      </w:pPr>
      <w:r>
        <w:rPr>
          <w:rFonts w:ascii="Times New Roman" w:hAnsi="Times New Roman"/>
          <w:color w:val="000000"/>
          <w:sz w:val="18"/>
        </w:rPr>
        <w:t>(ii)</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Non-current lease liabilities are presented within other non-current liabilities on the condensed consolidated balance sheets.</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 xml:space="preserve">The following table presents the components of lease costs for the three months and six months ended June 30, 2026 and 2025 (in thousands): </w:t>
      </w:r>
    </w:p>
    <w:tbl>
      <w:tblPr>
        <w:tblW w:w="7670" w:type="dxa"/>
        <w:jc w:val="left"/>
        <w:tblInd w:w="0" w:type="dxa"/>
        <w:tblLayout w:type="fixed"/>
        <w:tblCellMar>
          <w:top w:w="28" w:type="dxa"/>
          <w:left w:w="28" w:type="dxa"/>
          <w:bottom w:w="28" w:type="dxa"/>
          <w:right w:w="28" w:type="dxa"/>
        </w:tblCellMar>
      </w:tblPr>
      <w:tblGrid>
        <w:gridCol w:w="3111"/>
        <w:gridCol w:w="146"/>
        <w:gridCol w:w="251"/>
        <w:gridCol w:w="501"/>
        <w:gridCol w:w="197"/>
        <w:gridCol w:w="173"/>
        <w:gridCol w:w="251"/>
        <w:gridCol w:w="501"/>
        <w:gridCol w:w="146"/>
        <w:gridCol w:w="146"/>
        <w:gridCol w:w="211"/>
        <w:gridCol w:w="571"/>
        <w:gridCol w:w="146"/>
        <w:gridCol w:w="146"/>
        <w:gridCol w:w="211"/>
        <w:gridCol w:w="571"/>
        <w:gridCol w:w="391"/>
      </w:tblGrid>
      <w:tr>
        <w:trPr/>
        <w:tc>
          <w:tcPr>
            <w:tcW w:w="3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Variable lease cost and other, net </w:t>
            </w:r>
            <w:r>
              <w:rPr>
                <w:rFonts w:ascii="Times New Roman" w:hAnsi="Times New Roman"/>
                <w:color w:val="000000"/>
                <w:sz w:val="13"/>
              </w:rP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ind w:left="360" w:right="0" w:hanging="0"/>
        <w:jc w:val="left"/>
        <w:rPr>
          <w:rFonts w:ascii="Times New Roman" w:hAnsi="Times New Roman"/>
          <w:color w:val="000000"/>
          <w:sz w:val="18"/>
        </w:rPr>
      </w:pPr>
      <w:r>
        <w:rPr>
          <w:rFonts w:ascii="Times New Roman" w:hAnsi="Times New Roman"/>
          <w:color w:val="000000"/>
          <w:sz w:val="18"/>
        </w:rPr>
        <w:t>(i)</w:t>
      </w:r>
    </w:p>
    <w:p>
      <w:pPr>
        <w:pStyle w:val="TextBody"/>
        <w:bidi w:val="0"/>
        <w:jc w:val="left"/>
        <w:rPr>
          <w:rFonts w:ascii="Times New Roman" w:hAnsi="Times New Roman"/>
          <w:color w:val="000000"/>
          <w:sz w:val="18"/>
        </w:rPr>
      </w:pPr>
      <w:r>
        <w:rPr>
          <w:rFonts w:ascii="Times New Roman" w:hAnsi="Times New Roman"/>
          <w:color w:val="000000"/>
          <w:sz w:val="18"/>
        </w:rPr>
        <w:t>The variable lease cost and other, net is comprised primarily of common area maintenance charges or refunds for the operating lease, which are dependent on usage. These costs are classified as operating lease expense due to the election to not separate lease and non-lease components. These costs were not included within the measurement of the Company’s operating lease right-of-use assets and operating lease liabilities.</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The following table presents the supplemental cash flow disclosures for cash paid for leases for the six months ended June 30, 2026 and 2025 (in thousands):</w:t>
      </w:r>
    </w:p>
    <w:tbl>
      <w:tblPr>
        <w:tblW w:w="8035" w:type="dxa"/>
        <w:jc w:val="left"/>
        <w:tblInd w:w="0" w:type="dxa"/>
        <w:tblLayout w:type="fixed"/>
        <w:tblCellMar>
          <w:top w:w="28" w:type="dxa"/>
          <w:left w:w="28" w:type="dxa"/>
          <w:bottom w:w="28" w:type="dxa"/>
          <w:right w:w="28" w:type="dxa"/>
        </w:tblCellMar>
      </w:tblPr>
      <w:tblGrid>
        <w:gridCol w:w="5866"/>
        <w:gridCol w:w="146"/>
        <w:gridCol w:w="221"/>
        <w:gridCol w:w="442"/>
        <w:gridCol w:w="153"/>
        <w:gridCol w:w="153"/>
        <w:gridCol w:w="221"/>
        <w:gridCol w:w="442"/>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 acquired under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(7) TERM LOAN</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Oxford Finance and Silicon Valley Bank Loan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October 2022, the Company entered into a loan and security agreement, as amended, the Oxford-SVB Loan Agreement, with Oxford Finance LLC, Oxford Finance Credit Fund II LP, and Silicon Valley Bank, or SVB, collectively the Oxford-SVB Lenders, for a secured term loan facility of up to $100.0 million. Pursuant to the Oxford-SVB Loan Agreement, the Company drew an initial loan of $10.0 million. Under the original terms of the Oxford-SVB Loan Agreement, the Company had the right to draw an additional $40.0 million through the end of December 2023. In December 2023, the original terms of the Oxford-SVB Loan Agreement were amended to extend the draw deadline to June 2024. The original terms of the Oxford-SVB Loan Agreement provided for an additional $50.0 million over three tranches, with $12.5 million available in each of two tranches based upon the achievement of milestones related to the development of evorpacept and one preclinical product candidate, and $25.0 million at the Oxford-SVB Lenders’ sole discretion. The Company decided not to draw down on any portion of the $40.0 million available under the Oxford-SVB Loan Agreement by the deadline of June 30, 2024 and did not achieve all of the requirements needed to gain access to each of the two tranches available upon the achievement of pre-determined development milestones by the deadline of December 31, 2024.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proceeds of the loans were permitted to be used by the Company for working capital and to fund its general business requirements.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During the three months ended June 30, 2026 and 2025, interest expense incurred in connection with the Oxford-SVB Loan Agreement was $0.2 million and $0.3 million, respectively. During the six months ended June 30, 2026 and 2025, interest expense incurred in connection with the Oxford-SVB Loan Agreement was $0.5 million and $0.7 million, respectively.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June 25, 2026, all outstanding principal, interest and other amounts owed under the Oxford-SVB Loan Agreement totaling to $8.2 million were paid off as part of a refinancing in connection with entry into the HSBC Loan Agreement. </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HSBC Loan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June 25, 2026, the Company’s wholly-owned subsidiary, ALX Oncology Inc. (the Borrower), entered into a loan and security agreement, the HSBC Loan Agreement, with HSBC Ventures USA Inc., or HSBC, the HSBC Lender, for a secured multi-tranche term loan facility of up to $50.0 million. Pursuant to the HSBC Loan Agreement, the Borrower drew an initial loan of $10.0 million at closing, the proceeds of which were used to refinance the existing Oxford-SVB Loan Agreement and to pay closing fees and expenses. Under the HSBC Loan Agreement, subject to the satisfaction of customary conditions, the Borrower has the right to draw an additional $20.0 million through June 30, 2028. The HSBC Loan Agreement provides for an additional $20.0 million over two tranches, with $10.0 million available upon the achievement of milestones related to the clinical development of evorpacept and ALX2004 and $10.0 million at the HSBC Lender’s sole discretion. The proceeds of the loans may be used by the Borrower for general corporate purposes.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term loans mature on June 1, 2030. The term loans will amortize in equal monthly installments beginning on July 1, 2028. However, upon the occurrence of the Interest Only Extension Event (as defined in the HSBC Loan Agreement), the term loans will begin to amortize in equal monthly installments beginning on July 1, 2029.</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term loans accrue interest at a floating per annum rate equal to the greater of (a) the Prime Rate (as defined in the HSBC Loan Agreement) and (b) 6.0%. Interest on the term loans is payable monthly in arrears. The term loans once repaid or prepaid may not be reborrowed. The term loans may be prepaid in full in their entirety at any time, subject to a prepayment fee. Upon the earlier of prepayment or maturity, the Company is required to pay a final payment fee of 2.0% of the original principal amount of funded term loans.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Borrower’s and the guarantors’ obligations under the HSBC Loan Agreement are secured by substantially all of the Borrower’s and the guarantors’ assets, with a negative pledge on intellectual property, and will be guaranteed by future subsidiaries of the Company, subject to certain limitations.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Borrower received net proceeds from issuance of the term loan of $9.7 million after deducting debt issuance costs of approximately $0.3 million. A portion of the net proceeds were used to refinance and pay off the existing Oxford-SVB Loan Agreement. Debt issuance costs were recorded as debt discount on the term loan, offsetting term loan, non-current on the condensed consolidated balance sheets. The debt discount will be amortized over the term of the loan as interest expense using the effective interest method. During the three months and six months ended June 30, 2026, interest expense incurred in connection with the HSBC Loan Agreement was a nominal amount.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As of June 30, 2026, the value of the embedded derivative is not material, but could become material in future periods if an event of default became more probable than is currently estimated. As of June 30, 2026, the Borrower and the guarantors were in compliance with all financial reporting covenants under the HSBC Loan Agreement.</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As of June 30, 2026, the future maturities under the HSBC Loan Agreement are as follows (in thousands):</w:t>
      </w:r>
    </w:p>
    <w:tbl>
      <w:tblPr>
        <w:tblW w:w="4813" w:type="dxa"/>
        <w:jc w:val="left"/>
        <w:tblInd w:w="0" w:type="dxa"/>
        <w:tblLayout w:type="fixed"/>
        <w:tblCellMar>
          <w:top w:w="28" w:type="dxa"/>
          <w:left w:w="28" w:type="dxa"/>
          <w:bottom w:w="28" w:type="dxa"/>
          <w:right w:w="28" w:type="dxa"/>
        </w:tblCellMar>
      </w:tblPr>
      <w:tblGrid>
        <w:gridCol w:w="3181"/>
        <w:gridCol w:w="146"/>
        <w:gridCol w:w="303"/>
        <w:gridCol w:w="972"/>
        <w:gridCol w:w="21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term loan,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unaccreted final payment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non-current,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(8) STOCKHOLDERS’ EQUITY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July 21, 2020, the Company’s amended and restated certificate of incorporation became effective, authorizing 1,000,000,000 shares of common stock, $0.001 par value per share, and 100,000,000 shares of undesignated preferred stock, $0.001 par value per share. As of June 30, 2026 and December 31, 2025, the Company had 138,216,247 and 54,388,022 shares of common stock outstanding, respectively, and no shares of undesignated preferred stock outstanding, respectively.</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February 2026, the Company completed a registered offering (the February 2026 Offering) and issued an aggregate of 76,979,112 shares of common stock at an offering price of $1.57 per share and, in lieu of common stock to certain investors, pre-funded warrants to purchase 18,574,120 shares of common stock at an offering price of $1.569 per pre-funded warrant. Net proceeds were approximately $140.4 million, after deducting underwriting discounts and commissions of $9.0 million and offering-related expenses of $0.6 million.</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Common stock reserved for future issuance as of June 30, 2026 consists of the following:</w:t>
      </w:r>
    </w:p>
    <w:tbl>
      <w:tblPr>
        <w:tblW w:w="7623" w:type="dxa"/>
        <w:jc w:val="left"/>
        <w:tblInd w:w="0" w:type="dxa"/>
        <w:tblLayout w:type="fixed"/>
        <w:tblCellMar>
          <w:top w:w="28" w:type="dxa"/>
          <w:left w:w="28" w:type="dxa"/>
          <w:bottom w:w="28" w:type="dxa"/>
          <w:right w:w="28" w:type="dxa"/>
        </w:tblCellMar>
      </w:tblPr>
      <w:tblGrid>
        <w:gridCol w:w="5611"/>
        <w:gridCol w:w="346"/>
        <w:gridCol w:w="157"/>
        <w:gridCol w:w="1118"/>
        <w:gridCol w:w="391"/>
      </w:tblGrid>
      <w:tr>
        <w:trPr/>
        <w:tc>
          <w:tcPr>
            <w:tcW w:w="56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15,900,181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(RSUs) issued and outstanding</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authorized for future issuance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2,494,055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shares authorized for future issuance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1,952,030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 issued and outstanding</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13,723,803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34,197,324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At-the-Market Equity Offering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December 2021, the Company entered into a sales agreement (as amended, Sales Agreement) with Cantor Fitzgerald &amp; Co. and Credit Suisse Securities (USA) LLC (Credit Suisse), under which it may offer and sell shares of the Company’s common stock, having aggregate gross proceeds of up to $150.0 million, from time to time through them as the Company’s sales agents in its at-the-market (ATM) equity offering program. In August 2023, the Company entered into an amendment to the Sales Agreement to include UBS Securities LLC as an additional sales agent and to remove Credit Suisse as a sales agent. As of June 30, 2026, the Company had issued approximately 3,183,109 shares of common stock pursuant to the Sales Agreement for net proceeds of $31.4 million. The Company may terminate this ATM program at any time, pursuant to its terms.</w:t>
      </w:r>
    </w:p>
    <w:p>
      <w:pPr>
        <w:pStyle w:val="TextBody"/>
        <w:bidi w:val="0"/>
        <w:spacing w:before="120" w:after="283"/>
        <w:ind w:left="0" w:right="0" w:firstLine="490"/>
        <w:jc w:val="left"/>
        <w:rPr>
          <w:rFonts w:ascii="Times New Roman" w:hAnsi="Times New Roman"/>
          <w:sz w:val="20"/>
        </w:rPr>
      </w:pPr>
      <w:r>
        <w:rPr>
          <w:rFonts w:ascii="Times New Roman" w:hAnsi="Times New Roman"/>
          <w:b/>
          <w:i/>
          <w:color w:val="000000"/>
          <w:sz w:val="20"/>
        </w:rPr>
        <w:t>Pre-Funded Warrants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October 2023, the Company completed a registered offering (the October 2023 Offering) pursuant to a shelf registration statement, which provides for aggregate offerings of up to $450.0 million of the Company’s securities. As part of the October 2023 Offering, the Company issued pre-funded warrants (2023 Pre-Funded Warrants) to certain investors to purchase 1,250,000 shares of common stock at an offering price of $6.379 per pre-funded warrant. Each pre-funded warrant entitles the holder to purchase one share of common stock at an exercise price of $0.001 per share. Additional information regarding the 2023 Pre-Funded Warrants is included in our notes to our consolidated financial statements in our Annual Report on Form 10-K for the fiscal year ended December 31, 2025, which was filed with the SEC on March 9, 2026. As of June 30, 2026, zero shares underlying the 2023 Pre-Funded Warrants have been exercised.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part of the February 2026 Offering, the Company issued pre-funded warrants (2026 Pre-Funded Warrants) to certain investors to purchase 18,574,120 shares of common stock at an offering price of $1.569 per pre-funded warrant. Each pre-funded warrant entitles the holder to purchase one share of common stock at an exercise price of $0.001 per share.</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2026 Pre-Funded Warrants were classified as equity and accounted for as a component of additional paid-in capital. These pre-funded warrants were classified as equity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these pre-funded warrants do not provide any guarantee of value or return. The Company valued the 2026 Pre-Funded Warrants at issuance, concluding that their offering price approximated their fair value, and allocated the aggregate net proceeds from the offering proportionately to the common stock and pre-funded warrants, including approximately $29.1 million allocated to the pre-funded warrants and recorded as a component of additional paid-in capital on the consolidated balance sheets.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2026 Pre-Funded Warrants are exercisable at any time after their original issuance. However, these pre-funded warrants include a separate provision whereby the exercisability of the pre-funded warrants may be limited if, upon exercise, the warrant holder (together with its affiliates) would beneficially own more than 4.99% or 9.99%, as applicable, of the Company’s common stock. This threshold is subject to each warrant holder’s rights under its pre-funded warrants to increase or decrease such percentage to any other percentage not in excess of 19.99% upon at least 61 days’ prior notice from such warrant holder to the Company. The pre-funded warrants do not have a stated expiration date and remain outstanding until exercised in full.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June 30, 2026, 6,100,317 shares underlying the 2026 Pre-Funded Warrants have been exercised.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The following table provides a summary of pre-funded warrants activity:</w:t>
      </w:r>
    </w:p>
    <w:tbl>
      <w:tblPr>
        <w:tblW w:w="5598" w:type="dxa"/>
        <w:jc w:val="left"/>
        <w:tblInd w:w="0" w:type="dxa"/>
        <w:tblLayout w:type="fixed"/>
        <w:tblCellMar>
          <w:top w:w="28" w:type="dxa"/>
          <w:left w:w="28" w:type="dxa"/>
          <w:bottom w:w="28" w:type="dxa"/>
          <w:right w:w="28" w:type="dxa"/>
        </w:tblCellMar>
      </w:tblPr>
      <w:tblGrid>
        <w:gridCol w:w="3166"/>
        <w:gridCol w:w="146"/>
        <w:gridCol w:w="231"/>
        <w:gridCol w:w="1644"/>
        <w:gridCol w:w="41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Warrants</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18,574,120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(6,100,317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13,723,803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Outstanding pre-funded warrants as of June 30, 2026 and 2025 consists of the following:</w:t>
      </w:r>
    </w:p>
    <w:tbl>
      <w:tblPr>
        <w:tblW w:w="5169" w:type="dxa"/>
        <w:jc w:val="left"/>
        <w:tblInd w:w="0" w:type="dxa"/>
        <w:tblLayout w:type="fixed"/>
        <w:tblCellMar>
          <w:top w:w="28" w:type="dxa"/>
          <w:left w:w="28" w:type="dxa"/>
          <w:bottom w:w="28" w:type="dxa"/>
          <w:right w:w="28" w:type="dxa"/>
        </w:tblCellMar>
      </w:tblPr>
      <w:tblGrid>
        <w:gridCol w:w="2281"/>
        <w:gridCol w:w="146"/>
        <w:gridCol w:w="146"/>
        <w:gridCol w:w="1036"/>
        <w:gridCol w:w="146"/>
        <w:gridCol w:w="146"/>
        <w:gridCol w:w="146"/>
        <w:gridCol w:w="931"/>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12,473,803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13,723,803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Outstanding pre-funded warrants are included in the weighted-average number of shares of common stock used to calculate basic net loss per share attributable to common stockholders (see Note 10 “Net Loss Per Share”).</w:t>
      </w:r>
    </w:p>
    <w:p>
      <w:pPr>
        <w:pStyle w:val="TextBody"/>
        <w:bidi w:val="0"/>
        <w:spacing w:before="360" w:after="283"/>
        <w:jc w:val="left"/>
        <w:rPr>
          <w:rFonts w:ascii="Times New Roman" w:hAnsi="Times New Roman"/>
          <w:sz w:val="20"/>
        </w:rPr>
      </w:pPr>
      <w:r>
        <w:rPr>
          <w:rFonts w:ascii="Times New Roman" w:hAnsi="Times New Roman"/>
          <w:b/>
          <w:color w:val="000000"/>
          <w:sz w:val="20"/>
        </w:rPr>
        <w:t>(9) STOCK-BASED COMPENSATION</w:t>
      </w:r>
      <w:r>
        <w:rPr>
          <w:rFonts w:ascii="Times New Roman" w:hAnsi="Times New Roman"/>
          <w:color w:val="000000"/>
          <w:sz w:val="20"/>
        </w:rPr>
        <w:t xml:space="preserve"> </w:t>
      </w:r>
    </w:p>
    <w:p>
      <w:pPr>
        <w:pStyle w:val="TextBody"/>
        <w:bidi w:val="0"/>
        <w:spacing w:before="120" w:after="283"/>
        <w:ind w:left="490" w:right="0" w:hanging="0"/>
        <w:jc w:val="left"/>
        <w:rPr>
          <w:rFonts w:ascii="Times New Roman" w:hAnsi="Times New Roman"/>
          <w:b/>
          <w:i/>
          <w:color w:val="000000"/>
          <w:sz w:val="20"/>
        </w:rPr>
      </w:pPr>
      <w:r>
        <w:rPr>
          <w:rFonts w:ascii="Times New Roman" w:hAnsi="Times New Roman"/>
          <w:b/>
          <w:i/>
          <w:color w:val="000000"/>
          <w:sz w:val="20"/>
        </w:rPr>
        <w:t>Equity Incentive Plans</w:t>
      </w:r>
    </w:p>
    <w:p>
      <w:pPr>
        <w:pStyle w:val="TextBody"/>
        <w:bidi w:val="0"/>
        <w:spacing w:before="120" w:after="283"/>
        <w:ind w:left="490" w:right="0" w:hanging="0"/>
        <w:jc w:val="left"/>
        <w:rPr>
          <w:rFonts w:ascii="Times New Roman" w:hAnsi="Times New Roman"/>
          <w:i/>
          <w:color w:val="000000"/>
          <w:sz w:val="20"/>
        </w:rPr>
      </w:pPr>
      <w:r>
        <w:rPr>
          <w:rFonts w:ascii="Times New Roman" w:hAnsi="Times New Roman"/>
          <w:i/>
          <w:color w:val="000000"/>
          <w:sz w:val="20"/>
        </w:rPr>
        <w:t>Amended and Restated 2020 Equity Incentive Plan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Amended and Restated 2020 Equity Incentive Plan, or the 2020 Plan, serves as the successor to the Company’s 2020 Equity Incentive Plan and provides for the granting of incentive stock options, non-statutory stock options, stock appreciation rights, restricted stock, restricted stock units, performance units and performance shares.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January 1, 2026, the number of shares available under the 2020 Plan was increased by 2,175,521 shares.</w:t>
      </w:r>
    </w:p>
    <w:p>
      <w:pPr>
        <w:pStyle w:val="TextBody"/>
        <w:bidi w:val="0"/>
        <w:spacing w:before="120" w:after="283"/>
        <w:ind w:left="490" w:right="0" w:hanging="0"/>
        <w:jc w:val="left"/>
        <w:rPr>
          <w:rFonts w:ascii="Times New Roman" w:hAnsi="Times New Roman"/>
          <w:i/>
          <w:color w:val="000000"/>
          <w:sz w:val="20"/>
        </w:rPr>
      </w:pPr>
      <w:r>
        <w:rPr>
          <w:rFonts w:ascii="Times New Roman" w:hAnsi="Times New Roman"/>
          <w:i/>
          <w:color w:val="000000"/>
          <w:sz w:val="20"/>
        </w:rPr>
        <w:t>2025 Inducement Equity Incentive Plan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January 2025, the Company adopted the 2025 Inducement Equity Incentive Plan, or the 2025 Plan. The 2025 Plan provides for the granting of equity-based awards, including non-statutory stock options, stock appreciation rights, restricted stock, restricted stock units, performance units and performance shares.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January 21, 2026, the number of shares available under the 2025 Plan was increased by 1,300,000 shares.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rFonts w:ascii="Times New Roman" w:hAnsi="Times New Roman"/>
          <w:b/>
          <w:i/>
          <w:color w:val="000000"/>
          <w:sz w:val="20"/>
        </w:rPr>
      </w:pPr>
      <w:r>
        <w:rPr>
          <w:rFonts w:ascii="Times New Roman" w:hAnsi="Times New Roman"/>
          <w:b/>
          <w:i/>
          <w:color w:val="000000"/>
          <w:sz w:val="20"/>
        </w:rPr>
        <w:t>Performance-Based Restricted Stock Units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February 2024, the Company granted 365,000 performance-based restricted stock units, or PSUs, to certain employees under the 2020 Plan. The PSUs are subject to both performance-based and service-based vesting conditions with a fair value based on the closing price of the underlying common stock on the date of grant. Each PSU is split into two tranches with each tranche having performance goals based on the achievement of pre-determined clinical milestones that result in the shares attributable to such tranche being eligible for vesting, subject to the service-based vesting condition. The service-based vesting condition is satisfied on the one-year anniversary of the performance achievement date for each tranche and is subject to the employee’s continuous service through such vesting date. Upon vesting, each PSU will automatically convert into one share of the Company’s common stock. If the performance condition for a tranche is not met by March 31, 2025, the shares attributable to such tranche will be forfeited.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determined that the performance conditions for one tranche of PSUs was achieved by the March 31, 2025 deadline. During the three months and six months ended June 30, 2026, the Company recognized compensation expense of zero and $0.1 million, respectively, related to this tranche of PSUs. During the three months and six months ended June 30, 2025, the Company recognized compensation expense of $0.1 million and $0.7 million, respectively, related to this tranche of PSUs. The performance conditions for the other tranche of PSUs was not achieved as of March 31, 2025, and therefore, these awards were forfeited. As of June 30, 2026, there were no PSUs outstanding and unvested. </w:t>
      </w:r>
    </w:p>
    <w:p>
      <w:pPr>
        <w:pStyle w:val="TextBody"/>
        <w:bidi w:val="0"/>
        <w:spacing w:before="120" w:after="283"/>
        <w:ind w:left="490" w:right="0" w:hanging="0"/>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Under the Company’s 2020 Employee Stock Purchase Plan, or the ESPP, eligible employees are entitled to purchase shares of common stock with accumulated payroll deductions.</w:t>
      </w:r>
    </w:p>
    <w:p>
      <w:pPr>
        <w:pStyle w:val="TextBody"/>
        <w:bidi w:val="0"/>
        <w:spacing w:before="120" w:after="283"/>
        <w:ind w:left="490" w:right="0" w:hanging="0"/>
        <w:jc w:val="left"/>
        <w:rPr>
          <w:rFonts w:ascii="Times New Roman" w:hAnsi="Times New Roman"/>
          <w:b/>
          <w:i/>
          <w:color w:val="000000"/>
          <w:sz w:val="20"/>
        </w:rPr>
      </w:pPr>
      <w:r>
        <w:rPr>
          <w:rFonts w:ascii="Times New Roman" w:hAnsi="Times New Roman"/>
          <w:b/>
          <w:i/>
          <w:color w:val="000000"/>
          <w:sz w:val="20"/>
        </w:rPr>
        <w:t>Stock-based Compensation Expenses</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Total stock-based compensation expense recognized in the condensed consolidated statements of operations was as follows (in thousands):</w:t>
      </w:r>
    </w:p>
    <w:tbl>
      <w:tblPr>
        <w:tblW w:w="6852"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571"/>
        <w:gridCol w:w="146"/>
        <w:gridCol w:w="146"/>
        <w:gridCol w:w="211"/>
        <w:gridCol w:w="571"/>
        <w:gridCol w:w="146"/>
        <w:gridCol w:w="146"/>
        <w:gridCol w:w="211"/>
        <w:gridCol w:w="571"/>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(10) NET LOSS PER SHARE</w:t>
      </w:r>
      <w:r>
        <w:rPr>
          <w:rFonts w:ascii="Times New Roman" w:hAnsi="Times New Roman"/>
          <w:color w:val="000000"/>
          <w:sz w:val="20"/>
        </w:rPr>
        <w:t xml:space="preserve">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The following table sets forth the computation of the basic and diluted net loss per share for the three months and six months ended June 30, 2026 and 2025 (in thousands, except share and per share data):</w:t>
      </w:r>
    </w:p>
    <w:tbl>
      <w:tblPr>
        <w:tblW w:w="10205" w:type="dxa"/>
        <w:jc w:val="left"/>
        <w:tblInd w:w="0" w:type="dxa"/>
        <w:tblLayout w:type="fixed"/>
        <w:tblCellMar>
          <w:top w:w="28" w:type="dxa"/>
          <w:left w:w="28" w:type="dxa"/>
          <w:bottom w:w="28" w:type="dxa"/>
          <w:right w:w="28" w:type="dxa"/>
        </w:tblCellMar>
      </w:tblPr>
      <w:tblGrid>
        <w:gridCol w:w="3534"/>
        <w:gridCol w:w="146"/>
        <w:gridCol w:w="211"/>
        <w:gridCol w:w="1141"/>
        <w:gridCol w:w="166"/>
        <w:gridCol w:w="146"/>
        <w:gridCol w:w="211"/>
        <w:gridCol w:w="1036"/>
        <w:gridCol w:w="166"/>
        <w:gridCol w:w="146"/>
        <w:gridCol w:w="211"/>
        <w:gridCol w:w="1141"/>
        <w:gridCol w:w="166"/>
        <w:gridCol w:w="146"/>
        <w:gridCol w:w="211"/>
        <w:gridCol w:w="1036"/>
        <w:gridCol w:w="391"/>
      </w:tblGrid>
      <w:tr>
        <w:trPr/>
        <w:tc>
          <w:tcPr>
            <w:tcW w:w="3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Weighted-average shares of common stock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135,639,684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53,445,631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120,097,125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54,031,176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weighted average shares of common shares outstanding includes pre-funded warrants to purchase 13,723,803 shares of common stock for the three months and six months ended June 30, 2026 and 1,250,000 shares of common stock for the three months and six months ended June 30,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Since the Company was in a loss position for all periods presented, basic net loss per share is the same as diluted net loss per share for all periods presented as the inclusion of all potential common stock outstanding would have been anti-dilutive.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The following outstanding potentially dilutive securities were excluded from the computation of diluted net loss per share for the three months and six months ended June 30, 2026 and 2025 because including them would have been anti-dilutive:</w:t>
      </w:r>
    </w:p>
    <w:tbl>
      <w:tblPr>
        <w:tblW w:w="7212" w:type="dxa"/>
        <w:jc w:val="left"/>
        <w:tblInd w:w="0" w:type="dxa"/>
        <w:tblLayout w:type="fixed"/>
        <w:tblCellMar>
          <w:top w:w="28" w:type="dxa"/>
          <w:left w:w="28" w:type="dxa"/>
          <w:bottom w:w="28" w:type="dxa"/>
          <w:right w:w="28" w:type="dxa"/>
        </w:tblCellMar>
      </w:tblPr>
      <w:tblGrid>
        <w:gridCol w:w="3451"/>
        <w:gridCol w:w="146"/>
        <w:gridCol w:w="177"/>
        <w:gridCol w:w="1258"/>
        <w:gridCol w:w="177"/>
        <w:gridCol w:w="177"/>
        <w:gridCol w:w="177"/>
        <w:gridCol w:w="1258"/>
        <w:gridCol w:w="3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and 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15,900,181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12,786,569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127,255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69,750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2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16,027,436</w:t>
            </w:r>
          </w:p>
        </w:tc>
        <w:tc>
          <w:tcPr>
            <w:tcW w:w="17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2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13,273,996</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(11) COMMITMENTS AND CONTINGENCIES</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Guarantees and Indemnifications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June 30, 2026.</w:t>
      </w:r>
    </w:p>
    <w:p>
      <w:pPr>
        <w:pStyle w:val="TextBody"/>
        <w:bidi w:val="0"/>
        <w:spacing w:before="120" w:after="283"/>
        <w:ind w:left="490" w:right="0" w:hanging="0"/>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As of June 30, 2026, the Company had no pending or threatened litigation.</w:t>
      </w:r>
    </w:p>
    <w:p>
      <w:pPr>
        <w:pStyle w:val="TextBody"/>
        <w:bidi w:val="0"/>
        <w:spacing w:before="120" w:after="283"/>
        <w:ind w:left="0" w:right="0" w:firstLine="490"/>
        <w:jc w:val="left"/>
        <w:rPr>
          <w:rFonts w:ascii="Times New Roman" w:hAnsi="Times New Roman"/>
          <w:b/>
          <w:i/>
          <w:color w:val="000000"/>
          <w:sz w:val="20"/>
        </w:rPr>
      </w:pPr>
      <w:r>
        <w:rPr>
          <w:rFonts w:ascii="Times New Roman" w:hAnsi="Times New Roman"/>
          <w:b/>
          <w:i/>
          <w:color w:val="000000"/>
          <w:sz w:val="20"/>
        </w:rPr>
        <w:t>Other Contractual Obligations and Other Commitments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other contractual obligations and other commitments from manufacturing and service contracts, which are presented as follows as of June 30, 2026 (in thousands):</w:t>
      </w:r>
    </w:p>
    <w:p>
      <w:pPr>
        <w:pStyle w:val="TextBody"/>
        <w:bidi w:val="0"/>
        <w:spacing w:before="120" w:after="283"/>
        <w:ind w:left="0" w:right="0" w:firstLine="490"/>
        <w:jc w:val="left"/>
        <w:rPr/>
      </w:pPr>
      <w:r>
        <w:rPr/>
        <w:t> </w:t>
      </w:r>
    </w:p>
    <w:tbl>
      <w:tblPr>
        <w:tblW w:w="10205" w:type="dxa"/>
        <w:jc w:val="left"/>
        <w:tblInd w:w="0" w:type="dxa"/>
        <w:tblLayout w:type="fixed"/>
        <w:tblCellMar>
          <w:top w:w="28" w:type="dxa"/>
          <w:left w:w="28" w:type="dxa"/>
          <w:bottom w:w="28" w:type="dxa"/>
          <w:right w:w="28" w:type="dxa"/>
        </w:tblCellMar>
      </w:tblPr>
      <w:tblGrid>
        <w:gridCol w:w="2857"/>
        <w:gridCol w:w="146"/>
        <w:gridCol w:w="211"/>
        <w:gridCol w:w="571"/>
        <w:gridCol w:w="146"/>
        <w:gridCol w:w="146"/>
        <w:gridCol w:w="519"/>
        <w:gridCol w:w="1409"/>
        <w:gridCol w:w="146"/>
        <w:gridCol w:w="146"/>
        <w:gridCol w:w="319"/>
        <w:gridCol w:w="638"/>
        <w:gridCol w:w="146"/>
        <w:gridCol w:w="146"/>
        <w:gridCol w:w="359"/>
        <w:gridCol w:w="593"/>
        <w:gridCol w:w="146"/>
        <w:gridCol w:w="146"/>
        <w:gridCol w:w="386"/>
        <w:gridCol w:w="635"/>
        <w:gridCol w:w="394"/>
      </w:tblGrid>
      <w:tr>
        <w:trPr/>
        <w:tc>
          <w:tcPr>
            <w:tcW w:w="2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0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br/>
              <w:t>(remaining six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2027-2028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2029-2030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Thereafter</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and service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5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November 2015, the Company entered into a Master Service Agreement, or the MSA, with KBI Biopharma, Inc. relating to formulation development, process development and current good manufacturing practices, or cGMP, manufacturing of evorpacept for use in clinical trials on a project basis. The MSA had an initial term of three years with successive one-year renewal periods, which was extended an additional eight years until November 2026, is cancellable upon notice and is non-exclusive. Statements of work under the MSA commit the Company to certain future purchase obligations of approximately $0.5 million. In addition, the Company has commitments with two other pharmaceutical contract manufacturers and suppliers, including certain future purchase obligations of approximately $1.5 million. These amounts are based on non-cancellable commitments and forecasts that include estimates of future market demand, quantity discounts and manufacturing efficiencies that may impact timing of purchases.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the Company’s service providers, up to the date of cancellation.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SUBSEQUENT EVENTS</w:t>
      </w:r>
    </w:p>
    <w:p>
      <w:pPr>
        <w:pStyle w:val="TextBody"/>
        <w:bidi w:val="0"/>
        <w:spacing w:before="120" w:after="283"/>
        <w:ind w:left="0" w:right="0" w:firstLine="461"/>
        <w:jc w:val="left"/>
        <w:rPr>
          <w:rFonts w:ascii="Times New Roman" w:hAnsi="Times New Roman"/>
          <w:color w:val="000000"/>
          <w:sz w:val="20"/>
        </w:rPr>
      </w:pPr>
      <w:r>
        <w:rPr>
          <w:rFonts w:ascii="Times New Roman" w:hAnsi="Times New Roman"/>
          <w:color w:val="000000"/>
          <w:sz w:val="20"/>
        </w:rPr>
        <w:t>In preparing the consolidated financial statements as of June 30, 2026, the Company evaluated subsequent events for recognition and measurement purposes through the filing date of this Quarterly Report on Form 10-Q. The Company concluded that no events or transactions have occurred that require disclosure in the accompanying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part1_item2_mda"/>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You should read the following discussion of our financial condition and results of operations together with our unaudited condensed consolidated financial statements and related notes included elsewhere in this Quarterly Report on Form 10-Q. Some of the information contained in this discussion and analysis,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Quarterly Report on Form 10-Q.</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a clinical-stage biotechnology company advancing a pipeline of novel therapies designed to treat cancer and extend patients’ lives. Our clinical pipeline includes two clinical-stage product candidates, the CD47 blocker evorpacept and an epidermal growth factor receptor (EGFR)-targeted antibody drug candidate (ADC) ALX2004. Our lead product candidate, evorpacept, has demonstrated potential to serve as a cornerstone therapy upon which the future of immuno-oncology can be built. Evorpacept is currently being evaluated in combination with trastuzumab and chemotherapy in patients with metastatic HER2-positive breast cancer in the Phase 2 ASPEN-09-Breast clinical trial and is also being studied in clinical trials with other targeted anti-cancer antibodies. Cancer cells leverage CD47, a cell surface protein, as a “don’t eat me” signal to evade macrophage phagocytosis. We are developing evorpacept to be a next-generation checkpoint inhibitor designed to have a high affinity for CD47 and to avoid the limitations caused by hematologic toxicities inherent in other CD47 blocking approaches. Our second pipeline candidate, ALX2004, is a novel EGFR-targeted antibody-drug conjugate with a differentiated design and entered into a Phase 1 clinical trial in August 2025.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Evorpacept is a next-generation CD47 blocking therapeutic that we believe has significantly enhanced properties compared to competing CD47 blocking approaches. Evorpacept is a fusion protein that combines a high-affinity CD47 binding domain with a proprietary inactivated Fc domain. The CD47 binding domain of evorpacept is an affinity enhanced extracellular domain of SIRPα, a protein found on myeloid cells such as macrophages, that is the natural receptor to CD47. We have engineered the Fc domain of evorpacept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CD47-expressing cells in addition to cancer cells.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Evorpacept’s design has several additional advantages that we believe will make it broadly applicable to treating a number of oncology indications. Due to the inactive Fc, evorpacept is specifically designed for use in combination with other anti-cancer agents that provide a positive immune-stimulating signal. We believe evorpacept has a favorable tolerability profile that may enable higher dosing levels, increased tumor penetration, and greater combination potential with other leading anti-cancer agents.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focused on evorpacept development with the standard-of-care agents that provide a stimulatory signal to the innate immune system. We are combining evorpacept with anti-cancer targeted antibodies with an active Fc domain, where evorpacept enables the Fc-mediated antibody dependent phagocytosis that is impaired by the expression of CD47 on cancer cells.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Data from the randomized ASPEN-06 Phase 2 clinical trial supports the clinical validation of this mechanism of action. ASPEN-06 evaluated the contribution of evorpacept to HERCEPTIN</w:t>
      </w:r>
      <w:r>
        <w:rPr>
          <w:rFonts w:ascii="Times New Roman" w:hAnsi="Times New Roman"/>
          <w:color w:val="000000"/>
          <w:sz w:val="13"/>
        </w:rPr>
        <w:t xml:space="preserve">® </w:t>
      </w:r>
      <w:r>
        <w:rPr>
          <w:rFonts w:ascii="Times New Roman" w:hAnsi="Times New Roman"/>
          <w:color w:val="000000"/>
          <w:sz w:val="20"/>
        </w:rPr>
        <w:t>(trastuzumab) plus standard of care (CYRAMZA</w:t>
      </w:r>
      <w:r>
        <w:rPr>
          <w:rFonts w:ascii="Times New Roman" w:hAnsi="Times New Roman"/>
          <w:color w:val="000000"/>
          <w:sz w:val="13"/>
        </w:rPr>
        <w:t>®</w:t>
      </w:r>
      <w:r>
        <w:rPr>
          <w:rFonts w:ascii="Times New Roman" w:hAnsi="Times New Roman"/>
          <w:color w:val="000000"/>
          <w:sz w:val="20"/>
        </w:rPr>
        <w:t xml:space="preserve"> (ramucirumab) + paclitaxel) (Evo-TRP), versus trastuzumab, ramucirumab, and paclitaxel (TRP) in second line or later human epidermal growth factor receptor 2 (HER2)-positive gastric/gastroesophageal junction (GEJ) cancer, where all patients had received an anti-HER2 agent in prior lines of therapy. The full data set was previously presented. Results from a pre-planned exploratory analysis were presented at the Society for Immunotherapy of Cancer (SITC) Annual Meeting: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 pre-planned exploratory analysis of the ASPEN-06 clinical trial in gastric cancer, CD47 overexpression was identified as a key predictive biomarker for response and durable benefit in patients with retained HER2 expression. Retained HER2 expression is defined as patients who are HER2 positive on a tumor biopsy after receiving a HER2-targeted treatment or by HER2 amplification by circulating tumor DNA (ctDNA). The data was highlighted as part of a poster presentation at the SITC Annual Meeting in November 2025.</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patients with retained HER2-positive and CD47-high gastric cancer (n=43), Evo-TRP had a 65.0% objective response rate (ORR) versus 26.1% ORR for TRP, while patients with retained HER2-positive and CD47-low gastric cancer (n=47), Evo-TRP had a 37.5% ORR compared to 26.1% ORR for TRP.</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duration of response (DOR) was three times longer in the Evo-TRP arm relative to TRP in these patients. Evo-TRP had a median DOR (mDOR) of 25.5 months versus 8.4 months mDOR for TRP, while patients with retained HER2-positive and CD47-low gastric cancer, had an mDOR of 11.2 months for Evo-TRP compared to 12 months for TRP. Progression free survival (PFS) and overall survival (OS) data were evaluated in these patients. Treatment with Evo-TRP resulted in a median PFS (mPFS) of 18.4 months versus 7.0 months for TRP, hazard ratio (HR) of 0.39. Treatment with Evo-TRP resulted in a median OS (mOS) of 17 months versus 9.9 months for TRP, HR of 0.70.</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Evorpacept has been combined in clinical trials with multiple anti-cancer antibodies in addition to trastuzumab including the CD20-targeted antibody rituximab, the CD38-targeted antibody isatuximab-</w:t>
      </w:r>
      <w:r>
        <w:rPr>
          <w:rFonts w:ascii="Times New Roman" w:hAnsi="Times New Roman"/>
          <w:i/>
          <w:color w:val="000000"/>
          <w:sz w:val="20"/>
        </w:rPr>
        <w:t>irfc</w:t>
      </w:r>
      <w:r>
        <w:rPr>
          <w:rFonts w:ascii="Times New Roman" w:hAnsi="Times New Roman"/>
          <w:color w:val="000000"/>
          <w:sz w:val="20"/>
        </w:rPr>
        <w:t>, and the HER2-targeted bispecific antibody zanidatamab. Our earlier ASPEN-01 Phase 1 positive data in combination with rituximab in non-Hodgkin lymphoma (NHL); the Phase 1/2 investigator-sponsored trial (IST) of evorpacept in combination with rituximab and lenalidomide in patients with relapsed refractory B-cell NHL (R/R B-NHL) and subsequently, in patients with newly diagnosed indolent B-cell NHL; and the Phase 1b/2 trial of evorpacept with zanidatamab in patients with HER2-positive breast cancer provide additional support for the clinical validation of this mechanism of action and support exploring combinations of evorpacept with other anti-cancer antibodies.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second product candidate is ALX2004, a novel EGFR-targeted ADC. ALX2004 was created from our proprietary linker-payload library and fully designed and developed in-house by our scientists. ALX2004 comprises a matuzumab-derived affinity-selected EGFR antibody backbone engineered for optimal activity as an ADC, a proprietary topoisomerase I inhibitor payload with enhanced bystander effect, and a linker with enhanced stability. EGFR is clinically validated as a therapeutic target with several U.S. Food and Drug Administration (FDA)-approved targeted antibodies and small molecules. However, there are currently no approved EGFR-targeted ADCs and early-generation attempts to develop EGFR-targeted ADCs were limited by drug design, on-target off-tumor toxicities and toxicity of older generation payloads.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engaged in the following clinical programs, collaborations, and investigator-sponsored trials:</w:t>
      </w:r>
    </w:p>
    <w:p>
      <w:pPr>
        <w:pStyle w:val="TextBody"/>
        <w:bidi w:val="0"/>
        <w:spacing w:before="180" w:after="120"/>
        <w:jc w:val="left"/>
        <w:rPr>
          <w:rFonts w:ascii="Times New Roman" w:hAnsi="Times New Roman"/>
          <w:b/>
          <w:i/>
          <w:color w:val="000000"/>
          <w:sz w:val="20"/>
        </w:rPr>
      </w:pPr>
      <w:r>
        <w:rPr>
          <w:rFonts w:ascii="Times New Roman" w:hAnsi="Times New Roman"/>
          <w:b/>
          <w:i/>
          <w:color w:val="000000"/>
          <w:sz w:val="20"/>
        </w:rPr>
        <w:t>Evorpacept</w:t>
      </w:r>
    </w:p>
    <w:p>
      <w:pPr>
        <w:pStyle w:val="TextBody"/>
        <w:bidi w:val="0"/>
        <w:ind w:left="490" w:right="0" w:hanging="0"/>
        <w:jc w:val="left"/>
        <w:rPr>
          <w:rFonts w:ascii="Times New Roman" w:hAnsi="Times New Roman"/>
          <w:i/>
          <w:color w:val="000000"/>
          <w:sz w:val="20"/>
        </w:rPr>
      </w:pPr>
      <w:r>
        <w:rPr>
          <w:rFonts w:ascii="Times New Roman" w:hAnsi="Times New Roman"/>
          <w:i/>
          <w:color w:val="000000"/>
          <w:sz w:val="20"/>
        </w:rPr>
        <w:t>Combination with the HER2-targeted antibody trastuzumab</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ASPEN-09-Breast – HER2+ Breast Cancer</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2025, we announced intent to initiate a randomized Phase 2 clinical trial evaluating evorpacept in combination with trastuzumab and chemotherapy for the treatment of patients with HER2-positive metastatic breast cancer after prior treatment with fam-trastuzumab deruxtecan-nxki.</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August 2025, we announced that based on the magnitude of benefit in patients with high CD47 expression in HER2-positive gastric cancer, the ASPEN-09-Breast study in HER2-positive breast cancer evaluating evorpacept in combination with trastuzumab and chemotherapy has been amended to a single-arm design and will be evaluated by CD47 expression.</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2026, we announced that the first patient had been dosed in the trial.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ASPEN-06 – Gastric/GEJ Cancer</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2022, we announced the dosing of the first patient in the multi-center, international ASPEN-06 trial, a randomized Phase 2/3 trial of evorpacept in combination with trastuzumab, ramucirumab and paclitaxel for the treatment of second- and third-line advanced HER2-overexpressing gastric/GEJ cancer, where all patients had received an anti-HER2 agent in prior lines of therapy.</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July 2024, we announced the topline data from our ASPEN-06 Phase 2 clinical trial. This topline data reported results from 127 randomized patients with second and third line gastric/GEJ cancer and was generally well-balanced across arms based on prespecified stratification factors including line of therapy, prior ENHERTU</w:t>
      </w:r>
      <w:r>
        <w:rPr>
          <w:rFonts w:ascii="Times New Roman" w:hAnsi="Times New Roman"/>
          <w:color w:val="000000"/>
          <w:sz w:val="13"/>
        </w:rPr>
        <w:t>®</w:t>
      </w:r>
      <w:r>
        <w:rPr>
          <w:color w:val="000000"/>
        </w:rPr>
        <w:t xml:space="preserve"> </w:t>
      </w:r>
      <w:r>
        <w:rPr>
          <w:rFonts w:ascii="Times New Roman" w:hAnsi="Times New Roman"/>
          <w:color w:val="000000"/>
          <w:sz w:val="20"/>
        </w:rPr>
        <w:t>use, Asia region, tumor location (GC or GEJ), HER2 expression level, and having HER2-positive disease based upon a tissue biopsy after anti-HER2 treatment. A confirmed ORR of 40.3% was demonstrated for the Evo-TRP treatment arm compared to 26.6% for the TRP control arm. The mDOR was 15.7 months for the Evo-TRP treatment arm and 7.6 months for the TRP control arm in the full trial population. In patients with fresh HER2-positive biopsies (n=48), Evo-TRP demonstrated an ORR of 54.8% compared to 23.1% for the TRP control.</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2025, we presented updated results from the ASPEN-06 Phase 2 clinical trial in an oral presentation at the 2025 American Society of Clinical Oncology Gastrointestinal Cancers Symposium. A confirmed ORR of 41.3% was demonstrated for the Evo-TRP treatment arm compared to 26.6% for the TRP control arm in the intent-to-treat patient population. In patients with confirmed HER2-positive expression as determined by either fresh biopsy or ctDNA HER2-positivity (n=96), the addition of evorpacept to TRP resulted in a 48.9% ORR, an mDOR of 15.7 months and mPFS of 7.5 months, compared to a 24.5% ORR, an mDOR of 9.1 months and mPFS of 6.7 months in the TRP control group, with a PFS HR of 0.64.</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November 2025, we presented a pre-planned exploratory analysis of the ASPEN-06 clinical trial in gastric cancer in which CD47 overexpression was identified as a key predictive biomarker for response and durable benefit in patients with retained HER2 expression. </w:t>
      </w:r>
    </w:p>
    <w:p>
      <w:pPr>
        <w:pStyle w:val="TextBody"/>
        <w:bidi w:val="0"/>
        <w:spacing w:before="40" w:after="283"/>
        <w:ind w:left="1728" w:right="0" w:hanging="0"/>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patients with retained HER2-positive and CD47-high gastric cancer (n=43), Evo-TRP had a 65.0% ORR versus 26.1% ORR for TRP, while patients with retained HER2-positive and CD47-low gastric cancer (n=47), Evo-TRP had a 37.5% ORR compared to 26.1% ORR for TRP.</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ind w:left="1728" w:right="0" w:hanging="0"/>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DOR was three times longer in the Evo-TRP arm relative to TRP in these patients. Evo-TRP had an mDOR of 25.5 months versus 8.4 months mDOR for TRP, while patients with retained HER2-positive and CD47-low gastric cancer, had an mDOR of 11.2 months for Evo-TRP compared to 12 months for TRP. PFS and OS data were evaluated in these patients. Treatment with Evo-TRP resulted in an mPFS of 18.4 months versus 7.0 months for TRP, HR of 0.39. Treatment with Evo-TRP resulted in an mOS of 17 months versus 9.9 months for TRP, HR of 0.70.</w:t>
      </w:r>
    </w:p>
    <w:p>
      <w:pPr>
        <w:pStyle w:val="TextBody"/>
        <w:bidi w:val="0"/>
        <w:spacing w:before="180" w:after="283"/>
        <w:ind w:left="490" w:right="0" w:hanging="0"/>
        <w:jc w:val="left"/>
        <w:rPr>
          <w:rFonts w:ascii="Times New Roman" w:hAnsi="Times New Roman"/>
          <w:i/>
          <w:color w:val="000000"/>
          <w:sz w:val="20"/>
        </w:rPr>
      </w:pPr>
      <w:r>
        <w:rPr>
          <w:rFonts w:ascii="Times New Roman" w:hAnsi="Times New Roman"/>
          <w:i/>
          <w:color w:val="000000"/>
          <w:sz w:val="20"/>
        </w:rPr>
        <w:t>Combination with the EGFR-targeted antibody cetuximab</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ASPEN-CRC – Colorectal Cancer (CRC)</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2025, we announced intent to initiate a Phase 1b study evaluating evorpacept in combination with the EGFR-targeted antibody cetuximab and FOLFIRI for the treatment of patients with second-line metastatic CRC.</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August 2025, we streamlined evorpacept development program to focus our resources on the ASPEN-09-Breast trial and paused the ASPEN-CRC study announced earlier in March 2025.</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Collaborations and Investigator-Sponsored Trials</w:t>
      </w:r>
    </w:p>
    <w:p>
      <w:pPr>
        <w:pStyle w:val="TextBody"/>
        <w:bidi w:val="0"/>
        <w:spacing w:before="120" w:after="283"/>
        <w:ind w:left="490" w:right="0" w:hanging="0"/>
        <w:jc w:val="left"/>
        <w:rPr>
          <w:rFonts w:ascii="Times New Roman" w:hAnsi="Times New Roman"/>
          <w:i/>
          <w:color w:val="000000"/>
          <w:sz w:val="20"/>
        </w:rPr>
      </w:pPr>
      <w:r>
        <w:rPr>
          <w:rFonts w:ascii="Times New Roman" w:hAnsi="Times New Roman"/>
          <w:i/>
          <w:color w:val="000000"/>
          <w:sz w:val="20"/>
        </w:rPr>
        <w:t>Combination with the HER2-targeted bispecific, zanidatamab, and HER2-targeted ADC, fam-trastuzumab deruxtecan-nxki</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Jazz Pharmaceuticals plc – Breast Cancer</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collaborator, Jazz Pharmaceuticals plc (Jazz), sponsored and managed the Phase 1b/2 trial of zanidatamab, a HER2-targeted anti-cancer antibody, for the treatment of advanced HER2-expressing breast cancer and other solid tumors in combination with evorpacept (Zanidatamab Trial). We announced the dosing of the first patient in this trial in October 2021.</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initial collaborator for the Zanidatamab Trial was Zymeworks Inc. (Zymeworks), however in a series of transactions commencing in October 2022, Jazz assumed responsibility from Zymeworks for the development and commercialization of zanidatamab in the United States, Europe, Japan and certain other territories, including responsibility for the Zanidatamab Trial.</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December 2024, Phase 1b/2 data were presented in a poster presentation at the 2024 San Antonio Breast Cancer Symposium (SABCS). The SABCS poster presentation data-cut reported on efficacy findings from all three of the part-two trial cohorts: Cohort 1 (n=21) consisted of patients with HER2-positive breast cancer who had received prior ENHERTU and also a median of six prior systemic therapies in the metastatic setting. Patients were enrolled based on local assessment of tumor samples or central assessment. Of the 21 patients enrolled in Cohort 1, nine were found to be HER2-positive based on central assessment. Cohort 2 (n=15) consisted of patients with HER2-low breast cancer who had received a median of five prior systemic therapies. Cohort 3 (n=8) consisted of patients with other HER2-expressing cancers. Patients in Cohort 1 who were HER2-positive by central assessment (n=9) showed the greatest anti-tumor activity with a confirmed ORR of 55.6% and an mPFS of 7.4 months. Overall, patients in Cohort 1 (n=21) had a confirmed ORR and mPFS of 33.3% and 3.6 months, respectively. Patients in Cohort 2 had a confirmed ORR and mPFS of 20.0% and 1.9 months, respectively. As of the August 2024 data cutoff, median follow-up was 9.6 months, with six patients still on treatment. The mDOR was not reached for Cohort 1 patients (range: 3.6-25.9 months) and was 5.5 months for Cohort 2 patients (range: 3.6-11.0 months), with responses ongoing, including the longest observed response, in each cohort. The combination therapy was well tolerated with a manageable safety profile that was consistent with prior experience of each agent.</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May 2026, exploratory biomarker analyses were presented at the ESMO Breast Cancer 2026 meeting. The exploratory analyses comprised 24 patients, including 10 with centrally confirmed HER2-positive (ccHER2-positive) disease. Seventeen of 24 samples were evaluable for CD47 expression, including samples from nine of the 10 ccHER2-positive patients. Patients received zanidatamab plus evorpacept at dosages of 20 mg/kg (n=3) or 30 mg/kg (n=21). As of the August 1, 2024 data cut-off, key findings from the analyses include:</w:t>
      </w:r>
    </w:p>
    <w:p>
      <w:pPr>
        <w:pStyle w:val="TextBody"/>
        <w:bidi w:val="0"/>
        <w:spacing w:before="40" w:after="283"/>
        <w:ind w:left="1728" w:right="0" w:hanging="0"/>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confirmed objective response rate (cORR) among all 24 patients was 33% and the mPFS was 3.6 months.</w:t>
      </w:r>
    </w:p>
    <w:p>
      <w:pPr>
        <w:pStyle w:val="TextBody"/>
        <w:bidi w:val="0"/>
        <w:spacing w:before="40" w:after="283"/>
        <w:ind w:left="1728" w:right="0" w:hanging="0"/>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Patients with ccHER2-positive disease (n=10) had higher response rates, with a cORR of 60% and mPFS of 8.3 months.</w:t>
      </w:r>
    </w:p>
    <w:p>
      <w:pPr>
        <w:pStyle w:val="TextBody"/>
        <w:bidi w:val="0"/>
        <w:spacing w:before="40" w:after="283"/>
        <w:ind w:left="1728" w:right="0" w:hanging="0"/>
        <w:jc w:val="left"/>
        <w:rPr>
          <w:color w:val="000000"/>
        </w:rPr>
      </w:pPr>
      <w:r>
        <w:rPr>
          <w:color w:val="000000"/>
        </w:rPr>
        <w:t>▪</w:t>
      </w:r>
    </w:p>
    <w:p>
      <w:pPr>
        <w:pStyle w:val="TextBody"/>
        <w:bidi w:val="0"/>
        <w:spacing w:before="40" w:after="283"/>
        <w:jc w:val="left"/>
        <w:rPr/>
      </w:pPr>
      <w:r>
        <w:rPr>
          <w:rFonts w:ascii="Times New Roman" w:hAnsi="Times New Roman"/>
          <w:color w:val="000000"/>
          <w:sz w:val="20"/>
        </w:rPr>
        <w:t xml:space="preserve">All of the patients (n=5/5) with ccHER2-positive disease and high CD47 expression (defined as total membrane staining of </w:t>
      </w:r>
      <w:r>
        <w:rPr>
          <w:rFonts w:ascii="Times New Roman" w:hAnsi="Times New Roman"/>
          <w:color w:val="000000"/>
          <w:sz w:val="20"/>
          <w:u w:val="single"/>
        </w:rPr>
        <w:t>&gt;</w:t>
      </w:r>
      <w:r>
        <w:rPr>
          <w:rFonts w:ascii="Times New Roman" w:hAnsi="Times New Roman"/>
          <w:color w:val="000000"/>
          <w:sz w:val="20"/>
        </w:rPr>
        <w:t>20%) responded (including one complete response and four partial responses), with an mDOR of 20.2 months and mPFS of 22.1 months. In comparison, among the patients with ccHER2-positive disease and low CD47 expression (defined as total membrane staining of &lt;20%), cORR was 25% (n=1/4) and mPFS was 3.4 months.</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ind w:left="490" w:right="0" w:hanging="0"/>
        <w:jc w:val="left"/>
        <w:rPr>
          <w:rFonts w:ascii="Times New Roman" w:hAnsi="Times New Roman"/>
          <w:i/>
          <w:color w:val="000000"/>
          <w:sz w:val="20"/>
        </w:rPr>
      </w:pPr>
      <w:r>
        <w:rPr>
          <w:rFonts w:ascii="Times New Roman" w:hAnsi="Times New Roman"/>
          <w:i/>
          <w:color w:val="000000"/>
          <w:sz w:val="20"/>
        </w:rPr>
        <w:t>Combination with the CD20-targeted antibody rituximab</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MD Anderson Cancer Center – Non-Hodgkin Lymphoma</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2021, an IST of evorpacept was initiated in combination with rituximab and lenalidomide (R</w:t>
      </w:r>
      <w:r>
        <w:rPr>
          <w:rFonts w:ascii="Times New Roman" w:hAnsi="Times New Roman"/>
          <w:color w:val="000000"/>
          <w:sz w:val="13"/>
        </w:rPr>
        <w:t>2</w:t>
      </w:r>
      <w:r>
        <w:rPr>
          <w:rFonts w:ascii="Times New Roman" w:hAnsi="Times New Roman"/>
          <w:color w:val="000000"/>
          <w:sz w:val="20"/>
        </w:rPr>
        <w:t>) for the treatment of patients with indolent and aggressive NHL, sponsored by MD Anderson Cancer Center in Texas. We announced the dosing of the first patient in September 2021.</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April 2024, MD Anderson Cancer Center reported clinical data from the ongoing Phase 1/2 IST of evorpacept in combination with R</w:t>
      </w:r>
      <w:r>
        <w:rPr>
          <w:rFonts w:ascii="Times New Roman" w:hAnsi="Times New Roman"/>
          <w:color w:val="000000"/>
          <w:sz w:val="13"/>
        </w:rPr>
        <w:t>2</w:t>
      </w:r>
      <w:r>
        <w:rPr>
          <w:color w:val="000000"/>
        </w:rPr>
        <w:t xml:space="preserve"> </w:t>
      </w:r>
      <w:r>
        <w:rPr>
          <w:rFonts w:ascii="Times New Roman" w:hAnsi="Times New Roman"/>
          <w:color w:val="000000"/>
          <w:sz w:val="20"/>
        </w:rPr>
        <w:t>in patients with R/R B-NHL. The new data were presented in an oral presentation at the 2024 American Association for Cancer Research (AACR) Annual Meeting. The Phase 1 part of the clinical trial enrolled a total of 20 patients with indolent (n=18) and aggressive (n=2) R/R B-NHL where all patients had received prior rituximab and 72% had received prior chemoimmunotherapy. Patients received evorpacept 30 mg/kg every two weeks (Q2W) (n=3) or 60 mg/kg every four weeks (Q4W) (n=17) in combination with standard R</w:t>
      </w:r>
      <w:r>
        <w:rPr>
          <w:rFonts w:ascii="Times New Roman" w:hAnsi="Times New Roman"/>
          <w:color w:val="000000"/>
          <w:sz w:val="13"/>
        </w:rPr>
        <w:t>2</w:t>
      </w:r>
      <w:r>
        <w:rPr>
          <w:color w:val="000000"/>
        </w:rPr>
        <w:t xml:space="preserve"> </w:t>
      </w:r>
      <w:r>
        <w:rPr>
          <w:rFonts w:ascii="Times New Roman" w:hAnsi="Times New Roman"/>
          <w:color w:val="000000"/>
          <w:sz w:val="20"/>
        </w:rPr>
        <w:t xml:space="preserve">treatment. The regimen was well tolerated, and there were no dose-limiting toxicities. Patients with indolent R/R B-NHL (n=18) had a best ORR of 94% and a complete response rate of 83%. The mDOR was not reached. </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April 2025, final data for the Phase 1 portion of the MD Anderson Cancer Center IST was presented at the 2025 AACR Annual Meeting. In the total population (n=20), after a median follow-up of 28 months (95% CI, 18-28 months) the two-year PFS rate was 69% and two-year OS rate was 84%. The Phase 2 portion of the clinical trial in patients with previously untreated indolent NHL is ongoing and has completed enrollment. </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December 2025, data for the Phase 2 portion of this trial, which enrolled patients with untreated indolent NHL was presented at the 2025 American Society of Hematology Annual Meeting. The combination of evorpacept with R</w:t>
      </w:r>
      <w:r>
        <w:rPr>
          <w:rFonts w:ascii="Times New Roman" w:hAnsi="Times New Roman"/>
          <w:color w:val="000000"/>
          <w:sz w:val="13"/>
        </w:rPr>
        <w:t>2</w:t>
      </w:r>
      <w:r>
        <w:rPr>
          <w:color w:val="000000"/>
        </w:rPr>
        <w:t xml:space="preserve"> </w:t>
      </w:r>
      <w:r>
        <w:rPr>
          <w:rFonts w:ascii="Times New Roman" w:hAnsi="Times New Roman"/>
          <w:color w:val="000000"/>
          <w:sz w:val="20"/>
        </w:rPr>
        <w:t>generated complete responses in 92% of patients comparing favorably to an approximate 50% historical complete response rate for R</w:t>
      </w:r>
      <w:r>
        <w:rPr>
          <w:rFonts w:ascii="Times New Roman" w:hAnsi="Times New Roman"/>
          <w:color w:val="000000"/>
          <w:sz w:val="13"/>
        </w:rPr>
        <w:t>2</w:t>
      </w:r>
      <w:r>
        <w:rPr>
          <w:color w:val="000000"/>
        </w:rPr>
        <w:t xml:space="preserve"> </w:t>
      </w:r>
      <w:r>
        <w:rPr>
          <w:rFonts w:ascii="Times New Roman" w:hAnsi="Times New Roman"/>
          <w:color w:val="000000"/>
          <w:sz w:val="20"/>
        </w:rPr>
        <w:t>alone.</w:t>
      </w:r>
    </w:p>
    <w:p>
      <w:pPr>
        <w:pStyle w:val="TextBody"/>
        <w:bidi w:val="0"/>
        <w:spacing w:before="180" w:after="283"/>
        <w:ind w:left="490" w:right="0" w:hanging="0"/>
        <w:jc w:val="left"/>
        <w:rPr>
          <w:rFonts w:ascii="Times New Roman" w:hAnsi="Times New Roman"/>
          <w:i/>
          <w:color w:val="000000"/>
          <w:sz w:val="20"/>
        </w:rPr>
      </w:pPr>
      <w:r>
        <w:rPr>
          <w:rFonts w:ascii="Times New Roman" w:hAnsi="Times New Roman"/>
          <w:i/>
          <w:color w:val="000000"/>
          <w:sz w:val="20"/>
        </w:rPr>
        <w:t>Combination with the CD38-targeted antibody isatuximab-irfc</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Sanofi – Multiple Myeloma</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April 2023, we announced a collaboration with Sanofi who will sponsor and manage a Phase 1/2 trial of SARCLISA</w:t>
      </w:r>
      <w:r>
        <w:rPr>
          <w:rFonts w:ascii="Times New Roman" w:hAnsi="Times New Roman"/>
          <w:color w:val="000000"/>
          <w:sz w:val="13"/>
        </w:rPr>
        <w:t>®</w:t>
      </w:r>
      <w:r>
        <w:rPr>
          <w:color w:val="000000"/>
        </w:rPr>
        <w:t xml:space="preserve"> </w:t>
      </w:r>
      <w:r>
        <w:rPr>
          <w:rFonts w:ascii="Times New Roman" w:hAnsi="Times New Roman"/>
          <w:color w:val="000000"/>
          <w:sz w:val="20"/>
        </w:rPr>
        <w:t>(isatuximab-irfc), an anti-cancer antibody, and dexamethasone in combination with evorpacept for the treatment of patients with relapsed or refractory multiple myeloma. We announced the dosing of the first patient in September 2024.</w:t>
      </w:r>
    </w:p>
    <w:p>
      <w:pPr>
        <w:pStyle w:val="TextBody"/>
        <w:bidi w:val="0"/>
        <w:spacing w:before="40" w:after="283"/>
        <w:ind w:left="1080" w:right="0" w:hanging="0"/>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August 2025, we announced that the dose escalation portion of this trial was complete and Sanofi had begun the dose optimization portion of the trial.</w:t>
      </w:r>
    </w:p>
    <w:p>
      <w:pPr>
        <w:pStyle w:val="TextBody"/>
        <w:bidi w:val="0"/>
        <w:spacing w:before="180" w:after="283"/>
        <w:ind w:left="0" w:right="0" w:firstLine="490"/>
        <w:jc w:val="left"/>
        <w:rPr>
          <w:rFonts w:ascii="Times New Roman" w:hAnsi="Times New Roman"/>
          <w:color w:val="000000"/>
          <w:sz w:val="20"/>
        </w:rPr>
      </w:pPr>
      <w:r>
        <w:rPr>
          <w:rFonts w:ascii="Times New Roman" w:hAnsi="Times New Roman"/>
          <w:color w:val="000000"/>
          <w:sz w:val="20"/>
        </w:rPr>
        <w:t>Based on our clinical results to date in multiple oncology indications that show encouraging anti-tumor activity and tolerability, our strategy is to pursue evorpacept as a potentially critical component of future oncology treatments in combination with anticancer antibodies.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ALX2004</w:t>
      </w:r>
    </w:p>
    <w:p>
      <w:pPr>
        <w:pStyle w:val="TextBody"/>
        <w:bidi w:val="0"/>
        <w:spacing w:before="40" w:after="283"/>
        <w:ind w:left="489" w:right="0" w:hanging="0"/>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2025, we filed an investigational new drug (IND) application for our first ADC program, ALX2004 and in April 2025, the FDA cleared the IND to evaluate ALX2004 in a Phase 1 clinical trial for patients with EGFR-expressing solid tumors.</w:t>
      </w:r>
    </w:p>
    <w:p>
      <w:pPr>
        <w:pStyle w:val="TextBody"/>
        <w:bidi w:val="0"/>
        <w:spacing w:before="40" w:after="283"/>
        <w:ind w:left="489" w:right="0" w:hanging="0"/>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August 2025, we announced the dosing of the first patient in the first-in-human, open-label multi-center Phase 1 clinical trial of ALX2004 for the treatment of advanced or metastatic select EGFR-expressing solid tumors.</w:t>
      </w:r>
    </w:p>
    <w:p>
      <w:pPr>
        <w:pStyle w:val="TextBody"/>
        <w:bidi w:val="0"/>
        <w:spacing w:before="40" w:after="283"/>
        <w:ind w:left="489" w:right="0" w:hanging="0"/>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2026, we announced that the trial had begun enrolling patients in the third dose cohort at 4 mg/kg after successfully clearing the second dose cohort. No dose-limiting toxicities were observed in the first two dose cohorts.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Since our founding, we have devoted substantially all of our resources to developing evorpacept, identifying and advancing preclinical programs, including the initiation and advancement of clinical trials of ALX2004, scaling up manufacturing, conducting clinical trials and providing general and administrative support for these operations. We have no products approved for marketing and we have never received any revenue from drug product sales.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From inception through June 30, 2026, we have raised an aggregate of $795.0 million to fund our operations, of which $175.1 million were net proceeds from sales of our convertible preferred stock, $5.8 million were net proceeds from borrowings under a term loan, $169.5 million were net proceeds from our initial public offering, $194.9 million were net proceeds from our registered offering in December 2020, $9.3 million were net proceeds from borrowings under the Oxford-SVB Loan Agreement (as defined below), $58.9 million were net proceeds from our registered offering in October 2023, $140.4 million in net proceeds from our registered offering in February 2026, $9.7 million were net proceeds from borrowings under the HSBC Loan Agreement (as defined below), and $31.4 million were net proceeds from our at-the-market (ATM) offering. For more information on the funding of our operations since inception, see section titled “—Liquidity and Capital Resources; Plan of Operations—Funding Requirements” included elsewhere in this Quarterly Report on Form 10-Q.</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incurred net losses in each year since inception. Our net losses were $18.0 million and $25.9 million for the three months ended June 30, 2026 and 2025, respectively, and $35.9 million and $56.7 million for the six months ended June 30, 2026 and 2025, respectively. As of June 30, 2026, we had an accumulated deficit of $758.7 million. Substantially all of our operating losses are a result of expenses incurred in connection with our research and development programs, primarily evorpacept, and from general and administrative expenses associated with our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expect to continue to incur significant expenses and increasing operating losses for the foreseeable future. We expect our expenses will increase substantially in connection with our ongoing activities, as we: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evorpacept through multiple clinical trials in multiple indications;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regulatory approval of evorpacept in solid tumors and hematological malignancies;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ALX2004 through a first-in-human trial;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preclinical and clinical development efforts;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and maintain patent, trade secret and other intellectual property protection and regulatory exclusivity for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 supplies for our preclinical studies and clinical trials;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add operational, financial and management information systems to support ongoing operations as a public company.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Research and development expenses consist primarily of costs incurred for the development of our lead product candidate, evorpacept, and the initiation and advancement of ALX2004, which include: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preclinical and clinical development, including expenses incurred under collaboration agreements and under agreements with contract research organizations, or CROs;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employee-related expenses, including salaries, related benefits, travel and stock-based compensation expenses for employees engaged in research and development functions;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related to production of clinical materials, including fees paid to contract manufacturing organizations, or CMOs;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laboratory, vendor expenses and third-party drugs related to the execution of preclinical studies and clinical trials;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and other expenses, which include expenses for rent and maintenance of facilities, depreciation and amortization expense and other supplies.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research and development expenses consist primarily of costs associated with the development of our lead product candidate, evorpacept, and the initiation and advancement of clinical trials of ALX2004, and include external costs, such as fees paid to consultants, central laboratories, contractors, collaborators, CMOs and CROs in connection with our preclinical and clinical development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Almost all of our research and development expenses to date have been related to the clinical development of our lead product candidate, evorpacept, the initiation and advancement of clinical trials of ALX2004, and development of potential product candidates. We expect to incur significant research and development expenses in the foreseeable future as we continue to invest in research and development activities related to progress on our existing product candidates. As our product candidates advance into later stages of development,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successful development of our current and future product candidates is highly uncertain. This is due to numerous risks and uncertainties, including the following: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completion of preclinical studies and clinical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regulators or institutional review boards authorizing us or our investigators to commence our clinical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negotiate agreements with clinical trial sites or CROs;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location of clinical sites included in the trials;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raising additional funds necessary to complete clinical development of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patent, trade secret and other intellectual property protection and regulatory exclusivity for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contracting with third-party manufacturers for clinical supplies of our product candidates;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protecting and enforcing our rights in our intellectual property portfolio, including, if necessary, litigation;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 continued acceptable safety profile of the products following approval.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Research and development activities are essential to our business model. There are numerous factors associated with the successful commercialization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expenses, business development expenses, facilities expenses, depreciation and amortization expenses and professional services expenses, including legal, human resources, audit, accounting and tax-related services, and directors and officers liability insurance premiums. Personnel and related costs consist of salaries, benefits and stock-based compensation expenses. Facilities costs consist of rent and maintenance of facilities.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anticipate that our general and administrative expenses will remain stable for the remainder of this year. Factors that may affect general administrative expenses include inflationary pressures, higher costs of consulting, legal, tax and regulatory-related services associated with maintaining compliance with stock exchange listing and Securities and Exchange Commission (SEC) requirements, audit and investor relations costs, director and officer insurance premiums and other costs associated with being a public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 Termination (Gain) and Impairment Charge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lease termination (gain) and impairment charge consists of a gain from lease termination and impairment of long-lived assets related to the Palo Alto lease.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interest income consists primarily of interest income on cash, cash equivalents and investments.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interest expense consists primarily of interest expense on the term loan, amortization of deferred debt issuance costs, and interest related to finance leases.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Expense, Net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other expense, net consists primarily of realized foreign currency transaction gains and losses and losses on the disposal of fixed assets.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Loss on Debt Extinguishment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loss on debt extinguishment consists of a loss from the early extinguishment of the Oxford-SVB Loan.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 and Net Loss</w:t>
      </w:r>
      <w:r>
        <w:rPr>
          <w:rFonts w:ascii="Times New Roman" w:hAnsi="Times New Roman"/>
          <w:color w:val="000000"/>
          <w:sz w:val="20"/>
        </w:rPr>
        <w:t xml:space="preserve"> </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The following table summarizes our results of operations for the three months and six months ended June 30, 2026 and 2025 (in thousands):</w:t>
      </w:r>
    </w:p>
    <w:tbl>
      <w:tblPr>
        <w:tblW w:w="11728" w:type="dxa"/>
        <w:jc w:val="left"/>
        <w:tblInd w:w="0" w:type="dxa"/>
        <w:tblLayout w:type="fixed"/>
        <w:tblCellMar>
          <w:top w:w="28" w:type="dxa"/>
          <w:left w:w="28" w:type="dxa"/>
          <w:bottom w:w="28" w:type="dxa"/>
          <w:right w:w="28" w:type="dxa"/>
        </w:tblCellMar>
      </w:tblPr>
      <w:tblGrid>
        <w:gridCol w:w="1596"/>
        <w:gridCol w:w="146"/>
        <w:gridCol w:w="211"/>
        <w:gridCol w:w="736"/>
        <w:gridCol w:w="166"/>
        <w:gridCol w:w="146"/>
        <w:gridCol w:w="211"/>
        <w:gridCol w:w="736"/>
        <w:gridCol w:w="166"/>
        <w:gridCol w:w="146"/>
        <w:gridCol w:w="211"/>
        <w:gridCol w:w="631"/>
        <w:gridCol w:w="166"/>
        <w:gridCol w:w="146"/>
        <w:gridCol w:w="146"/>
        <w:gridCol w:w="631"/>
        <w:gridCol w:w="271"/>
        <w:gridCol w:w="146"/>
        <w:gridCol w:w="211"/>
        <w:gridCol w:w="736"/>
        <w:gridCol w:w="166"/>
        <w:gridCol w:w="146"/>
        <w:gridCol w:w="211"/>
        <w:gridCol w:w="736"/>
        <w:gridCol w:w="166"/>
        <w:gridCol w:w="146"/>
        <w:gridCol w:w="211"/>
        <w:gridCol w:w="736"/>
        <w:gridCol w:w="166"/>
        <w:gridCol w:w="146"/>
        <w:gridCol w:w="146"/>
        <w:gridCol w:w="481"/>
        <w:gridCol w:w="716"/>
      </w:tblGrid>
      <w:tr>
        <w:trPr/>
        <w:tc>
          <w:tcPr>
            <w:tcW w:w="1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termination (gain) and impairment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7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The following table summarizes our research and development (R&amp;D) expenses incurred for the three months and six months ended June 30, 2026 and 2025 (in thousands):</w:t>
      </w:r>
    </w:p>
    <w:tbl>
      <w:tblPr>
        <w:tblW w:w="10513" w:type="dxa"/>
        <w:jc w:val="left"/>
        <w:tblInd w:w="0" w:type="dxa"/>
        <w:tblLayout w:type="fixed"/>
        <w:tblCellMar>
          <w:top w:w="28" w:type="dxa"/>
          <w:left w:w="28" w:type="dxa"/>
          <w:bottom w:w="28" w:type="dxa"/>
          <w:right w:w="28" w:type="dxa"/>
        </w:tblCellMar>
      </w:tblPr>
      <w:tblGrid>
        <w:gridCol w:w="1261"/>
        <w:gridCol w:w="146"/>
        <w:gridCol w:w="211"/>
        <w:gridCol w:w="676"/>
        <w:gridCol w:w="146"/>
        <w:gridCol w:w="146"/>
        <w:gridCol w:w="211"/>
        <w:gridCol w:w="676"/>
        <w:gridCol w:w="146"/>
        <w:gridCol w:w="146"/>
        <w:gridCol w:w="211"/>
        <w:gridCol w:w="631"/>
        <w:gridCol w:w="166"/>
        <w:gridCol w:w="146"/>
        <w:gridCol w:w="146"/>
        <w:gridCol w:w="376"/>
        <w:gridCol w:w="271"/>
        <w:gridCol w:w="146"/>
        <w:gridCol w:w="211"/>
        <w:gridCol w:w="676"/>
        <w:gridCol w:w="146"/>
        <w:gridCol w:w="146"/>
        <w:gridCol w:w="211"/>
        <w:gridCol w:w="676"/>
        <w:gridCol w:w="146"/>
        <w:gridCol w:w="146"/>
        <w:gridCol w:w="211"/>
        <w:gridCol w:w="736"/>
        <w:gridCol w:w="166"/>
        <w:gridCol w:w="146"/>
        <w:gridCol w:w="146"/>
        <w:gridCol w:w="376"/>
        <w:gridCol w:w="516"/>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R&amp;D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R&amp;D expenses decreased by $4.9 million during the three months ended June 30, 2026 compared to the three months ended June 30, 2025. The decrease was primarily attributable to a decrease of $4.7 million in clinical and development costs primarily due to change in clinical development strategy reducing the number of active clinical trials in the current quarter compared to prior period, a decrease of $0.4 million in other research costs, and a decrease of $0.1 million in personnel and related costs. These decreases were offset by an increase of $0.4 million in stock-based compensation expense due to absence of terminations from the reduction in workforce which occurred in early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R&amp;D expenses decreased by $15.2 million during the six months ended June 30, 2026 compared to the six months ended June 30, 2025. The decrease was primarily attributable to a decrease of $7.0 million in clinical and development costs primarily due to change in clinical development strategy reducing the number of active clinical trials in the current period compared to prior period, a decrease of $4.5 million in personnel and related costs primarily driven by the reduction in workforce in early 2025, a decrease of $1.4 million in preclinical costs due to pipeline prioritization strategy, a decrease of $1.4 million in stock-based compensation expense due to terminations from the reduction in workforce, and a decrease of $0.9 million in other research costs.</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The following table summarizes our general and administrative (G&amp;A) expenses incurred for the three months and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1416"/>
        <w:gridCol w:w="146"/>
        <w:gridCol w:w="211"/>
        <w:gridCol w:w="571"/>
        <w:gridCol w:w="146"/>
        <w:gridCol w:w="146"/>
        <w:gridCol w:w="211"/>
        <w:gridCol w:w="571"/>
        <w:gridCol w:w="146"/>
        <w:gridCol w:w="146"/>
        <w:gridCol w:w="211"/>
        <w:gridCol w:w="481"/>
        <w:gridCol w:w="166"/>
        <w:gridCol w:w="146"/>
        <w:gridCol w:w="146"/>
        <w:gridCol w:w="376"/>
        <w:gridCol w:w="271"/>
        <w:gridCol w:w="146"/>
        <w:gridCol w:w="211"/>
        <w:gridCol w:w="676"/>
        <w:gridCol w:w="146"/>
        <w:gridCol w:w="146"/>
        <w:gridCol w:w="211"/>
        <w:gridCol w:w="676"/>
        <w:gridCol w:w="146"/>
        <w:gridCol w:w="146"/>
        <w:gridCol w:w="211"/>
        <w:gridCol w:w="631"/>
        <w:gridCol w:w="166"/>
        <w:gridCol w:w="146"/>
        <w:gridCol w:w="146"/>
        <w:gridCol w:w="376"/>
        <w:gridCol w:w="518"/>
      </w:tblGrid>
      <w:tr>
        <w:trPr/>
        <w:tc>
          <w:tcPr>
            <w:tcW w:w="1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G&amp;A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G&amp;A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G&amp;A expenses decreased by $0.3 million during the three months ended June 30, 2026 compared to the three months ended June 30, 2025. The decrease was primarily attributable to a decrease of $0.4 million in other G&amp;A costs from corporate legal and patent costs, offset by an increase of $0.1 million in stock-based compensation expense due to absence of terminations from the reduction in workforce which occurred in early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G&amp;A expenses decreased by $2.9 million during the six months ended June 30, 2026 compared to the six months ended June 30, 2025. The decrease was primarily attributable to a decrease of $1.1 million in other G&amp;A costs from corporate legal and patent costs, a decrease of $1.0 million in personnel and related costs primarily driven by the reduction in workforce in early 2025, and a decrease of $0.8 million in stock-based compensation expense due to terminations from the reduction in workforce.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 Termination (Gain) and Impairment Charge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May 2025, we made a decision to sublease our leased property in Palo Alto, resulting in a long-lived asset impairment charge of $3.2 million based on the performed impairment analysis for the three months and six months ended June 30, 2026. In June 2026, we terminated our leased property in Palo Alto, resulting in a lease termination gain of $0.2 million for the three months and six months ended June 30,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Interest income increased by $0.4 million for the three months ended June 30, 2026 compared to the three months ended June 30, 2025 and by $0.1 million for the six months ended June 30, 2026 compared to the six months ended June 30, 2025. The increases were primarily attributable to higher cash and investment balances during 2026 as compared to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Interest expense decreased by $0.1 million for the three months ended June 30, 2026 compared to the three months ended June 30, 2025 and by $0.2 million for the six months ended June 30, 2026 compared to the six months ended June 30, 2025. The decreases were primarily due to lower interest rates during 2026 as compared to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Expense, Net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Other expense, net increased by $0.3 million for the three months ended June 30, 2026 compared to the three months ended June 30, 2025 due to loss incurred on disposal of fixed assets related to the lease termination of our Palo Alto office and laboratory space in May 2026. Other expense, net remained flat for the six months ended June 30, 2026 compared to the six months ended June 30,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Loss on Debt Extinguishment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Loss on debt extinguishment increased by $0.9 million for the three months and six months ended June 30, 2026 compared to the three months and six months ended June 30, 2025 due to the early termination of the Oxford-SVB Loan in June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 Plan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regulatory and marketing approval of any of our product candidates. To date, we have funded our operations with proceeds from the sales of shares of our common stock and convertible preferred stock and borrowings under our term loan. As of June 30, 2026, we had cash, cash equivalents and investments of $153.4 million.</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incurred losses and negative cash flows from operations since inception and anticipate that we will continue to incur net losses for the foreseeable future. As of June 30, 2026, we had an accumulated deficit of $758.7 million. We expect our expenses to incur significant expenses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preclinical and clinical development activities;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in and completion of clinical trials;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outcome of regulatory review of our product candidates;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agreements with third-party manufacturers for clinical supply for our clinical trials and, if any of our product candidates are approved, commercial manufacturing;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 and retention of key research and development personnel;</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financial and information management systems, and hire additional personnel, including personnel to support development of our product candidates;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and distribution, for any of our product candidates for which we obtain marketing approval;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legal patent costs involved in prosecuting patent applications and enforcing patent claims and other intellectual property claims;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any collaboration, license or other arrangement, including the terms and timing of any milestone and royalty payments thereunder;</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listing on Nasdaq;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conditions and global economic environment, such as inflation, interest rate changes, trade and other global disputes and interruptions, including related to tariffs and trade protection measures, U.S. federal government shutdowns, economic downturns, bank failures or instability in the financial services sector, or geopolitical risks, disasters, and medical or public health crises, such as the COVID-19 pandemic, which may exacerbate the magnitude of the factors discussed above.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operations through a combination of equity offerings, debt financings, collaborations, strategic alliances and marketing, distribution or licensing arrangements. Other than a loan and security agreement (the HSBC Loan Agreement) we entered into with HSBC Ventures USA Inc. (HSBC) (the HSBC Lender), for a secured multi-tranche term loan facility of up to $50.0 million in June 2026, we do not have any committed external source of funds. Our ability to raise additional capital may be adversely impacted by potential worsening global economic conditions and the recent disruptions to and volatility in the credit and financial markets in the United States and worldwide. To the extent that we raise additional capital through the sale of equity or convertible debt securities, a stockholder’s ownership interest will be diluted, and the terms of these securities may include liquidation or other preferences that adversely affect one’s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July 2020, we completed our initial public offering pursuant to a registration statement on Form S-1.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December 2020, we completed our registered offering pursuant to a registration statement on Form S-1. In this registered offering, we issued and sold an aggregate of 2,737,000 shares of common stock, including the underwriters’ exercise in full of their overallotment option, under the registration statement at an offering price of $76.00 per share. Net proceeds were approximately $194.9 million, after deducting underwriting discounts and commissions of $12.5 million and offering-related expenses of $0.7 million.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December 2021, we entered into a sales agreement (as amended, Sales Agreement) with Cantor Fitzgerald &amp; Co. and Credit Suisse Securities (USA) LLC (Credit Suisse), under which we may offer and sell our common stock, having aggregate gross proceeds of up to $150.0 million, from time to time through them as our sales agents in our ATM offering program. In March 2022, we filed a universal shelf registration statement (2022 Shelf Registration Statement) with the SEC, which was declared effective by the SEC on May 31, 2022. In August 2023, we entered into an amendment to the Sales Agreement to include UBS Securities LLC as an additional sales agent and to remove Credit Suisse as a sales agent.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October 2022, we entered into the loan and security agreement (the Oxford-SVB Loan Agreement) with Oxford Finance LLC, Oxford Finance Credit Fund II LP, and Silicon Valley Bank (SVB) (collectively, the Oxford-SVB Lenders) for a secured term loan facility of up to $100.0 million. Upon closing of the Oxford-SVB Loan Agreement, we drew $10.0 million. Under the original terms of the Oxford-SVB Loan Agreement, we had the right to draw an additional $40.0 million through the end of 2023. A further $50.0 million was potentially available to us, $25.0 million upon the achievement of pre-determined development milestones and $25.0 million at the Oxford-SVB Lenders’ sole discretion. For a description of the terms of the Oxford-SVB Loan Agreement, see “Note 7. Term Loan” to our unaudited condensed consolidated financial statements included elsewhere in this Quarterly Report on Form 10-Q. On May 31, 2023, we entered into a second amendment to the Oxford-SVB Loan Agreement. The primary purpose of the second amendment was to reduce the percentage of the amount required to be held in our collateral account with SVB-First Citizens from 100% to not less than 50% of the aggregate dollar value of all our collateral accounts.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October 2023, we completed a registered offering pursuant to the 2022 Shelf Registration Statement. In this registered offering, we issued and sold an aggregate of 8,663,793 shares of common stock, including the underwriters’ exercise in full of their overallotment option of 1,293,103 shares of common stock, and, in lieu of common stock to certain investors, pre-funded warrants to purchase 1,250,000 shares of common stock at an offering price of $6.38 per share and $6.379 per pre-funded warrant. Net proceeds were approximately $58.9 million, after deducting underwriting discounts and commissions of $3.8 million and offering-related expenses of $0.6 million. As of June 30, 2026, no shares underlying these pre-funded warrants had been exercised.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December 2023, we entered into a third amendment to the Oxford-SVB Loan Agreement. The primary purpose of the third amendment was to (i) extend the draw period for the first tranche loans from December 31, 2023 to June 30, 2024, (ii) add as a condition for the funding of any first tranche loans after the effective date of the amendment, the requirement that the Phase 2 portion of the ASPEN-06 study in gastric/GEJ cancer either remains ongoing or the achievement of a milestone related to the development of the ASPEN-06 study, and (iii) add a contingency fee in the amount of $0.6 million to the Oxford-SVB Lenders if the Company prepays any of the loans under the Oxford-SVB Loan Agreement other than in connection with refinancing of the Oxford-SVB Loan Agreement with the Oxford-SVB Lenders and their affiliates.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decided not to draw down on any portion of the $40.0 million available to us under the Oxford-SVB Loan Agreement by the deadline of June 30, 2024. As a result of this decision, the $40.0 million was added to the $25.0 million available upon the achievement of pre-determined development milestones for a total of $65.0 million available, split equally between each of the two tranches. We did not achieve all of the requirements needed to gain access to each of the two tranches available upon the achievement of pre-determined development milestones by the deadline of December 31, 2024. The term loans under the Oxford-SVB Loan Agreement would have matured on October 1, 2027. We began to make principal payments in equal monthly installments beginning on December 1,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March 6, 2025, we filed a shelf registration statement with the SEC that became effective on April 24, 2025 (the 2025 Shelf Registration Statement). The 2025 Shelf Registration Statement replaced the 2022 Shelf Registration Statement and registered the unsold securities from the 2022 Shelf Registration Statement, including those available under the ATM program. From December 2021 to June 30, 2026, we sold an aggregate of 3,183,109 shares of common stock under our Sales Agreement for net proceeds of $31.4 million, after deducting commissions. We may terminate this ATM program and the Sales Agreement at any time, pursuant to its terms.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February 2, 2026, we completed a registered offering and issued an aggregate of 76,979,112 shares of common stock at an offering price of $1.57 per share and pre-funded warrants to purchase 18,574,120 shares of common stock at an offering price of $1.569 per pre-funded warrant. We received net proceeds of approximately $140.4 million, after deducting underwriting discounts and commissions of $9.0 million and other offering-related expenses of $0.6 million. As of June 30, 2026, 6,100,317 shares underlying these pre-funded warrants had been exercised.</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June 2026, we entered into the HSBC Loan Agreement as described above. Pursuant to the HSBC Loan Agreement, we borrowed $10.0 million of loans at closing (through our wholly owned subsidiary, ALX Oncology Inc.), the proceeds of which were used to refinance and pay all outstanding principal, interest and other amounts owing under the existing Oxford-SVB Loan Agreement and to pay closing fees and expenses. Under the terms of the HSBC Loan Agreement, subject to the satisfaction of customary conditions, we have the right to draw an additional $20.0 million through June 30, 2028. A further $20.0 million is potentially available to us, $10.0 million upon the achievement of pre-determined development milestones and $10.0 million at the HSBC Lender’s sole discretion. The proceeds of the loans may be used by us for general corporate purposes. For a description of the terms of the HSBC Loan Agreement, see “Note 7. Term Loan” to our unaudited condensed consolidated financial statements included elsewhere in this Quarterly Report on Form 10-Q.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believe our existing cash, cash equivalents and investments will enable us to fund our operating expenses and capital expenditure requirements through the first half of 2028. Additionally, the Company also has the ability to further utilize the ATM program. We have based these estimates on assumptions in which actuals may materially differ and we could utilize our available capital resources sooner than we expect.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ind w:left="0" w:right="0" w:firstLine="490"/>
        <w:jc w:val="left"/>
        <w:rPr>
          <w:rFonts w:ascii="Times New Roman" w:hAnsi="Times New Roman"/>
          <w:color w:val="000000"/>
          <w:sz w:val="20"/>
        </w:rPr>
      </w:pPr>
      <w:r>
        <w:rPr>
          <w:rFonts w:ascii="Times New Roman" w:hAnsi="Times New Roman"/>
          <w:color w:val="000000"/>
          <w:sz w:val="20"/>
        </w:rPr>
        <w:t>The following table presents a summary of the net cash flow activity for the six months ended June 30, 2026 and 2025 (in thousands):</w:t>
      </w:r>
    </w:p>
    <w:tbl>
      <w:tblPr>
        <w:tblW w:w="7519" w:type="dxa"/>
        <w:jc w:val="left"/>
        <w:tblInd w:w="0" w:type="dxa"/>
        <w:tblLayout w:type="fixed"/>
        <w:tblCellMar>
          <w:top w:w="28" w:type="dxa"/>
          <w:left w:w="28" w:type="dxa"/>
          <w:bottom w:w="28" w:type="dxa"/>
          <w:right w:w="28" w:type="dxa"/>
        </w:tblCellMar>
      </w:tblPr>
      <w:tblGrid>
        <w:gridCol w:w="4711"/>
        <w:gridCol w:w="146"/>
        <w:gridCol w:w="211"/>
        <w:gridCol w:w="781"/>
        <w:gridCol w:w="166"/>
        <w:gridCol w:w="146"/>
        <w:gridCol w:w="211"/>
        <w:gridCol w:w="736"/>
        <w:gridCol w:w="4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(48,069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49,961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the six months ended June 30, 2026, net cash used in operating activities of $34.7 million was attributable to a net loss of $35.9 million and a change in our net operating assets and liabilities of $3.1 million, offset by non-cash charges of $4.3 million. The change in operating assets and liabilities was primarily due to (i) a decrease in accounts payable and accrued expenses and other current liabilities of $3.6 million primarily due to timing of invoices and payments, (ii) a decrease in prepaid and other current assets of $0.9 million, (iii) a decrease in other non-current liabilities of $0.7 million and (iv) a decrease in other assets of $0.3 million. Non-cash charges consisted primarily of stock-based compensation expense of $5.2 million, loss on debt extinguishment of $0.9 million, non-cash lease costs of $0.7 million, and depreciation and amortization costs of $0.2 million, offset by a gain on lease termination of $2.6 million and net accretion of discounts on investments of $0.5 million.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the six months ended June 30, 2025, net cash used in operating activities of $48.1 million was attributable to a net loss of $56.7 million and a change in our net operating assets and liabilities of $2.5 million, offset by non-cash charges of $11.2 million. The change in operating assets and liabilities was primarily due to (i) a decrease in accounts payable, payable and accrued liabilities due to related party, and accrued expenses and other current liabilities of $1.7 million primarily due to timing of invoices and payments, (ii) a decrease in prepaid and other current assets of $0.7 million, (iii) a decrease in other non-current liabilities of $1.0 million and (iv) an increase in other assets of $0.4 million. Non-cash charges consisted primarily of stock-based compensation expense of $7.4 million, non-cash lease costs of $0.9 million, depreciation and amortization costs of $0.4 million, and lease impairment charge of $3.2 million offset by net amortization of premiums and accretion of discounts on investments of $0.8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the six months ended June 30, 2026, net cash used in investing activities of $98.5 million was attributable to purchases of short-term and long-term investments of $130.2 million, offset by cash received for maturities of investments of $31.8 million.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the six months ended June 30, 2025, net cash provided by investing activities of $50.0 million was attributable to cash received for maturities of investments of $91.2 million, offset by purchases of short-term and long-term investments of $41.2 million and purchases of property and equipment of $0.1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the six months ended June 30, 2026, net cash provided by financing activities of $139.7 million was attributable to proceeds from equity offerings of $150.0 million, proceeds from issuance of term loan of $10.0 million, proceeds from exercise of stock options under equity incentive plan of $0.7 million, offset by payments for issuance costs related to equity offerings of $9.6 million, payments for early debt extinguishment of $8.2 million, principal payments on term loan of $2.6 million, principal payments on finance leases of $0.5 million, and payments for debt issuance costs of $0.1 million.</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the six months ended June 30, 2025, net cash used in financing activities of $0.2 million was attributable to principal payments on finance leases of $0.5 million offset by proceeds from our ATM offering program of $0.4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During the period presented, we did not have, nor do we currently have, any off-balance sheet arrangements, as defined in the rules and regulations of the SEC.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is based on our condensed consolidated financial statements, which have been prepared in accordance with generally accepted accounting principles in the United States, or U.S. GAAP. The preparation of these condensed consolidated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significant accounting policies and critical accounting estimates are more fully described in the notes to our audited consolidated financial statements and in the section titled “Management’s Discussion and Analysis of Financial Condition and Results of Operations—Critical Accounting Estimates,” respectively, in the Company’s Annual Report on Form 10-K for the year ended December 31, 2025. During the six months ended June 30, 2026, there were no material changes to our critical accounting policies and estimates from those discussed in the Company’s Annual Report on Form 10-K for the year ended December 31, 2025 filed with the SEC on March 9,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See “Note 2. Significant Accounting Policies - Recent Accounting Pronouncements” to our condensed consolidated financial statements included elsewhere in this Quarterly Report on Form 10-Q for more information. </w:t>
      </w:r>
    </w:p>
    <w:p>
      <w:pPr>
        <w:pStyle w:val="TextBody"/>
        <w:bidi w:val="0"/>
        <w:spacing w:before="360" w:after="283"/>
        <w:jc w:val="left"/>
        <w:rPr>
          <w:rFonts w:ascii="Times New Roman" w:hAnsi="Times New Roman"/>
          <w:b/>
          <w:color w:val="000000"/>
          <w:sz w:val="20"/>
        </w:rPr>
      </w:pPr>
      <w:bookmarkStart w:id="12" w:name="part1_item3_risk"/>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exposed to market risks in the ordinary course of our business. These risks primarily include interest rate sensitivities.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June 30, 2026, we had cash, cash equivalents and investments of $153.4 million. We generally hold our cash and cash equivalents in interest-bearing bank accounts and money market funds. We have invested primarily in U.S. Treasury securities, U.S. government agency securities, corporate debt securities, commercial paper and asset-backed securities and all our investments are classified as available-for-sale. Our primary exposure to market risk is interest rate sensitivity, which is affected by changes in the general level of U.S. interest rates. An immediate 100 basis point change in interest rates would not have a material effect on the fair market value of our cash, cash equivalents and investments.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June 30, 2026, we had borrowings of $10.0 million outstanding under the HSBC Loan Agreement. Borrowings under the HSBC Loan Agreement bear interest at a floating rate per annum equal to the greater of (a) the Prime Rate (as defined in the HSBC Loan Agreement) and (b) 6.0%. An immediate 10% change in the Prime Rate would not have a material impact on our debt-related obligations, financial position or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 of credit risk consist of cash, cash equivalents and investments. The Company invests its cash equivalents in highly rated money market funds. The Company’s investments consist of debt securities issued by highly rated corporate entities, the U.S. federal government or state and local governments. The Company’s exposure to any individual corporate entity is limited by our investment policy. Deposits may exceed federally insured limits, and the Company is exposed to credit risk on deposits in the event of default by the financial institutions to the extent account balances exceed the amount insured by the FDIC.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is continuing to monitor any events involving limited liquidity, defaults, non-performance or other adverse developments that affect financial institutions or other companies in the financial services industry or the financial services industry generally.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During the periods presented, the Company has not experienced any realized losses on its deposits of cash, cash equivalents or investments.</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condensed consolidated financial statements, and we have not had a formal hedging program with respect to foreign currency. A 10% increase or decrease in current exchange rates would not have a material impact on our financial results.</w:t>
      </w:r>
    </w:p>
    <w:p>
      <w:pPr>
        <w:pStyle w:val="TextBody"/>
        <w:bidi w:val="0"/>
        <w:spacing w:before="360" w:after="283"/>
        <w:jc w:val="left"/>
        <w:rPr>
          <w:rFonts w:ascii="Times New Roman" w:hAnsi="Times New Roman"/>
          <w:b/>
          <w:color w:val="000000"/>
          <w:sz w:val="20"/>
        </w:rPr>
      </w:pPr>
      <w:bookmarkStart w:id="13" w:name="part1_item4_controls"/>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carried out an evaluation, under the supervision and with the participation of our management, including our Chief Executive Officer and our Chief Financial Officer, of the effectiveness of our “disclosure controls and procedures” as of the end of the period covered by this report, pursuant to Rules 13a-15(e) and 15d-15(e) under the Exchange Act.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SEC’s rules and forms as of June 30, 2026. For the purpose of this evaluation,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Principal Financial Officer and Principal Accounting Officer, as appropriate to allow timely decisions regarding required disclosure.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There were no changes in our internal control over financial reporting during the quarter ended June 30, 2026 that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4" w:name="part2"/>
      <w:bookmarkEnd w:id="14"/>
      <w:r>
        <w:rPr>
          <w:rFonts w:ascii="Times New Roman" w:hAnsi="Times New Roman"/>
          <w:b/>
          <w:color w:val="000000"/>
          <w:sz w:val="20"/>
        </w:rPr>
        <w:t>PART II — OTHER INFORMATION</w:t>
      </w:r>
    </w:p>
    <w:p>
      <w:pPr>
        <w:pStyle w:val="TextBody"/>
        <w:bidi w:val="0"/>
        <w:spacing w:before="360" w:after="283"/>
        <w:jc w:val="left"/>
        <w:rPr>
          <w:rFonts w:ascii="Times New Roman" w:hAnsi="Times New Roman"/>
          <w:sz w:val="20"/>
        </w:rPr>
      </w:pPr>
      <w:bookmarkStart w:id="15" w:name="part2_item1_legal"/>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pStyle w:val="TextBody"/>
        <w:bidi w:val="0"/>
        <w:spacing w:before="360" w:after="283"/>
        <w:jc w:val="left"/>
        <w:rPr>
          <w:rFonts w:ascii="Times New Roman" w:hAnsi="Times New Roman"/>
          <w:b/>
          <w:color w:val="000000"/>
          <w:sz w:val="20"/>
        </w:rPr>
      </w:pPr>
      <w:bookmarkStart w:id="16" w:name="part2_item1a_rf"/>
      <w:bookmarkEnd w:id="16"/>
      <w:r>
        <w:rPr>
          <w:rFonts w:ascii="Times New Roman" w:hAnsi="Times New Roman"/>
          <w:b/>
          <w:color w:val="000000"/>
          <w:sz w:val="20"/>
        </w:rPr>
        <w:t>Item 1A. Risk Factors</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described below, together with the other information contained elsewhere in this Quarterly Report on Form 10-Q, including our unaudited condensed consolidated financial statements and the related notes, the section titled “Management’s Discussion and Analysis of Financial Condition and Results of Operations,” and our other filings with the Securities and Exchange Commission, or SEC,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Investing in our common stock involves a high degree of risk because our business is subject to numerous risks and uncertainties, as fully described below. These risks include, but are not limited to, the following: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net losses since our inception, and we expect to continue to incur significant net losses for the foreseeable future;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require substantial additional capital to finance our operations, and such capital may not be available to us when needed or may only be available on terms that are unfavorable to us;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limited operating history, have no products approved for commercial sale, and have not generated any revenue from product sales, licenses or collaborations;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substantially dependent on the success of our lead product candidate, evorpacept, also known as ALX 148, which is in clinical development and which has not completed a pivotal trial;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of preclinical testing and early clinical trials may not be predictive of the success of later clinical trials, and the results of our clinical trials may not satisfy the requirements of the U.S. Food and Drug Administration, or FDA, or other comparable foreign regulatory authorities;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are expensive, time consuming and difficult to design and implement and may fail to demonstrate adequate safety, efficacy and potency of our product candidates or provide the basis for marketing approval;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cause significant adverse events or other undesirable side effects when used alone or in combination with other treatments;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approval processes of the FDA and comparable foreign regulatory authorities are lengthy, time-consuming and inherently unpredictable, which could lead to our inability to generate product revenue;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maintain and enforce patent protection and other intellectual property for our product candidates and related technology, our business could be materially harmed;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our key personnel, and if we are not successful in attracting, motivating, and retaining highly qualified personnel, we may not be able to successfully implement our business strategy;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third-party manufacturers for clinical supplies of our product candidates;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levels of our debt and compliance with the terms of our loan agreement could restrict our ability to operate our business;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conditions and global economic environment, such as inflation, interest rate changes, trade and other global disputes and interruptions, including related to tariffs and trade protection measures, U.S. federal government shutdowns, economic downturns, bank failures or instability in the financial services sector, or geopolitical risks, disasters, and medical or public health crises, such as the COVID-19 pandemic, could adversely impact our business including our ongoing and planned clinical trials and preclinical research;</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price of our stock may be volatile, and you could lose all or part of your investment;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implement and maintain effective internal control over financial reporting in the future, investors may lose confidence in our financial reports.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significant net losses since our inception, and we expect to continue to incur significant net losses for the foreseeable future.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incurred significant net losses in each reporting period since our inception, have not generated any revenue from product sales, licenses or collaborations to date and have financed our operations principally through public offerings of our common stock and private placements of our convertible preferred stock. Our net losses were $18.0 million and $25.9 million for the three months ended June 30, 2026 and 2025, respectively. As of June 30, 2026, we had an accumulated deficit of $758.7 million. We have devoted substantially all of our resources and efforts to research and development. Our product candidates, evorpacept and ALX2004, are in early-stage clinical trials.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evorpacept and ALX2004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incurred and expect to continue to incur additional costs associated with operating as a public company and compliance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 Further, any decline in our stock price or perceived potential decline in our stock price that may be associated with stock market volatility generally, may negatively impact our ability to raise capital.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June 30, 2026, we had cash, cash equivalents and investments of $153.4 million. Based on our current operating plan, we believe that our existing cash, cash equivalents, and investments and net proceeds of $140.4 million raised in our registered offering that closed in February 2026 (the February 2026 Offering) will be sufficient to fund our operations through the first half of 2028. Our estimate as to how long we expect our existing cash, cash equivalents, investments and funds available from our term loan will be sufficient to continue to fund our operations is based on assumptions that may prove to be wrong, and we could use our available capital resources sooner than we currently expect. Changing circumstances, some of which may be beyond our control, such as periods of a rising rate of inflation or economic downturns, could cause us to consume capital significantly faster than we currently anticipate, and we may need to seek additional funds sooner than planned.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plan to use our cash, cash equivalents and investments to advance the clinical development of evorpacept and ALX2004,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evorpacept and ALX2004, and our other programs will require a significant amount of capital. Our current cash, cash equivalents and investments on hand, may not be sufficient to fund all of the actions that are necessary to complete the development of evorpacept and ALX2004, or our other programs.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will be required to obtain further funding through public or private equity offerings, debt financings, collaborations and licensing arrangements or other sources, which may dilute our stockholders or restrict our operating activities. Our ability to raise additional funds may be adversely impacted by market perceptions of our ability to maintain our listing on the Nasdaq. Other than the loan and security agreement the Company’s wholly-owned subsidiary, ALX Oncology Inc., entered into with HSBC Ventures USA Inc. (HSBC Lender) for a secured multi-tranche term loan facility of up to $50.0 million (the HSBC Loan Agreement), we do not have any committed external source of funds. Adequate additional financing may not be available to us on acceptable terms, or at all. To the extent that we raise additional capital through the sale of equity or convertible debt securities, a stockholder’s ownership interest will be diluted, and the terms may include liquidation or other preferences that adversely affect one’s rights as a stockholder. Debt financing may result in imposition of debt covenants, increased fixed payment obligations or other restrictions that may affect our business. For example, our HSBC Loan Agreement restricts our ability to incur additional indebtedness without the consent of the HSBC Lender.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a limited operating history and have no products approved for commercial sale, which may make it difficult for you to evaluate our current business and likelihood of success and viability.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from product sales, licenses or collaborations.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Phase 1 and Phase 2 clinical trials of evorpacept and Phase 1 clinical trial of ALX2004.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 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pStyle w:val="TextBody"/>
        <w:bidi w:val="0"/>
        <w:spacing w:before="120" w:after="283"/>
        <w:jc w:val="left"/>
        <w:rPr>
          <w:rFonts w:ascii="Times New Roman" w:hAnsi="Times New Roman"/>
          <w:sz w:val="20"/>
        </w:rPr>
      </w:pPr>
      <w:r>
        <w:rPr>
          <w:rFonts w:ascii="Times New Roman" w:hAnsi="Times New Roman"/>
          <w:b/>
          <w:i/>
          <w:color w:val="000000"/>
          <w:sz w:val="20"/>
        </w:rPr>
        <w:t>Our ability to generate revenue and achieve profitability depends significantly on our ability to achieve several objectives relating to the discovery, development and commercialization of our product candidates.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and timely completion of preclinical and clinical development of our product candidates, evorpacept and ALX2004, and our other future product candidates;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relationships with contract research organizations, or CROs, and clinical sites for the clinical development of evorpacept, ALX2004 and our other future product candidates;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timely receipt of marketing approvals from applicable regulatory authorities for any product candidates for which we successfully complete clinical development;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of any required post-marketing approval commitments to applicable regulatory authorities;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an efficient and scalable manufacturing process for evorpacept, ALX2004 and any future product candidates, including establishing and maintaining commercially viable supply and manufacturing relationships with third parties to obtain finished products that are appropriately packaged for sale;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commercially viable supply and manufacturing relationships with third parties that can provide adequate, in both amount and quality, products and services to support clinical development and meet the market demand for our product candidates, if approved;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commercial launch following any marketing approval, including the development of a commercial infrastructure, whether in-house or with one or more collaborators;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continued acceptable safety profile following any marketing approval;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 acceptance of evorpacept and ALX2004, and any future product candidates as viable treatment options by patients, the medical community and third-party payors;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favorable coverage and adequate reimbursement by third-party payors for our product candidates;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therapies and technological and market developments;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assessing, acquiring and developing new product candidates;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maintaining and expanding patent protection, trade secret protection and regulatory exclusivity, both in the United States and internationally;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protecting our rights in our intellectual property portfolio, including our licensed intellectual property;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third-party interference or infringement claims, if any;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entering into, on favorable terms, any collaboration, licensing or other arrangements that may be necessary or desirable to develop, manufacture or commercialize our product candidates;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that may be necessary to develop, manufacture or commercialize our product candidate;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may never be successful in achieving our objectives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terms of our Loan Agreement require us to meet certain operating and financial covenants, place restrictions on our operating and financial flexibility, and may subject us to default.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June 2026, the Company’s wholly-owned subsidiary, ALX Oncology Inc., entered into the HSBC Loan Agreement, under which we have borrowed $10.0 million. Under the HSBC Loan Agreement, we may draw up to an additional $20.0 million through June 30, 2028. A further $20.0 million is potentially available to us, $10.0 million upon the achievement of pre-determined development milestones and $10.0 million at the HSBC Lender’s sole discretion. The proceeds of the loans may be used by us for working capital and to fund our general business requirements.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term loans under the HSBC Loan Agreement mature on June 1, 2030. The term loans will amortize in equal monthly installments beginning on July 1, 2028. However, upon the occurrence of the Interest Only Extension Event (as defined in the HSBC Loan Agreement), the term loans will begin to amortize in equal monthly installments beginning on July 1, 2029. The term loans accrue interest at a floating rate as described elsewhere in this report, and interest is payable monthly in arrears. The term loans once repaid or prepaid may not be reborrowed. The term loans may be prepaid in full with various prepayment premiums. Upon the earlier of prepayment or maturity of any term loan, we are required to pay a fee of 2.0% of the original principal amount of such funded term loan. We are also obligated to pay other customary fees for a loan facility of this type and size.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term loans under the HSBC Loan Agreement are secured by substantially all of our assets, except our intellectual property, which is the subject of a negative pledge, and will be guaranteed by our future subsidiaries, subject to certain limitations.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HSBC Loan Agreement contains customary affirmative and negative covenants, including covenants limiting our ability to, among other things, dispose of assets, effect certain mergers, incur debt, grant liens, pay dividends and distributions on our capital stock, make investments and acquisitions, and enter into transactions with affiliates, in each case subject to customary exceptions for a loan facility of this size and type.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If we default under the HSBC Loan Agreement, the HSBC Lender will be able to declare all obligations immediately due and payable and take control of our pledged assets, potentially requiring us to renegotiate our agreement on terms less favorable to us or to immediately cease operations. The events of default under the HSBC Loan Agreement include, among others, payment defaults, material misrepresentations, breaches of covenants, cross defaults with certain other material indebtedness, bankruptcy and insolvency events, and judgment defaults. The occurrence of an event of default could result in the acceleration of our obligations under the HSBC Loan Agreement, the termination of the HSBC Lender’s commitments, a 3.0% increase in the applicable rate of interest and the exercise by the HSBC Lender of other rights and remedies provided for under the HSBC Loan Agreement. Any declaration by the HSBC Lender of an event of default could significantly harm our business and prospects and could cause the price of our common stock to decline.</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Discovery, Development and Commercialization of Our Product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substantially dependent on the success of our lead product candidate, evorpacept, or our second product candidate, ALX2004, which are both in clinical development and have not completed a pivotal trial. If we do not obtain regulatory approval for and successfully commercialize evorpacept or ALX2004 in one or more indications, or we experience significant delays in doing so, we may never generate any revenue or become profitable.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do not have any products that have received regulatory approval and may never be able to develop marketable product candidates. We expect that a substantial portion of our efforts and expenses over the next several years will be devoted to the development of our product candidates, evorpacept and ALX2004, in our ongoing clinical trials. As a result, our business currently depends heavily on the successful development, regulatory approval and, if approved, commercialization of evorpacept in one or more of these indications, such as gastric/gastroesophageal junction, or GEJ, carcinoma, breast cancer, NHL or multiple myeloma. We cannot be certain that evorpacept will receive regulatory approval or will be successfully commercialized even if it receives regulatory approval. The research, testing, manufacturing, safety, efficacy and potency, labeling, approval, sale, marketing and distribution of evorpacept is, and will remain, subject to comprehensive regulation by the FDA and comparable foreign regulatory authorities. Our failure to timely complete clinical trials, obtain regulatory approval or, if approved, commercialize evorpacept, ALX2004 or any of our future product candidates, would materially harm our business, financial condition and results of operations. We are not permitted to market or promote evorpacept, ALX2004 or any other product candidate, before we receive marketing approval from the FDA and comparable foreign regulatory authorities, and we may never receive such marketing approvals. If we do not receive marketing approvals for evorpacept or ALX2004, we may not be able to continue our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For example, in April 2025, we announced that topline data from our Phase 2 ASPEN-03 and ASPEN-04 clinical trials did not meet the primary endpoints, and we will no longer pursue evorpacept in combination with pembrolizumab in head and neck squamous cell carcinoma (HNSCC).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evorpacept, ALX2004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 Additionally, in March 2023, the FDA issued a draft guidance on clinical trial considerations for supporting accelerated approval of oncology therapeutics, noting that although single-arm trials have been commonly used to support accelerated approval, a randomized controlled trial is the preferred approach for providing a more robust efficacy and safety assessment, among other recommendations. To the extent the FDA requires us to collect additional data or to conduct additional clinical trials in accordance with the new guidance, including with respect to our single-arm ASPEN-09-Breast study in HER2-positive breast cancer, our clinical timelines may be delayed.</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Clinical trials of our product candidates are expensive, time consuming and difficult to design and implement and may fail to demonstrate adequate safety, purity and efficacy and potency of our product candidates or provide the basis for marketing approval.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our product candidates, we must conduct preclinical development and then extensive clinical trials (including initiation of any pediatric study)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For example, in April 2025, we announced that topline data from our Phase 2 ASPEN-03 and ASPEN-04 clinical trials did not meet the primary endpoints, and we will no longer pursue evorpacept in combination with pembrolizumab in HNSCC.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do not know whether our future clinical trials will begin or enroll subjects on time or whether our ongoing and/or future clinical trials will be completed on schedule or at all. Clinical trials can be delayed for a variety of reasons, including delays related to: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approval to commence a clinical trial;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reaching agreement on acceptable terms with prospective CROs and clinical trial sites;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institutional review board approval at each clinical trial site;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adding necessary new clinical trial sites;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recruiting suitable subjects to participate in a trial;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noncompliance with clinical trial protocols;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investigational site or trial subjects withdrawing or dropping out of clinical trials at a higher rate than anticipated;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sufficient quantities of product candidate for use in clinical trials.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may experience numerous unforeseen events during, or as a result of, clinical trials that could delay or prevent receipt of marketing approval or our ability to commercialize our product candidates, including: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feedback from regulatory authorities that requires us to modify the design of our clinical trials;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or inconclusive clinical trial results or interval changes to standards of care for the treatment of specific tumor types that may require us to conduct additional clinical trials or abandon certain drug development programs;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subjects required for clinical trials is larger than anticipated, enrollment in these clinical trials is slower than anticipated or subjects dropping out of these clinical trials at a higher rate than anticipated;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clinical trials due to outbreaks or public health crises, such as the COVID-19 pandemic, that impact both trial site operations, subject selection and participation;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contractors failing to comply with regulatory requirements or meet their contractual obligations to us in a timely manner, or at all;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suspension or termination of our clinical trials for various reasons, including non-compliance with regulatory requirements, a finding that our product candidates have undesirable side effects or other unexpected characteristics or risks;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are greater than anticipated;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our product candidates or other materials necessary to conduct clinical trials of our product candidates being insufficient or inadequate;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development and approval of FDA or other comparable foreign regulatory authorities required companion diagnostics necessary for use with our product candidates;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revising the requirements for approving our product candidates.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do not know whether any clinical trials we may conduct will demonstrate consistent or adequate safety and efficacy sufficient to obtain marketing approval of our product candidates or to market our drugs after any such approval.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experience delays or difficulties in the enrollment of subjects in clinical trials and/or retention of subjects in clinical trials, our regulatory submissions or receipt of necessary marketing approvals could be delayed or prevented.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If clinical trials of evorpacept and ALX2004 are focused on indications with small patient populations, our ability to enroll eligible subjects may be limited or may result in slower enrollment than we anticipate.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the past, clinical trial enrollment and data collection has been adversely impacted by staff shortages, site closures, travel limitations and physical distancing requirements and personal safety concerns resulting from and associated with the COVID-19 pandemic.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Subject enrollment may also be affected if new standards of care become widely available or our competitors have ongoing competing clinical trials for product candidates that are under development for the same indications as our product candidates, and patients who would otherwise be eligible for our clinical trials instead enroll in clinical trials of our competitors’ product candidates. In addition, regulatory requirements governing clinical trials have changed and may continue to change in the future. The timing of our clinical trials depends on our ability to recruit subjects to participate in our studies and changes to regulatory requirements, if any, governing clinical trials may impede our ability to enroll subjects. Subject enrollment may also be affected by other factors, including: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size and nature of the patient population;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under investigation;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and efficacy or potency of current or newly approved drugs for the disease under investigation and other changes in standard of care that could make our clinical trials less attractive, including the drugs or other product candidates we use in our combination studies;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eligibility criteria for the trial in question;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facilitate timely enrollment in clinical trials by us and the clinical trial sites;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referral practices of physicians;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monitor subjects adequately during and after the clinical trial;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proximity of clinical trial sites to prospective subjects;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of subjects enrolled in clinical trials dropping out before completion;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or delay in enrollment of subjects due to a variety of reasons, including outbreaks and public health crises, such as the COVID-19 pandemic;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inability to appropriately enroll an ethnically and racially diverse patient population representative of the target patient population;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non-compliance with regulatory requirements;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experiencing severe or unexpected adverse effects related to our product candidates.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inability to enroll a sufficient number of subjects in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evaluate all data fully and carefully.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Some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If evorpacept, ALX2004 or any of our other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in ALX-Oncology-sponsored clinical trials, the most common adverse events of any grade associated with evorpacept (frequency ≥20%) are fatigue, anemia, nausea, diarrhea, constipation, and neutrophil count decrease. These events have been reported across the program in patients administered evorpacept as a single agent, in combination with pembrolizumab, trastuzumab, rituximab, azacitidine, or enfortumab vedotin and as a multiproduct regimen in combination with pembrolizumab, platinum, and 5 FU, or in combination with trastuzumab, ramucirumab, and paclitaxel, or in combination with azacitidine + venetoclax. Such side effects could also affect subject recruitment or the ability of enrolled subjects to complete the trial or result in potential product liability claims. Any adverse events as a result of evorpacept or any of our future product candidates, including in combination with therapy, may prevent us from achieving or maintaining market acceptance of the affected product candidate and may harm our business, financial condition and prospects significantly.</w:t>
      </w:r>
    </w:p>
    <w:p>
      <w:pPr>
        <w:pStyle w:val="TextBody"/>
        <w:bidi w:val="0"/>
        <w:spacing w:before="120" w:after="283"/>
        <w:jc w:val="left"/>
        <w:rPr>
          <w:rFonts w:ascii="Times New Roman" w:hAnsi="Times New Roman"/>
          <w:sz w:val="20"/>
        </w:rPr>
      </w:pPr>
      <w:r>
        <w:rPr>
          <w:rFonts w:ascii="Times New Roman" w:hAnsi="Times New Roman"/>
          <w:b/>
          <w:i/>
          <w:color w:val="000000"/>
          <w:sz w:val="20"/>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development and commercialization of new product candidates is highly competitive. We face competition with respect to evorpacept and ALX2004,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Newly approved therapeutics could change the treatment paradigm or standard of care, which could negatively impact the design of our clinical trials and the prospects of our product candidates.</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Some of these competitive products and therapies are based on scientific approaches that are the same as or similar to our approaches, including with respect to the targeting of the CD47 pathway, targeting epidermal growth factor receptor (EGFR) as an antibody-drug conjugate target, and others are based on entirely different approaches. We are aware that Adagene, Akesobio, Bio-Thera Solutions, Boehringer Ingelheim, Bristol Myers Squibb, Byondis, Centessa, Conjupro Biotherapeutics, CTTQ (SinoBiological), D3 Bio, Daiichi Sankyo, Exelixis, GenSci, Gilead Sciences (through its acquisition of Forty Seven), Hanchor Bio, HanxBio, Henlius, Hisun, Hutchmed, I-Mab, Ichnos, ImmuneOncia Therapeutics, ImmuneOnco Biopharma, Innovent, Kahr, LaNova, Lightchain Bioscience, Mabwell Therapeutics, Mabworks, Novimmune, OSE Immunotherapeutics, Pfizer (through its acquisition of Trillium Therapeutics), Phanes, Pyxis Oncology (through its acquisition of Apexigen), Shandong New Time, Shattuck Labs, Sorrento Therapeutics, Sumgen, SunHo Pharmaceutical, TG Therapeutics, Waterstone, and Zai Lab, among others, are developing or have begun development of drugs targeting the CD47 pathway that may have utility for the treatment of indications that we are targeting. We are also aware that Allink Biotherapeutics, Avenzo Therapeutics, BeOne, BioNTech, BlissBio, Bristol Myers Squibb with Systimmune, CSPC, Doma, GenSci, Hansoh Pharma, Henlius, Innovent, Junshi Biopharma, Miracogen, Merck, Novatim, and VelaVigo, among others, are developing or have begun development of antibody drug conjugates (ADCs) targeting EGFR.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evorpacept, ALX2004 and/or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our product candidates receive regulatory approval, they will be subject to significant post-marketing regulatory requirements and oversight.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current good manufacturing practices, or cGMPs, and current good clinical practices, or cGCPs, for any clinical trials that we conduct post-approval. Regulatory approvals may contain significant limitations related to use restrictions for specific target population subsets, </w:t>
      </w:r>
      <w:r>
        <w:rPr>
          <w:rFonts w:ascii="Times New Roman" w:hAnsi="Times New Roman"/>
          <w:i/>
          <w:color w:val="000000"/>
          <w:sz w:val="20"/>
        </w:rPr>
        <w:t>e.g.</w:t>
      </w:r>
      <w:r>
        <w:rPr>
          <w:rFonts w:ascii="Times New Roman" w:hAnsi="Times New Roman"/>
          <w:color w:val="000000"/>
          <w:sz w:val="20"/>
        </w:rPr>
        <w:t xml:space="preserve">, based on biomarker analyses or age groups, warnings, precautions or contraindications, or may include costly and burdensome post-approval study or risk management requirements and regulatory inspection. For example, the FDA may require a risk evaluation and mitigation strategy, or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European Medicines Agency (EMA) and other comparable foreign regulatory requirements may subject our company to administrative or judicially imposed sanctions or enforcement actions, including: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the rejection of product approvals;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our ability to conduct clinical trials, including full or partial clinical holds on ongoing or planned trials;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products, manufacturers or manufacturing process;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warning or untitled letters;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civil and criminal penalties;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regulatory approvals;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seizures, detentions or import bans;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voluntary or mandatory product recalls and publicity requirements;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or partial suspension of production;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restrictions on operations, including costly new manufacturing requirements.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occurrence of any of these sanctions, enforcement actions or penalties described above may inhibit our ability to commercialize our product candidates, even if approved, and generate revenue.</w:t>
      </w:r>
    </w:p>
    <w:p>
      <w:pPr>
        <w:pStyle w:val="TextBody"/>
        <w:bidi w:val="0"/>
        <w:spacing w:before="120" w:after="283"/>
        <w:jc w:val="left"/>
        <w:rPr>
          <w:rFonts w:ascii="Times New Roman" w:hAnsi="Times New Roman"/>
          <w:sz w:val="20"/>
        </w:rPr>
      </w:pPr>
      <w:r>
        <w:rPr>
          <w:rFonts w:ascii="Times New Roman" w:hAnsi="Times New Roman"/>
          <w:b/>
          <w:i/>
          <w:color w:val="000000"/>
          <w:sz w:val="20"/>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also expect to rely on other third parties to label, package,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 </w:t>
      </w:r>
    </w:p>
    <w:p>
      <w:pPr>
        <w:pStyle w:val="TextBody"/>
        <w:bidi w:val="0"/>
        <w:spacing w:before="120" w:after="283"/>
        <w:jc w:val="left"/>
        <w:rPr>
          <w:rFonts w:ascii="Times New Roman" w:hAnsi="Times New Roman"/>
          <w:sz w:val="20"/>
        </w:rPr>
      </w:pPr>
      <w:r>
        <w:rPr>
          <w:rFonts w:ascii="Times New Roman" w:hAnsi="Times New Roman"/>
          <w:b/>
          <w:i/>
          <w:color w:val="000000"/>
          <w:sz w:val="20"/>
        </w:rPr>
        <w:t>Material modifications in the methods of product candidate manufacturing or formulation may result in additional costs or delay.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We have previously encountered challenges in the production of a drug substance batch, and as a result incurred additional costs to address and rectify the manufacturing process.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 </w:t>
      </w:r>
    </w:p>
    <w:p>
      <w:pPr>
        <w:pStyle w:val="TextBody"/>
        <w:bidi w:val="0"/>
        <w:spacing w:before="120" w:after="283"/>
        <w:jc w:val="left"/>
        <w:rPr>
          <w:rFonts w:ascii="Times New Roman" w:hAnsi="Times New Roman"/>
          <w:sz w:val="20"/>
        </w:rPr>
      </w:pPr>
      <w:r>
        <w:rPr>
          <w:rFonts w:ascii="Times New Roman" w:hAnsi="Times New Roman"/>
          <w:b/>
          <w:i/>
          <w:color w:val="000000"/>
          <w:sz w:val="20"/>
        </w:rPr>
        <w:t>Development of product candidates in combination with other therapies could expose us to additional risks. Lack of third-party combination drugs may materially and adversely affect demand for our product candidates.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less successful commercially. 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 If the FDA, EMA or other comparable foreign regulatory authorities do not approve or revoke their approval of these other therapies, or if safety, efficacy, commercial adoption, manufacturing or supply issues arise with the therapies we choose to evaluate in combination with any other product candidate, we may be unable to obtain approval of or successfully market any one or all of the product candidates we develop.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Further, to the extent the regulatory authorities require concurrent updates to the drug labeling of an approved drug product to include the combination use to allow approval of one of our product candidates, we will need to coordinate with the third-party manufacturer regarding such combination labeling changes, which could delay or impact the approval of our product candidate. Changes in standard of care and treatment paradigm can materially and adversely affect our business and results of operations, including the design of our clinical trials. 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product candidates may be administered in combination with drugs of other pharmaceutical companies as one regimen. In addition, we currently use, and plan to use in the future, third-party drugs in our development and clinical trials as controls for our studies. As a result, the results of our clinical trials and the sales of our drugs may be affected by the availability of these third-party drugs. For instance, we have entered and may in the future enter into clinical trial collaboration and supply agreements with other pharmaceutical companies, pursuant to which our collaboration counterparties will supply doses of third-party drugs for use in certain clinical trials. If any such agreement is terminated before the trial is completed, we may need to find another source of the third-party drug in order to continue the trial.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outbreaks and public health crises, such as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business also may be implicated if any of our CROs violates fraud and abuse or false claims laws and regulations or healthcare privacy and security laws.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receive marketing approval for any of our product candidates, we may not achieve market acceptance, which would limit the revenue that we can generate from sales of any of our approved product candidates.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evorpacept and ALX2004 and any other product candidates, if any are approved, will depend on a number of factors, including, among others: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evorpacept, ALX2004, and our other product candidates to treat cancer or other applicable targeted diseases, as compared with other available drugs, treatments or therapies;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the product candidate as well as competitive products;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a product candidate is approved;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of other new therapies for the same indications;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adverse side effects associated with evorpacept, ALX2004, and our other product candidates;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contained in the labeling approved for evorpacept, ALX2004, or our other product candidates by the FDA or foreign regulatory authorities;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alternative treatments and the potential and perceived advantages of our product candidates over alternative treatments;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target patient population and the willingness of the target patient population to try new therapies and of physicians to prescribe these therapies;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and effectiveness of marketing and distribution support and timing of market introduction of competitive products;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publicity for our product candidates and competing products and treatments;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pricing and cost-effectiveness in relation to alternative treatments;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relative convenience and ease of administration;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sufficient third-party coverage or reimbursement by government, insurers or third-party payors, and the willingness of patients to pay out-of-pocket in the absence of third-party coverage;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likelihood that the FDA or any foreign regulatory authority may impose additional requirements that limit the promotion, advertising, distribution or sales of our product candidates.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evorpacept, ALX2004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If any of our product candidates is approved but does not achieve an adequate level of acceptance by patients, physicians and/or third-party payors, we may not generate sufficient revenue to become or remain profitable and our business may be harmed.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never commercialized a product candidate and we may lack the necessary expertise, personnel and resources to successfully commercialize any of our products that receive regulatory approval.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currently have no marketing and sales organization and we have never commercialized a product candidate. To achieve commercial success of our product candidates, if any are approved, we will have to develop our own medical affairs, sales, marketing and supply capabilities or outsource these activities to a third party.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 </w:t>
      </w:r>
    </w:p>
    <w:p>
      <w:pPr>
        <w:pStyle w:val="TextBody"/>
        <w:bidi w:val="0"/>
        <w:spacing w:before="120" w:after="283"/>
        <w:jc w:val="left"/>
        <w:rPr>
          <w:rFonts w:ascii="Times New Roman" w:hAnsi="Times New Roman"/>
          <w:sz w:val="20"/>
        </w:rPr>
      </w:pPr>
      <w:r>
        <w:rPr>
          <w:rFonts w:ascii="Times New Roman" w:hAnsi="Times New Roman"/>
          <w:b/>
          <w:i/>
          <w:color w:val="000000"/>
          <w:sz w:val="20"/>
        </w:rPr>
        <w:t>The market opportunities for the product candidates we develop, if approved, may be limited to certain smaller patient subsets.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There is no guarantee that the product candidates we develop, even if approved, would be approved for the currently proposed indications. We may have to conduct additional clinical trials that may be costly, time-consuming and subject to risk. Regulators, like the FDA, may require us to narrow our indications to smaller patient subsets, and the number of patients in such subsets may turn out to be lower than expected. If this were to occur, it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product candidates, evorpacept and ALX2004, are at an early stage of clinical development and not all adverse effects can be predicted or anticipated. Unforeseen side effects from evorpacept, ALX2004, or any of our future product candidates may arise at any time during clinical development or, if approved by regulatory authorities, after the approved drug product has been marketed. Any undesirable or unacceptable side effects of evorpacept, ALX2004,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Even if any of our product candidates receive marketing approval, if we or others later identify undesirable or unacceptable side effects caused by such products: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us to take our approved product off the market;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specific warnings, contraindication, precaution or field alerts to physicians and pharmacies;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including changing the dose and/or schedule of administration, limit the patient population who can use the product or conduct additional clinical trials;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limitations on how we may promote the product;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the product may decrease significantly;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litigation or product liability claims;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 </w:t>
      </w:r>
    </w:p>
    <w:p>
      <w:pPr>
        <w:pStyle w:val="TextBody"/>
        <w:bidi w:val="0"/>
        <w:spacing w:before="120" w:after="283"/>
        <w:jc w:val="left"/>
        <w:rPr>
          <w:rFonts w:ascii="Times New Roman" w:hAnsi="Times New Roman"/>
          <w:sz w:val="20"/>
        </w:rPr>
      </w:pPr>
      <w:r>
        <w:rPr>
          <w:rFonts w:ascii="Times New Roman" w:hAnsi="Times New Roman"/>
          <w:b/>
          <w:i/>
          <w:color w:val="000000"/>
          <w:sz w:val="20"/>
        </w:rPr>
        <w:t>Failure to obtain or maintain adequate coverage and reimbursement for our product candidates, if approved, could limit our ability to market those products and decrease our ability to generate revenue.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and maintain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any products for which we may obtain regulatory approval;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set a price that we believe is fair for our products;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coverage and adequate reimbursement for a product;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w:t>
      </w:r>
    </w:p>
    <w:p>
      <w:pPr>
        <w:pStyle w:val="TextBody"/>
        <w:bidi w:val="0"/>
        <w:spacing w:before="120" w:after="283"/>
        <w:jc w:val="left"/>
        <w:rPr>
          <w:rFonts w:ascii="Times New Roman" w:hAnsi="Times New Roman"/>
          <w:sz w:val="20"/>
        </w:rPr>
      </w:pPr>
      <w:r>
        <w:rPr>
          <w:rFonts w:ascii="Times New Roman" w:hAnsi="Times New Roman"/>
          <w:b/>
          <w:i/>
          <w:color w:val="000000"/>
          <w:sz w:val="20"/>
        </w:rPr>
        <w:t>The FDA and other regulatory agencies actively enforce the laws and regulations prohibiting the promotion of off-label uses.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receive regulatory approval to commercialize any of our product candidates, we will be subject to ongoing regulatory obligations and continued regulatory review with respect to our drugs, which will result in significant additional expense.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cGCPs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drug;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the drug from the market or voluntary or mandatory product recalls;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fines, warning letters or holds on clinical trials;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the FDA or any other applicable regulatory authority to approve pending applications or supplements to approved applications filed by us, or suspension or revocation of product license approvals;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 product seizure or detention, or refusal to permit the import or export of product candidates;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In June 2024, the U.S. Supreme Court overruled the </w:t>
      </w:r>
      <w:r>
        <w:rPr>
          <w:rFonts w:ascii="Times New Roman" w:hAnsi="Times New Roman"/>
          <w:i/>
          <w:color w:val="000000"/>
          <w:sz w:val="20"/>
        </w:rPr>
        <w:t>Chevron</w:t>
      </w:r>
      <w:r>
        <w:rPr>
          <w:rFonts w:ascii="Times New Roman" w:hAnsi="Times New Roman"/>
          <w:color w:val="000000"/>
          <w:sz w:val="20"/>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Further, changes in the leadership of the FDA and other federal agencies under the current U.S. presidential administration may lead to new policies and changes in the regulations that can increase our compliance costs or delay our clinical development and timelines.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 </w:t>
      </w:r>
    </w:p>
    <w:p>
      <w:pPr>
        <w:pStyle w:val="TextBody"/>
        <w:bidi w:val="0"/>
        <w:spacing w:before="120" w:after="283"/>
        <w:jc w:val="left"/>
        <w:rPr>
          <w:rFonts w:ascii="Times New Roman" w:hAnsi="Times New Roman"/>
          <w:sz w:val="20"/>
        </w:rPr>
      </w:pPr>
      <w:r>
        <w:rPr>
          <w:rFonts w:ascii="Times New Roman" w:hAnsi="Times New Roman"/>
          <w:b/>
          <w:i/>
          <w:color w:val="000000"/>
          <w:sz w:val="20"/>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For example, the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we may never obtain regulatory approval for evorpacept or ALX2004, or any other product candidates we seek to develop in the future. If we fail to comply with regulatory requirements in international markets or to obtain and maintain required approvals, our target market will be reduced and our ability to realize the full market potential of our product candidates will be harmed.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Applications for our product candidates could fail to receive regulatory approval for many reasons, including but not limited to the following: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disagree with the design, implementation or results of our clinical trials;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population studied in the clinical program may not be sufficiently broad or representative to assure efficacy and potency and safety in the full population for which we seek approval;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disagree with our interpretation of data from preclinical studies or clinical trials;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 Biologics License Application, New Drug Application or other submission or to obtain regulatory approval in the United States or elsewhere;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FDA or comparable international regulatory authorities that a product candidate’s risk-benefit ratio for its proposed indication is acceptable;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fail to approve the manufacturing processes, test procedures and specifications or facilities of third-party manufacturers with which we contract for clinical and commercial supplies;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international foreign regulatory authorities may significantly change in a manner rendering our clinical data insufficient for approval.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ability to hire and retain key personnel and accept the payment of user fees, government shutdowns, return-to-office policy and other policies and executive actions under the current U.S. presidential administration,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Further, under the new leadership at the HHS, reorganization of that department, departure of senior leadership at the FDA and other agencies under HHS, mass layoffs at HHS, government shutdown, and a lapse in U.S. government appropriations may impact operations at the FDA as well as other federal agencies, which can materially delay our timelines. The FDA may lack adequate staff and resources to meet current review, approval, and inspection schedules, which could delay our anticipated timelines. These new policies are also expected to lead to fewer agency guidance documents that could result in interference with FDA programs or lead to delays or refusals to approve products. Further, FDA’s “real-time” release of newly issued Complete Response Letters associated with withdrawn or abandoned applications, if applicable to any of our product candidates, can materially impact our competitive advantage and intellectual property. It is unclear how our industry and our clinical programs will be impacted by policies or regulations implemented under the current presidential administration and the new FDA commissioner or other executive orders. To the extent the agency reorganization and other agency changes lead to disruptions in the FDA’s operations, our interactions, correspondence, and regulatory review processes with the FDA may be delayed. </w:t>
      </w:r>
    </w:p>
    <w:p>
      <w:pPr>
        <w:pStyle w:val="TextBody"/>
        <w:bidi w:val="0"/>
        <w:spacing w:before="120" w:after="283"/>
        <w:jc w:val="left"/>
        <w:rPr>
          <w:rFonts w:ascii="Times New Roman" w:hAnsi="Times New Roman"/>
          <w:sz w:val="20"/>
        </w:rPr>
      </w:pPr>
      <w:r>
        <w:rPr>
          <w:rFonts w:ascii="Times New Roman" w:hAnsi="Times New Roman"/>
          <w:b/>
          <w:i/>
          <w:color w:val="000000"/>
          <w:sz w:val="20"/>
        </w:rPr>
        <w:t>While we have received certain FDA Fast Track designations, such Fast Track designations may not lead to a faster development or regulatory review or approval process, and do not increase the likelihood that the drug will receive marketing approval.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platinum-containing chemotherapy in January 2020.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evorpacept,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While we have received certain orphan drug designations from the FDA and the European Commission, we may be unable to maintain the benefits associated with such orphan drug designation. If we decide to seek orphan drug designation for additional indications for our product candidates in the future, we may be unsuccessful.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Under the Orphan Drug Act, the FDA may designate a product candidate as an orphan drug if it is a drug intended to treat a rare disease or condition, which is generally defined as a patient population of fewer than 200,000 individuals annually in the United States. In January 2022, the FDA’s Office of Orphan Products Development granted Orphan Drug Designation, ODD, to evorpacept for treatment for gastric/GEJ cancer. We may seek ODD for certain additional indications for our product candidates in the future. ODD neither shortens the development time or regulatory review time of a product candidate nor gives the product candidate any advantage in the regulatory review or approval process. Generally, if a product candidate with ODD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 In response to recent litigation, the FDA clarified in a January 2023 notice that the FDA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The Consolidated Appropriations Act of 2026, signed into law in February 2026, codified this longstanding FDA interpretation of the Orphan Drug Act, allowing the FDA to approve multiple versions of the same orphan drug for different subindications and subpopulations. Changes in the leadership of the FDA and other federal agencies under the current U.S. presidential administration may also lead to new policies and changes in the regulations and operations of the FDA, which may impact our clinical development plans.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June 2023, the European Commission granted ODD to evorpacept for the treatment of patients with gastric/GEJ cancer. In the European Union approved orphan medicines are granted 10 years of market exclusivity, which can be extended to 12 years if a pediatric investigation plan is completed. The market exclusivity period can be shortened if the approved orphan drug becomes commercially successful. An orphan designation can also be revoked if, for example, the prevalence of the condition increased to more than 5 per 10,000 individuals of the total population, if additional therapies are introduced after the initial designation and have improved the morbidity or mortality of a condition so that it is no longer chronically debilitating and/or life-threatening, or if we are unable to demonstrate significant benefit over existing authorized products. We can provide no assurance that we will be able to maintain all the benefits associated with the designation or that we will be successful in commercializing our product if approved. </w:t>
      </w:r>
    </w:p>
    <w:p>
      <w:pPr>
        <w:pStyle w:val="TextBody"/>
        <w:bidi w:val="0"/>
        <w:spacing w:before="120" w:after="283"/>
        <w:jc w:val="left"/>
        <w:rPr>
          <w:rFonts w:ascii="Times New Roman" w:hAnsi="Times New Roman"/>
          <w:sz w:val="20"/>
        </w:rPr>
      </w:pPr>
      <w:r>
        <w:rPr>
          <w:rFonts w:ascii="Times New Roman" w:hAnsi="Times New Roman"/>
          <w:b/>
          <w:i/>
          <w:color w:val="000000"/>
          <w:sz w:val="20"/>
        </w:rPr>
        <w:t>Current and future legislation may increase the difficulty and cost for us to commercialize our products, if approved, and affect the prices we may obtain. We may face difficulties from changes to current regulations and future legislation.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In June 2024, the U.S. Supreme Court overruled the </w:t>
      </w:r>
      <w:r>
        <w:rPr>
          <w:rFonts w:ascii="Times New Roman" w:hAnsi="Times New Roman"/>
          <w:i/>
          <w:color w:val="000000"/>
          <w:sz w:val="20"/>
        </w:rPr>
        <w:t xml:space="preserve">Chevron </w:t>
      </w:r>
      <w:r>
        <w:rPr>
          <w:rFonts w:ascii="Times New Roman" w:hAnsi="Times New Roman"/>
          <w:color w:val="000000"/>
          <w:sz w:val="20"/>
        </w:rPr>
        <w:t xml:space="preserve">doctrine, which may invite more companies and other stakeholders to bring lawsuits against the FDA to challenge longstanding decisions and policies of the FDA and other federal agencies, which could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our drugs, if we obtain regulatory approval;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receive or set a price that we believe is fair for our drugs;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capital.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June 2021, the United States Supreme Court held that Texas and other challengers had no legal standing to challenge the ACA, dismissing the case without specifically ruling on the constitutionality of the ACA. Accordingly, the ACA remains in effect in its current form. It is possible that the ACA will be subject to judicial or Congressional challenges in the future. It is unclear how additional challenges and healthcare reform measures of the current U.S. presidential administration will impact the ACA. Complying with any new legislation or reversing changes implemented under the ACA could be time-intensive and expensive, resulting in a material adverse effect on our business.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2032, with the exception of temporary suspension under COVID-19 relief legislation.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Act of 2021, effective January 1, 2024, the statutory cap on Medicaid Drug Rebate Programs rebates that manufacturers pay to state Medicaid programs was eliminated. Elimination of this cap may require pharmaceutical manufacturers to pay more in rebates than it receives on the sale of products, which could have material impact on our business. Further, in July 2021, the Biden administration released an executive order, “Promoting Competition in the American Economy,” with multiple provisions aimed at increasing competition for prescription drugs. Congress is considering legislation that, if passed, could have significant impact on prices of prescription drugs covered by Medicare, including limitations on drug price increases.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seven years (11 years for single-source biologics) can qualify for negotiation, with the negotiated price taking effect two years after the selection year. For 2026, Centers for Medicare &amp; Medicaid Services, or CMS, selected 10 high-cost Medicare Part D drugs in 2023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have initiated lawsuits against the federal government asserting that the price negotiation provisions of the Inflation Reduction Act are unconstitutional. In June 2026, the CMS issued a proposed rule that would codify policies established in guidance documents for the Medicare Drug Price Negotiation Program for initial price applicability year 2029 and beyond. CMS plans to release guidance to implement policies related to the effectuation of the MFP for the Medicare Drug Price Negotiation Program for 2028, consistent with the Inflation Reduction Act.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The One Big Beautiful Bill Act, which was signed into law in July 2025, includes provisions that will impact the U.S. healthcare system in various ways, including by cuts to Medicaid and introducing new participant work and eligibility requirements for Medicaid coverage, which are expected to significantly change the administration and applicability of Medicaid coverage.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Government agreements with pharmaceutical companies and other measures that use most-favored-nation pricing targets for prescription drugs, including the use of international pricing reference to set drug prices in the United States, or that increase generic and biosimilar drug entry sooner than expected,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The impact of ongoing and future judicial challenges as well as other legislative, executive, and administrative actions and agency rules implemented by the current U.S. presidential administration on us and the pharmaceutical industry as a whole is unclear. The implementation of cost containment measures or other healthcare reforms may prevent us from being able to generate revenue, attain profitability, or commercialize our product candidates if approved.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FDA has authorized the state of Florida to develop Section 804 Importation Programs to import certain prescription drugs from Canada for a limited period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the European Union, similar political, economic and regulatory developments may affect our ability to profitably commercialize our current or any future product candidates.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Although we do not currently have any products on the market, our operations may be directly, or indirectly through our prescribers, consultants,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False Claims Act, or FCA.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and criminal false claims, including the civil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 </w:t>
      </w:r>
    </w:p>
    <w:p>
      <w:pPr>
        <w:pStyle w:val="TextBody"/>
        <w:bidi w:val="0"/>
        <w:spacing w:before="120" w:after="283"/>
        <w:ind w:left="4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Health Insurance Portability and Accountability Act, or 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w:t>
      </w:r>
    </w:p>
    <w:p>
      <w:pPr>
        <w:pStyle w:val="TextBody"/>
        <w:bidi w:val="0"/>
        <w:spacing w:before="120" w:after="283"/>
        <w:ind w:left="495"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Times New Roman" w:hAnsi="Times New Roman"/>
          <w:i/>
          <w:color w:val="000000"/>
          <w:sz w:val="20"/>
        </w:rPr>
        <w:t>i.e.</w:t>
      </w:r>
      <w:r>
        <w:rPr>
          <w:rFonts w:ascii="Times New Roman" w:hAnsi="Times New Roman"/>
          <w:color w:val="000000"/>
          <w:sz w:val="20"/>
        </w:rPr>
        <w:t xml:space="preserve">,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 </w:t>
      </w:r>
    </w:p>
    <w:p>
      <w:pPr>
        <w:pStyle w:val="TextBody"/>
        <w:bidi w:val="0"/>
        <w:spacing w:before="120" w:after="283"/>
        <w:ind w:left="4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Federal Food, Drug and Cosmetic Act prohibits, among other things, the adulteration or misbranding of drugs, biologics and medical devices. </w:t>
      </w:r>
    </w:p>
    <w:p>
      <w:pPr>
        <w:pStyle w:val="TextBody"/>
        <w:bidi w:val="0"/>
        <w:spacing w:before="120" w:after="283"/>
        <w:ind w:left="4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pStyle w:val="TextBody"/>
        <w:bidi w:val="0"/>
        <w:spacing w:before="120" w:after="283"/>
        <w:ind w:left="495"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European and other foreign law equivalents of each of the laws also impose legal requirements, including reporting requirements detailing interactions with and payments to healthcare providers.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do not comply with laws regulating the protection of the environment and health and human safety, our business could be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costs and expenses due to injuries to our employees resulting from the use of these materials, as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Disruptions at the FDA, SEC or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the ability to hire and retain key personnel, return-to-office policies and other executive actions by the current U.S. presidential administration, and changes in the leadership and operations of the FDA.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For example, the U.S. government has shut down in the past, forcing regulatory authorities such as the FDA and SEC to furlough employees, and in response to the COVID-19 pandemic, the FDA has postponed certain inspections. If global health concerns or other causes continue to prevent the FDA or other regulatory authorities from conducting their normal operations, such as regular inspections, reviews, or other regulatory activities in a timely manner, or if the FDA and other agencies experience other delays, backlogs or disruptions, it could significantly impact the ability of the FDA or other regulatory authorities to timely review and process our regulatory submissions, which could have a material adverse effect on our business.</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business activities may be subject to the Foreign Corrupt Practices Act, or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our products may be subject to U.S. and foreign export controls, trade sanctions and import laws and regulations, including increased tariffs. Governmental regulation of the import or export of our products, including the potential negative impact of tariff increases,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Data collection under European and U.S. laws is governed by restrictive regulations addressing the collection, use, processing and, in the case of Europe, cross-border transfer, of personal information (i.e., information that relates to an identified or identifiable individual).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may collect, process, use or transfer personal information from individuals located in the European Economic Area, or EEA, Switzerland and the United Kingdom in connection with our business, including in connection with conducting clinical trials in these regions.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Additionally, if any of our product candidates are approved, we may seek to commercialize those products in the EEA or the United Kingdom or Switzerland. The collection and use of personal information (which includes health data) in the EEA is governed, in part, by the provisions of the General Data Protection Regulation (EU) 2016/679, or the GDPR, or its UK equivalent, the UK General Data Protection Regulation, or, together with the UK’s Data Protection Act 2018, the UK GDPR, or the new Swiss Federal Act on Data Protection, or FADP. These regulations impose requirements relating to having a legal basis for processing personal information and transferring such information outside of the EEA, the United Kingdom and Switzerland, respectively, as applicable, including to the United States, informing concerned individuals about the processing of their personal information, keeping personal information secure, having data processing agreements with third parties who process personal information on our behalf, responding to individuals’ requests to exercise their rights in respect of their personal information, reporting security breaches involving personal information to the competent national data protection authority and affected individuals, appointing data protection officers, conducting data protection impact assessments and record-keeping.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Any actual or alleged failure to comply with the GDPR, UK GDPR, FADP, or other data protection laws may result in regulatory inquiries and other proceedings, substantial fines, other administrative penalties and civil claims being brought against us, which could have a material adverse effect on our business, financial condition and results of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GDPR, UK GDPR and FADP also restrict the transfer of personal information outside of the EEA, United Kingdom and Switzerland, respectively, unless appropriate safeguards are in place.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One primary set of safeguards, the Standard Contractual Clauses adopted by the European Commission, has been updated recently. With regard to data transfers outside of the EEA to the United States, in March 2022, the European Union and United States established a new framework for personal information transfers, the EU-U.S. Data Privacy Framework, or the EU-U.S. DPF. A related framework, the Swiss-U.S. Data Privacy Framework, or Swiss-U.S. DPF, also was established, and was the subject of an adequacy decision by the Swiss Federal Council on August 14, 2024. On July 10, 2023, the European Commission adopted an adequacy decision relating to the EU-U.S. DPF. Additionally, a UK Extension to the EU-U.S. DPF, became effective on October 12, 2023. We are evaluating whether to make use of the EU-U.S. DPF and the UK Extension to the EU-U.S. DPF to transfer personal information from the EEA to the United States.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Data protection regulation in the United Kingdom is subject to some uncertainty. Although the European Commission granted “adequacy” status to the United Kingdom in June 2021, and personal information can flow from the European Union to the United Kingdom and back, the United Kingdom may change its policy with respect to the export of personal information to third countries, such as the United States. The United Kingdom made targeted amendments to the UK GDPR in the UK Data (Use and Access) Act 2025, or DUAA, which was enacted on June 19, 2025. The European Commission has renewed the UK’s adequacy decision after assessing the DUAA through December 2031, but it may be modified or revoked in the interim. In addition, in February 2022, the United Kingdom’s Information Commissioner’s Office issued new Standard Contractual Clauses for the transfer of personal information outside of the United Kingdom. The data transfers enforcement landscape and the longer-term stability of the EU-U.S. DPF and related programs remain uncertain, which could require us to modify our policies and practices and increase our compliance costs.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EU also has implemented new and revised laws and regulations relating to cybersecurity, including the Network and Information Security Directive II, or NIS2, adopted in 2023, which aims to enhance cybersecurity across critical infrastructure and essential services in the EU. NIS2 provides for all EU member states to have issued implementing legislation by October 2024; however, several EU member states have not finalized their respective legislation and guidance.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may, therefore, incur liabilities, expenses, costs, and other operational losses under the GDPR, the UK GDPR, the FADP, and applicable laws and regulations of European Union member states in connection with any measures we take to comply with them.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Additionally, the California Privacy Rights Act, or the CPRA, was approved by California voters in November 2020. The CPRA modified and augmented the CCPA significantly, effective as of January 1, 2023, resulting in further uncertainty and requiring us to incur additional costs and expenses in an effort to comply. Numerous other states have proposed, and in certain cases enacted similar laws, including comprehensive privacy laws similar to the CCPA enacted in Alabama, Colorado, Connecticut, Delaware, Florida, Indiana, Iowa, Kentucky, Maryland, Minnesota, Montana, Nebraska, New Hampshire, New Jersey, Oklahoma, Oregon, Rhode Island, Tennessee, Texas, Utah, Vermont, and Virginia. Other states have proposed, and in certain cases enacted, legislation addressing privacy and cybersecurity in the context of specific subject matter such as biometrics and health-related personal information. The U.S. Department of Justice also has issued rules regarding certain bulk sensitive personal data transfers. As we expand our operations, preclinical studies and clinical trials, these new state laws and other state laws and regulations relating to privacy, data security, and the collection, use, transfer, and other processing of data may increase our compliance costs and potential liability. Laws and regulations relating to these matters are not consistent across jurisdictions, and they may impose conflicting or uncertain obligations. Compliance with these and any other applicable laws and regulations relating to these matters is a rigorous, costly and time-intensive process, and we may be required to put in place additional mechanisms to address new and changing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maintain and enforce patent protection for our product candidates and related technology, our business could be materially harmed.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in a timely manner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allowable claims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Times New Roman" w:hAnsi="Times New Roman"/>
          <w:i/>
          <w:color w:val="000000"/>
          <w:sz w:val="20"/>
        </w:rPr>
        <w:t>inter partes</w:t>
      </w:r>
      <w:r>
        <w:rPr>
          <w:rFonts w:ascii="Times New Roman" w:hAnsi="Times New Roman"/>
          <w:color w:val="000000"/>
          <w:sz w:val="20"/>
        </w:rPr>
        <w:t xml:space="preserve"> review, post-grant review, opposition or derivation proceedings challenging our patent rights or the patent rights of others.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changes in law may introduce uncertainty in the enforceability or scope of patents we own.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Beginning June 1, 2023, European patent applications and patents may be subjected to the jurisdiction of the Unified Patent Court, or UPC. Also, European patent applications will have the option, upon grant of a patent, of becoming a Unitary Patent, which will be subject to the jurisdiction of the UPC. The UPC and Unitary Patent are significant changes in European patent practice. As the UPC is a new court system, there is no precedent for the court, increasing the uncertainty of any litigation in the UPC.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court proceedings to enforce our intellectual property rights, and the damages or other remedies awarded to us,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Additionally, the requirements for patentability may differ in certain countries. For example, in certain countries, there is no link between regulatory approval of a drug and its patent status, and patenting of medical uses of a claimed drug are prohibited. In addition,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 </w:t>
      </w:r>
    </w:p>
    <w:p>
      <w:pPr>
        <w:pStyle w:val="TextBody"/>
        <w:bidi w:val="0"/>
        <w:spacing w:before="12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patent laws or patent jurisprudence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Times New Roman" w:hAnsi="Times New Roman"/>
          <w:i/>
          <w:color w:val="000000"/>
          <w:sz w:val="20"/>
        </w:rPr>
        <w:t>e.g.</w:t>
      </w:r>
      <w:r>
        <w:rPr>
          <w:rFonts w:ascii="Times New Roman" w:hAnsi="Times New Roman"/>
          <w:color w:val="000000"/>
          <w:sz w:val="20"/>
        </w:rPr>
        <w:t xml:space="preserve">, via post-grant reviews or </w:t>
      </w:r>
      <w:r>
        <w:rPr>
          <w:rFonts w:ascii="Times New Roman" w:hAnsi="Times New Roman"/>
          <w:i/>
          <w:color w:val="000000"/>
          <w:sz w:val="20"/>
        </w:rPr>
        <w:t>inter partes</w:t>
      </w:r>
      <w:r>
        <w:rPr>
          <w:rFonts w:ascii="Times New Roman" w:hAnsi="Times New Roman"/>
          <w:color w:val="000000"/>
          <w:sz w:val="20"/>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patents covering one or more of our product candidates could be found invalid or unenforceable if challenged.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120" w:after="283"/>
        <w:jc w:val="left"/>
        <w:rPr>
          <w:rFonts w:ascii="Times New Roman" w:hAnsi="Times New Roman"/>
          <w:sz w:val="20"/>
        </w:rPr>
      </w:pPr>
      <w:r>
        <w:rPr>
          <w:rFonts w:ascii="Times New Roman" w:hAnsi="Times New Roman"/>
          <w:b/>
          <w:i/>
          <w:color w:val="000000"/>
          <w:sz w:val="20"/>
        </w:rPr>
        <w:t>Patent protection, prosecution, assertion and defense for some of our product candidates may be dependent on third parties.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There may be times in the future when certain patents that relate to our product candidates or any approved products are controlled by our licensees or licensors, such as with respect to our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protect the confidentiality of our trade secrets and proprietary information or obtain proper assignment of such intellectual property, the value of our technology and products could be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former service provider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including former service provider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become involved in lawsuits to protect or enforce our patents and trade secrets, which could be expensive, time-consuming and unsuccessful.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are examples of litigation and other adversarial proceedings or disputes that we could become a party to involving our patents or patents licensed to us: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initiate litigation or other proceedings against third parties to enforce our patent and trade secret rights;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initiate litigation or other proceedings seeking to invalidate patents owned by or licensed to us or to obtain a declaratory judgment that their product or technology does not infringe our patents or patents licensed to us;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initiate opposition or other proceedings challenging the validity or scope of our patent rights, requiring us and/or licensors to participate in such proceedings to defend the validity and scope of our patents;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a challenge or dispute regarding inventorship or ownership of patents or trade secrets currently identified as being owned by or licensed to us, including disputes that may arise from our previous reliance on Tallac Therapeutics as the sole provider of our preclinical research services and the intellectual property generated under the Tallac Services Agreement; or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subject to claims that we or our employees or consultants have wrongfully used or disclosed alleged trade secrets or other proprietary information of our employees’ or consultants’ former employers or their clients.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“We may become involved in lawsuits to protect or enforce our patents and trade secrets, which could be expensive, time-consuming and unsuccessful.” </w:t>
      </w:r>
    </w:p>
    <w:p>
      <w:pPr>
        <w:pStyle w:val="TextBody"/>
        <w:bidi w:val="0"/>
        <w:spacing w:before="120" w:after="283"/>
        <w:jc w:val="left"/>
        <w:rPr>
          <w:rFonts w:ascii="Times New Roman" w:hAnsi="Times New Roman"/>
          <w:sz w:val="20"/>
        </w:rPr>
      </w:pPr>
      <w:r>
        <w:rPr>
          <w:rFonts w:ascii="Times New Roman" w:hAnsi="Times New Roman"/>
          <w:b/>
          <w:i/>
          <w:color w:val="000000"/>
          <w:sz w:val="20"/>
        </w:rPr>
        <w:t>Our commercial success depends in part on our ability to operate without infringing the patents and other proprietary rights of third parties.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aware of third-party patents and patent applications containing claims in the immuno-oncology field based on scientific approaches that are the same as or similar to our approach, including with respect to the targeting of the CD47 and signal regulatory protein alpha, or SIRPα, pathways, and others that are based on entirely different approaches. These patents and applications could potentially be construed to cover our product candidates and their use. For example, we are aware of U.S. patent 10,907,209 owned by University Health Network, or UHN, and The Hospital for Sick Children that may encompass certain therapies for the treatment of cancer using polypeptides comprising soluble human SIRPα, as well as related applications in other jurisdictions. This patent relates to the treatment of cancer with polypeptides comprising soluble human SIRPα. Pfizer, through its acquisition of Trillium Therapeutics, has an exclusive license to the U.S. patent and related applications. The European counterpart patent (EP 2 429 574) was subject to European Patent Office opposition proceedings, which resulted in the patent being upheld in amended form. Additionally, we are aware of a second European Patent (EP 2 995 315), a divisional of European patent (EP 2 429 574), granted to UHN and The Hospital for Sick Children. This patent relates to the eradication of hematological CD47+ cancer cells and tumors with polypeptides comprising soluble human SIRPα, or a CD47-binding fragment thereof. This patent was upheld as granted by the European Patent Office Opposition Division on November 28, 2025. This decision is currently under appeal. The patent claims of both EP 2 429 574 and EP 2 995 315 could potentially limit our ability to pursue evorpacept in certain indications in certain territories in the EU in the future unless we obtain a license under these patents, these patents are determined to be invalid or unenforceable by the European Patent Office or a national court in one or more relevant territories, these patents are revoked or otherwise limited by the European Patent Office or a national court, or until these patents expire. A license may however not be available on commercially reasonable terms or at all. With respect to U.S. patent 10,907,209, we believe that we do not infringe claims listed in this U.S. patent. Further, with respect to the development of our ALX2004 program, many companies have filed, and continue to file, patent applications related to ADCs and components thereof that are similar to our approach.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intellectual property rights will not necessarily provide us with competitive advantages.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our product candidates but that are not covered by the claims of the patents that we own or have exclusively licensed;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without infringing our intellectual property rights;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own or have exclusively licensed may not provide us with competitive advantages, or may be held invalid or unenforceable, as a result of legal challenges by our competitors;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fail to develop additional proprietary technologies that are patentable;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certain foreign countries may not protect our intellectual property rights to the same extent as the laws of the United States, or we may fail to apply for or obtain adequate intellectual property protection in all the jurisdictions in which we operate;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have an adverse effect on our business, for example by preventing us from marketing one or more of our product candidates for one or more indications.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Any of the aforementioned threats to our competitive advantage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We will need to obtain FDA approval for any proposed product candidate names, and any failure or delay associated with product candidate name approval may adversely affect our business.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will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 </w:t>
      </w:r>
    </w:p>
    <w:p>
      <w:pPr>
        <w:pStyle w:val="TextBody"/>
        <w:bidi w:val="0"/>
        <w:spacing w:before="120" w:after="283"/>
        <w:jc w:val="left"/>
        <w:rPr>
          <w:rFonts w:ascii="Times New Roman" w:hAnsi="Times New Roman"/>
          <w:sz w:val="20"/>
        </w:rPr>
      </w:pPr>
      <w:r>
        <w:rPr>
          <w:rFonts w:ascii="Times New Roman" w:hAnsi="Times New Roman"/>
          <w:b/>
          <w:i/>
          <w:color w:val="000000"/>
          <w:sz w:val="20"/>
        </w:rPr>
        <w:t>Our rights to develop and commercialize our product candidates may be subject, in part, to the terms and conditions of agreements with others.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Moreover, disputes may arise regarding intellectual property subject to a collaboration agreement, including: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the option or license rights granted under the agreement and other interpretation-related issues;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our technology and processes infringe on intellectual property of the collaborator that is not subject to the option or license rights granted under the agreement;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sublicensing of patent and other rights under our collaborative development relationships;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diligence obligations under the agreement and what activities satisfy those diligence obligations;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inventorship and ownership of inventions and know-how resulting from the joint creation or use of intellectual property by our collaborators and us and our other partners;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priority of invention of patented technology.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In order to successfully implement our plans and strategies, we will need to grow the size of our organization, and we may experience difficulties in managing this growth.</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June 30, 2026, we had 48 employees, including 32 employees engaged in research and development. In order to successfully implement our development and commercialization plans and strategies, and as we continue to operate as a public company, we expect we will need additional managerial, scientific, technical, medical, operational, sales, marketing, financial and other personnel. Future growth may impose significant added responsibilities on members of management, including: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recruiting, integrating, retaining and motivating additional employees;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our internal development efforts effectively, including the clinical and FDA review process for evorpacept, ALX2004 and any other future product candidates, while complying with applicable contractual obligations to contractors and other third parties;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and updating our operational, financial and management controls, reporting systems and procedures.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future financial performance and our ability to successfully develop and, if approved, commercialize evorpacept and ALX2004, and any other future product candidates will depend, in part, on our ability to effectively manage any future growth, which may require our management team to divert its attention away from day-to-day activities of the business and devote a substantial amount of time to the added responsibilities associated with managing these growth activities.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evorpacept, ALX2004 and any other future product candidates or otherwise advance our business. We cannot assure you that we will be able to manage our existing third-party service providers or find other qualified outside contractors and consultants on economically reasonable terms, or at all.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If we are not able to effectively maintain our organization by retaining employees or expand our organization by hiring new employees and/or engaging additional third-party service providers, we may not be able to successfully implement the tasks necessary to further develop and commercialize evorpacept and ALX2004, and other future product candidates and, accordingly, may not achieve our research, development and commercialization goals.</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product candidates are based on novel technologies, which makes it difficult to predict the time and cost of product candidate development.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concentrated our product research and development efforts on our novel approaches, and our future success depends on the successful development of our product candidates, evorpacept and ALX2004, and any future product candidates that we develop. There can be no assurance that any development problems we experience in the future related to our novel approaches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our inability to find suitable replacements, and the impacts of any executive officer changes, could result in delays in the development of our product candidates and harm our business. Additionally, layoffs or furloughs, including the previously completed RIF, pausing recruiting efforts, or employee attrition could also create delays in the development of our product candidates, yield unintended consequences and costs, such as the loss of institutional knowledge and expertise, attrition beyond the intended reduction in force, the distraction of employees and reduced employee morale, which could all adversely affect our reputation as an employer, making it more difficult for us to hire new employees in the future and harm our business.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We expect that we may need to recruit talent from outside of our region and doing so may be costly and difficult.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Additionally, the U.S. has recently experienced historically high levels of inflation and an acute workforce shortage generally, which has created a hyper-competitive wage environment that may increase our operating costs.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therefore any declining value in our equity grants could negatively impact our ability to successfully retain existing employees or effectively recruit new employees.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international operations may expose us to business, regulatory, political, operational, financial, pricing and reimbursement risks associated with doing business outside of the United States.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multiple, conflicting and changing laws and regulations such as privacy regulations, tax laws, export and import restrictions, including changes in tariff and trade policies, employment laws, regulatory requirements and other governmental approvals, permits and licenses, including within the European Union and in the United Kingdom as a result of Brexit;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obtain and maintain regulatory approvals for the use of our products in various countries;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rejection or qualification of foreign clinical trial data by the competent authorities of other countries;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complexities and difficulties in obtaining, maintaining, protecting and enforcing our intellectual property, including as a result of potentially relevant third-party patent rights;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staffing and managing foreign operations;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complexities associated with managing multiple payor reimbursement regimes, government payors or patient self-pay systems;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limits in our ability to penetrate international markets;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risks, such as longer payment cycles, difficulty collecting accounts receivable, the impact of local and regional financial crises on demand and payment for our drugs;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exposure to foreign currency exchange rate fluctuations;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political and economic instability, such as the geopolitical unrest and regional economic disruptions caused by Russia’s war with Ukraine, and war and instability in Israel, Iran, and the surrounding region, and including wars, terrorism and political unrest, boycotts, curtailment of trade and other business restrictions;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natural disasters, such as a fire, an earthquake or a flood, or outbreaks or public health crises, such as the COVID-19 pandemic;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security breach or incident or a related breach of our information systems or data;</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expenses including, among others, expenses for travel, translation and insurance;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and compliance risks that relate to anti-corruption compliance and record-keeping that may fall within the purview of the FCPA, its accounting provisions or its anti-bribery provisions, or provisions of anti-corruption or anti-bribery laws in other countries.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Any of these factors could harm our future international expansion and operations and, consequently, our results of operations.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become exposed to costly and damaging product liability claims, either when testing our product candidates in the clinic or at the commercial stage, and our product liability insurance may not cover all damages from such claims.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spending on current and future research and development programs, such as evorpacept,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For example, we entered into clinical trial collaborations with our collaborators, including Sanofi, Jazz and the investigator-sponsored trials, to supply evorpacept for clinical trials to advance new combination therapies. We have limited control over the amount and timing of resources that our collaborators dedicate to the development of our products. Any termination or disruption of collaborations could result in delays in the development of products, increases in our costs to develop the products or the termination of development of a product.</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may seek to enter into collaborations, licenses and other similar arrangements for the development or commercialization of our product candidates, due to strategic advantages to partnering with third parties and capital costs required to develop or commercialize the product candidate in such markets. For instance, we entered into a collaboration agreement with Tallac Therapeutics pursuant to which we expect to jointly develop, manufacture, and commercialize a novel cancer immunotherapy.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 </w:t>
      </w:r>
    </w:p>
    <w:p>
      <w:pPr>
        <w:pStyle w:val="TextBody"/>
        <w:bidi w:val="0"/>
        <w:spacing w:before="120" w:after="283"/>
        <w:ind w:left="0" w:right="0" w:firstLine="495"/>
        <w:jc w:val="left"/>
        <w:rPr>
          <w:rFonts w:ascii="Times New Roman" w:hAnsi="Times New Roman"/>
          <w:color w:val="000000"/>
          <w:sz w:val="20"/>
        </w:rPr>
      </w:pPr>
      <w:r>
        <w:rPr>
          <w:rFonts w:ascii="Times New Roman" w:hAnsi="Times New Roman"/>
          <w:color w:val="000000"/>
          <w:sz w:val="20"/>
        </w:rPr>
        <w:t xml:space="preserve">Even if we are successful in our efforts to establish such collaborations, the terms that we agree upon may not be favorable to us, and we may not be able to maintain such collaborations if, for example, development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acquire businesses or assets and we may not realize the benefits of such acquisitions.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may acquire businesses or assets or create joint ventures with third parties that we believe may complement our existing product candidates. For example, in October 2021, we acquired ScalmiBio, Inc., or ScalmiBio. We are developing new anti-cancer drug candidates based on ScalmiBio’s platform, and the acquisition of ScalmiBio enhanced our internal research and development capabilities. In order to realize the continuing benefits of the ScalmiBio acquisition, we will need to continue to make a substantial investment of time and resources to support research and development efforts. Additionally, we may not be able to realize the benefit of acquiring businesses or assets or joint ventures if we are not able to successfully integrate them with our existing operations and company culture. We may encounter difficulties in developing, manufacturing and marketing any new product candidates resulting from an acquisition, which may delay or prevent us from realizing their expected benefits.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Also, the anticipated benefit of any joint venture or acquisition may not materialize, and any potential or future joint venture or acquisition may be prohibited.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pStyle w:val="TextBody"/>
        <w:bidi w:val="0"/>
        <w:spacing w:before="120" w:after="283"/>
        <w:jc w:val="left"/>
        <w:rPr>
          <w:rFonts w:ascii="Times New Roman" w:hAnsi="Times New Roman"/>
          <w:sz w:val="20"/>
        </w:rPr>
      </w:pPr>
      <w:r>
        <w:rPr>
          <w:rFonts w:ascii="Times New Roman" w:hAnsi="Times New Roman"/>
          <w:b/>
          <w:i/>
          <w:color w:val="000000"/>
          <w:sz w:val="20"/>
        </w:rPr>
        <w:t>Our ability to utilize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Under the U.S. Internal Revenue Code of 1986, as amended, if a corporation undergoes an “ownership change” (generally defined as a greater than 50% change (by value) in the ownership of its equity by its shareholders holding 5% or more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shifts in our stock ownership, some of which are outside our control. As of December 31, 2025, we had net operating loss carryforwards of approximately $305.4 million and $69.0 million for U.S. federal and state income tax purposes, respectively. Our ability to utilize those net operating loss carryforwards could be limited by an “ownership change” as described above, which could result in increased tax liability to our company. The federal net operating losses carry forward indefinitely but may only offset 80% of taxable income in periods of future utilization. The state net operating loss carryforwards will begin to expire in 2038. Other limitations may apply under state law. For example, California legislation suspends the use of state net operating losses by taxpayers with net business income or modified adjusted gross income of $1 million or more for tax years beginning on or after January 1, 2024 and before January 1, 2027.</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tax laws</w:t>
      </w:r>
      <w:r>
        <w:rPr>
          <w:rFonts w:ascii="Times New Roman" w:hAnsi="Times New Roman"/>
          <w:color w:val="000000"/>
          <w:sz w:val="20"/>
        </w:rPr>
        <w:t xml:space="preserve"> </w:t>
      </w:r>
      <w:r>
        <w:rPr>
          <w:rFonts w:ascii="Times New Roman" w:hAnsi="Times New Roman"/>
          <w:b/>
          <w:i/>
          <w:color w:val="000000"/>
          <w:sz w:val="20"/>
        </w:rPr>
        <w:t>or in their implementation or interpretation may adversely affect our business and financial condition.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or may become subject to income and non-income taxes in the United States under federal, state and local jurisdictions and in certain foreign jurisdictions in which we operate. Tax laws, regulations and administrative practices in these jurisdictions may be subject to significant change, with or without advance notice. For example, the Organisation for Economic Co-operation and Development, or OECD, has proposed implementing a global minimum tax of 15%, or Pillar Two, which has been implemented into the domestic laws of European Union member countries and is being considered for implementation by other countries. However, on January 5, 2026, the OECD announced a side-by-side elective safe harbor that exempts U.S.-parented multinational businesses from certain provisions of Pillar Two for fiscal years beginning on or after January 1, 2026. Changes in tax laws, regulations, or rulings, changes in interpretations of existing laws and regulations, or changes in accounting principles could negatively and materially affect our financial position, cash flows, and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left"/>
        <w:rPr>
          <w:rFonts w:ascii="Times New Roman" w:hAnsi="Times New Roman"/>
          <w:sz w:val="20"/>
        </w:rPr>
      </w:pPr>
      <w:r>
        <w:rPr>
          <w:rFonts w:ascii="Times New Roman" w:hAnsi="Times New Roman"/>
          <w:b/>
          <w:i/>
          <w:color w:val="000000"/>
          <w:sz w:val="20"/>
        </w:rPr>
        <w:t>We do not know whether an active, liquid and orderly trading market will be sustained for our common stock.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sell shares of our common stock in future financings, stockholders may experience immediate dilution and, as a result, our stock price may decline.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may from time-to-time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our 2025 Shelf Registration Statement provides for aggregate offerings of up to $364.1 million of the Company’s securities inclusive of up to $119.1 million of shares of our common stock through the at-the-market, or ATM, offering. From December 2021 to June 30, 2026, we sold an aggregate of 3,183,109 shares of common stock under our ATM offering. On October 10, 2023, we completed a registered offering (the October 2023 Offering) for the issuance and sale of an aggregate of 8,663,793 shares of common stock at an offering price of $6.38 per share and pre-funded warrants to purchase 1,250,000 shares of common stock at an offering price of $6.379 per pre-funded warrant. On February 2, 2026, we completed the February 2026 Offering for the issuance and sale of an aggregate of 76,979,112 shares of common stock at an offering price of $1.57 per share and pre-funded warrants to purchase 18,574,120 shares of common stock at an offering price of $1.569 per pre-funded warrant. Our stockholders may be further diluted by the exercise of the pre-funded warrants issued in the October 2023 Offering and February 2026 Offering. As of June 30, 2026, 6,100,317 shares underlying the pre-funded warrants had been exercised. If we issue common stock or securities convertible into common stock, our stockholders will experience additional dilution and our stock price may decline.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price of our stock may be volatile, and you could lose all or part of your investment.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trading price of our common stock has been and may be highly volatile and subject to wide fluctuations in response to various factors, some of which are beyond our control. In addition to those discussed in this “Risk Factors” section and elsewhere in this Quarterly Report on Form 10-Q, the following factors may cause the market price of our common stock to fluctuate: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and timing of our preclinical studies and clinical trials and studies and trials of our competitors;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or discontinuation of any of our development programs;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issues in manufacturing our product candidates or any future approved products;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developments or enforcement in the United States and foreign countries with respect to our product candidates or our competitors’ products;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from existing products or new products that may emerge;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our growth and development relative to our competitors;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patents or other proprietary rights;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introduction of new product candidates or technological innovations by us or our competitors;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our future strategic partners or our competitors of significant acquisitions, strategic partnerships, joint ventures or capital commitments;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or recommendations by securities analysts, if any cover our common stock;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the valuation of companies perceived by investors to be comparable to us;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 concern over our product candidates or any future approved products;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sales of our common stock by us, our insiders or our other stockholders including pursuant to the existing primary and secondary shelf registration statements that we have filed with the SEC;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expiration of market stand-off or lock-up agreements;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 price and volume fluctuations attributable to inconsistent trading volume levels of our shares;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perceptions of our ability to maintain our listing on Nasdaq;</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key personnel;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of actual or anticipated reduction in force, including the RIF;</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 care payment systems in the United States or overseas;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any of our product candidates, if approved, to achieve commercial success;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macroeconomic conditions and global economic environment, such as inflation, interest rate changes, trade and other global disputes and interruptions, including related to tariffs and trade protection measures, U.S. federal government shutdowns, economic downturns, bank failures or instability in the financial services sector, or geopolitical risks, disasters, and medical or public health crises, such as the COVID-19 pandemic;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period-to-period fluctuations in our financial condition and results of operations, including the timing of payment or receipt of any future milestone or other payments under commercialization or licensing agreements;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or expectations of additional financing efforts;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fluctuations in U.S. equity markets, general market conditions and market conditions for biotechnology stocks;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factors that may be unanticipated or out of our control.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the stock market has recently experienced significant volatility, particularly with respect to biotechnology and other life sciences company stocks.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maintain listing of our securities on the Nasdaq Global Select Market or another reputable stock exchange, it may be more difficult for our stockholders to sell their securities.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Nasdaq requires listing issuers to comply with certain standards in order to remain listed on its exchange. If, for any reason, Nasdaq should delist our securities from trading on its exchange and we are unable to obtain listing on another reputable national securities exchange, it could have a materially adverse effect on our ability to raise additional funds as well as on the price and liquidity of our common stock.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For example, if at any time the bid price of our common stock closes below $1.00 per share for more than 30 consecutive business days, we may be subject to delisting from the Nasdaq Global Select Market. On April 23, 2025, we received a notice from Nasdaq notifying us that we have not been in compliance with the minimum bid price requirement for continued listing on the Nasdaq Global Select Market set forth in Nasdaq Listing Rule 5450(a)(1) for a period of 30 consecutive business days. In accordance with Nasdaq Listing Rule 5810(c)(3)(A), we have been provided a compliance period of 180 calendar days from the date of the Notice, or until October 20, 2025, to regain compliance (subject to any additional 180-day compliance period which may be available to us). To regain compliance with Nasdaq’s minimum bid price requirement, the closing price per share of our common stock must be at least $1.00 per share for a minimum of ten consecutive business days during the 180-calendar day compliance period, unless the Staff exercises its discretion to extend this ten-business day period. In September 2025, we received written confirmation from the Staff of Nasdaq that we had regained compliance with the minimum bid price requirement, as the closing bid price of our common stock had been at $1.00 per share or greater for ten consecutive business days. However, there can be no assurance that we will be able to maintain compliance with the minimum bid price requirement or other Nasdaq listing standards. To the extent that we are unable to maintain compliance with Nasdaq listing standards, there is a risk that our common stock may be delisted from Nasdaq, which would adversely impact liquidity of our common stock and potentially result in even lower bid prices for our common stock. </w:t>
      </w:r>
    </w:p>
    <w:p>
      <w:pPr>
        <w:pStyle w:val="TextBody"/>
        <w:bidi w:val="0"/>
        <w:spacing w:before="120" w:after="283"/>
        <w:jc w:val="left"/>
        <w:rPr>
          <w:rFonts w:ascii="Times New Roman" w:hAnsi="Times New Roman"/>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our guidance.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Furthermore, our operating results may fluctuate due to a variety of other factors, many of which are outside of our control and may be difficult to predict, including the following: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of, and level of investment in, research and development activities relating to our current product candidates and any future product candidates and research-stage programs, which will change from time to time. For example, inflationary pressures have increased and we expect will continue to increase costs for our clinical trials;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enroll subjects in clinical trials and the timing of enrollment;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expenditures that we will or may incur to acquire or develop additional product candidates and technologies or other assets;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outcomes of clinical trials for evorpacept and ALX2004, and any of our other product candidates, or competing product candidates;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conduct unanticipated clinical trials or trials that are larger or more complex than anticipated;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from existing and potential future products that compete with evorpacept, ALX2004 and any of our other product candidates, and changes in the competitive landscape of our industry, including consolidation among our competitors or partners;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delays in regulatory review or approval of evorpacept, ALX2004 or any of our other product candidates;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demand for evorpacept, ALX2004 and any of our other product candidates, if approved, which may fluctuate significantly and be difficult to predict;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risk/benefit profile, cost and reimbursement policies with respect to our product candidates, if approved, and existing and potential future products that compete with evorpacept, ALX2004 and any of our other product candidates;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commercialize evorpacept, ALX2004, and any of our other product candidates, if approved, inside and outside of the United States, either independently or working with third parties;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licensing or other arrangements;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adequately support future growth;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increase in interest expense due to an increase in the floating rate under the HSBC Loan Agreement as described elsewhere in this Quarterly Report on Form 10-Q;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unforeseen business disruptions that increase our costs or expenses;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accounting pronouncements or changes in our accounting policies;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weak or declining economy resulting from adverse macroeconomic conditions such as inflation, interest rate changes, uncertainty in the financial services industry, trade and other global disputes and interruptions, including related to tariffs and trade protection measures, U.S. federal government shutdowns, and any U.S. federal government debt default due to a failure to increase the debt ceiling;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outbreaks or public health crises, such as the COVID-19 pandemic, geopolitical unrest related to Russia’s conflict with Ukraine, war and instability in Israel, Iran, and the surrounding region, and bank failures or instability in the financial services sector on the global economy.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These and other risks associated with our planned international operations may materially adversely affect our ability to attain profitable operations. Further, there is currently significant uncertainty about the future relationship between the United States and various other countries, most significantly China, with respect to trade policies, treaties, tariffs, taxes, and other limitations on cross-border operations. For example, the President recently signed into law the 2026 National Defense Authorization Act, which includes Section 851 regarding a “[p]rohibition on contracting with certain biotechnology providers" (the BIOSECURE Act), which restricts federal government contracts, grants, and loans from being issued to companies that use biotechnology equipment or services from any designated “biotechnology company of concern,” as part of such companies’ performance of those agreements with the U.S. government. This legislation, including its implementing regulations, or similar legislation in the future, could adversely impact our current or future third-party arrangements with certain companies, including those in China or Chinese-owned U.S. companies. Once the implementing regulations of Section 851 come into effect, which will be no later than the second half of 2028, some of our business partners may be designated as biotechnology companies of concern through the criteria and process established by the implementing regulations. Even if we do not seek any covered federal government contracts, grants, or loans, it is possible that commercial partners, government agencies, or other third parties may view our business less favorably if we contract with entities that ultimately become biotechnology companies of concern.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addition, in February and April 2025, the current U.S. presidential administration imposed new tariffs on China and China responded with tariffs on select U.S. goods. While we cannot predict what actions may ultimately be taken with respect to trade relations between the United States and China or other countries, if we are unable to obtain or use services or products from existing service providers, including those of contract development and manufacturing organizations, or if alternative service providers cannot be secured at an acceptable cost or at all, or if such actions cause broader disruption in drug manufacturing and related industries that impact drug product availability or pricing, our business, liquidity, financial condition, and/or results of operations would be materially and adversely affected.</w:t>
      </w:r>
    </w:p>
    <w:p>
      <w:pPr>
        <w:pStyle w:val="TextBody"/>
        <w:bidi w:val="0"/>
        <w:spacing w:before="120" w:after="283"/>
        <w:jc w:val="left"/>
        <w:rPr>
          <w:rFonts w:ascii="Times New Roman" w:hAnsi="Times New Roman"/>
          <w:sz w:val="20"/>
        </w:rPr>
      </w:pPr>
      <w:r>
        <w:rPr>
          <w:rFonts w:ascii="Times New Roman" w:hAnsi="Times New Roman"/>
          <w:b/>
          <w:i/>
          <w:color w:val="000000"/>
          <w:sz w:val="20"/>
        </w:rPr>
        <w:t>Sales of a substantial number of shares of our common stock in the public market could cause our stock price to fall.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If our stockholders sell, or the market perceives that our stockholders intend to sell, a substantial amount of our common stock in the public market, the market price of our common stock could decline significantly.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 of 1933, as amended, or the Securities Act.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October 10, 2023, we completed the October 2023 Offering and on February 2, 2026, we completed the February 2026 Offering. Our stockholders may be further diluted by the exercise of the pre-funded warrants issued in the October 2023 Offering and February 2026 Offering. As of June 30, 2026, 6,100,317 shares underlying the pre-funded warrants had been exercised. Furthermore, we currently have an effective resale shelf registration statement which enables the selling stockholders thereunder, three of our largest stockholders, to sell shares in the public market which could cause our stock price to decline. In addition, any future sales of shares of common stock or other securities under our 2025 Shelf Registration Statement, including pursuant to our ATM facility, could put downward pressure on our stock price. 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pStyle w:val="TextBody"/>
        <w:bidi w:val="0"/>
        <w:spacing w:before="120" w:after="283"/>
        <w:jc w:val="left"/>
        <w:rPr>
          <w:rFonts w:ascii="Times New Roman" w:hAnsi="Times New Roman"/>
          <w:sz w:val="20"/>
        </w:rPr>
      </w:pPr>
      <w:r>
        <w:rPr>
          <w:rFonts w:ascii="Times New Roman" w:hAnsi="Times New Roman"/>
          <w:b/>
          <w:i/>
          <w:color w:val="000000"/>
          <w:sz w:val="20"/>
        </w:rPr>
        <w:t>If securities or industry analysts do not publish research or publish inaccurate or unfavorable research about our business, our share price and trading volume could decline.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incurred and will continue to incur significant increased costs and management resources as a result of operating as a public company.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incurred and will continue to incur significant legal, accounting, compliance and other expenses as a public company. Our management and other personnel need to devote a substantial amount of time and incur significant expense in connection with compliance initiatives. For example, as a public company, we must maintain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maintain an enterprise resource planning, or ERP, system, which is designed to combine and streamline the management of our financial, accounting, human resources, sales and marketing and other functions, enabling us to manage operations and track performance more effectively. The ERP system has and will continue to require the investment of significant financial and human resources in order to ensure effective use of the system. Additionally, in the future, we may be limited in our ability to convert any business that we acquire to the ERP. Any disruptions or difficulties in using an ERP system could adversely affect our internal controls and harm our business, including our ability to forecast or make sales and collect our receivables. Moreover, such disruption or difficulties could result in unanticipated costs and diversion of management attention.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As a public company, we maintain directors’ and officers’ insurance coverage, which has significantly increased in recent years.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While we were a large-accelerated filer for fiscal year 2022, we have been a “non-accelerated filer” since fiscal year 2023 and we anticipate we will continue to be one throughout fiscal year 2026. This status could make our common stock less attractive to investors.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Each year, we re-evaluate our SEC filing status. Accordingly, we are a non-accelerated filer, and due to our public float as of June 30, 2025, we anticipate we will be a non-accelerated filer throughout calendar year 2026. This will be re-evaluated each June 30. Pursuant to Section 404(a) of SOX, we are required to furnish a report by our management on our internal control over financial reporting. However, while we remain a non-accelerated filer, we will not be required to include an attestation report issued by our independent registered public accounting firm on the effectiveness of our internal control over financial reporting. If, after our next June 30 re-evaluation, we are no longer a non-accelerated filer, we would be required to include an attestation report on internal control over financial reporting issued by our independent registered public accounting firm and adhere to earlier filing dates based on our determined status beginning with our Form 10-K for the fiscal year. We cannot predict if investors will find our common stock less attractive if we choose to rely on this exemption. If some investors find our common stock less attractive as a result of our non-accelerated filer status, there may be a less active trading market for our common stock and our stock price may be more volatile and may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 conditions and changing circumstances could impair our ability to access our existing cash, cash equivalents and investments and to timely pay key vendors and others.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Market conditions and changing circumstances, some of which may be beyond our control, could impair our ability to access our existing cash, cash equivalents and investments and to timely pay key vendors and others. For example, in March 2023, SVB, where we maintain certain immaterial accounts, was placed into receivership with the FDIC, and all funds held at SVB were temporarily inaccessible to SVB’s customers. If other banks and financial institutions with whom we have banking relationships enter receivership or become insolvent in the future, we may be unable to access, or we may lose, some or all of our existing cash, cash equivalents and investments, to the extent those funds are not insured or otherwise protected by the FDIC. In addition, in such circumstances we might not be able to timely pay key vendors, employees, and others. We regularly maintain cash balances that are not insured or are in excess of the FDIC’s insurance limit. In addition, any U.S. federal government debt default due to a failure to increase the debt ceiling may lead to lack of access to our investments in U.S. treasury securities or losses or lower returns on such investments, in addition to broader macroeconomic risk that would follow any such default. Any delay in our ability to access our cash, cash equivalents and investments, or the loss of some or all of such funds, or inability to pay key vendors and others timely, could have a material adverse effect on our operations and cause us to seek additional capital sooner than planned.</w:t>
      </w:r>
    </w:p>
    <w:p>
      <w:pPr>
        <w:pStyle w:val="TextBody"/>
        <w:bidi w:val="0"/>
        <w:spacing w:before="120" w:after="283"/>
        <w:jc w:val="left"/>
        <w:rPr>
          <w:rFonts w:ascii="Times New Roman" w:hAnsi="Times New Roman"/>
          <w:sz w:val="20"/>
        </w:rPr>
      </w:pPr>
      <w:r>
        <w:rPr>
          <w:rFonts w:ascii="Times New Roman" w:hAnsi="Times New Roman"/>
          <w:b/>
          <w:i/>
          <w:color w:val="000000"/>
          <w:sz w:val="20"/>
        </w:rPr>
        <w:t>We do not anticipate paying cash dividends and, accordingly, stockholders must rely on share appreciation for any return on their investment.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As a result, capital appreciation, if any, of our common stock will be your sole source of gain on your investment for the foreseeable future. Investors seeking cash dividends should not invest in our common stock.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substantial rights.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To the extent that we raise additional capital through the sale of equity or convertible debt securities, a stockholder’s ownership interest will be diluted, and the terms of these new securities may include liquidation or other preferences that adversely affect one’s rights as a common stockholder. Sales of equity securities may be made under our 2025 Shelf Registration Statement and pursuant to our related ATM facility described therein. Additionally, our stockholders may be further diluted by the exercise of the pre-funded warrants issued in the October 2023 Offering and the February 2026 Offering. As of June 30, 2026, 6,100,317 shares underlying the pre-funded warrants had been exercised. Debt financing, if available, may involve fixed payment obligations or agreements that include covenants limiting or restricting our ability to take specific actions such as incurring additional debt, making capital expenditures or declaring dividends. The HSBC Loan Agreement with the HSBC Lender restricts our ability to incur additional indebtedness without the consent of the HSBC Lender.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 </w:t>
      </w:r>
    </w:p>
    <w:p>
      <w:pPr>
        <w:pStyle w:val="TextBody"/>
        <w:bidi w:val="0"/>
        <w:spacing w:before="120" w:after="283"/>
        <w:jc w:val="left"/>
        <w:rPr>
          <w:rFonts w:ascii="Times New Roman" w:hAnsi="Times New Roman"/>
          <w:sz w:val="20"/>
        </w:rPr>
      </w:pPr>
      <w:r>
        <w:rPr>
          <w:rFonts w:ascii="Times New Roman" w:hAnsi="Times New Roman"/>
          <w:b/>
          <w:i/>
          <w:color w:val="000000"/>
          <w:sz w:val="20"/>
        </w:rPr>
        <w:t>Delaware law and provisions in our amended and restated certificate of incorporation and bylaws might discourage, delay or prevent a change in control of our company or changes in our management and, therefore, depress the trading price of our common stock.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Provisions in our amended and restated certificate of incorporation and amended and restated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that our board of directors is divided into three classes, with each class serving staggered three-year terms;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vacancies on our board of directors may be filled only by a majority of directors then in office, even though less than a quorum;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our directors may only be removed for cause;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cumulative voting in the election of directors;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issue shares of convertible preferred stock and determine the price and other terms of those shares, including preferences and voting rights, without stockholder approval;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our board of directors with the exclusive right to elect a director to fill a vacancy or newly created directorship;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stockholders to only take actions at a duly called annual or special meeting and not by written consent;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stockholders from calling a special meeting of stockholders;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that stockholders give advance notice to nominate directors or submit proposals for consideration at stockholder meetings;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amend the bylaws;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affirmative vote of at least 66 2/3% or more of the outstanding shares of common stock to amend many of the provisions described above.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derivative action or proceeding brought on behalf of us;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of breach of a fiduciary duty;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arising under the Delaware General Corporation Law, or DGCL, our amended and restated certificate of incorporation or our amended and restated bylaws, as either may be amended from time to time;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that is governed by the internal affairs doctrine.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This provision would not apply to suits brought to enforce a duty or liability created by the Securities Exchange Act of 1934, as amended, or Exchange Act, or any other claim for which the U.S. federal courts have exclusive jurisdiction.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amended and restated bylaws further provide that the federal district courts of the United States will be the exclusive forum for resolving any complaint asserting a cause of action arising under the Securities Act.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maintain effective internal control over financial reporting in the future, investors may lose confidence in the accuracy and completeness of our financial reports, and the market price of our common stock may be materially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the past, we experienced material weaknesses in our internal control over financial reporting, which have since been remediated for a number of years. If in the future, we have a material weakness in our internal controls over financial reporting, we may not be able to prevent or detect errors on a timely basis and our consolidated financial statements may be materially misstated. We or our independent registered public accounting firm, if required,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which would harm our business and the trading price of our common stock.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our independent registered public accounting firm in connection with Section 404(b) of SOX, as long as such attestation report is required pursuant to such section by our independent registered public accounting firm,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have since been remediated for a number of years. However, our remediation of previous material weaknesses may not prevent any future deficiency in our internal control over financial reporting. Inferior internal controls could also cause investors to lose confidence in our reported financial information, which could have a negative effect on the trading price of our common stock.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Any failure to maintain effective internal control over financial reporting could have a material adverse effect on our business, financial condition and results of operations and the trading price of our common stock.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required to disclose material changes made in our internal controls over financing reporting and procedures on a quarterly basis and our management are required to assess the effectiveness of these controls annually. We were no longer an “emerging growth company” as of December 31, 2021 and as such, pursuant to Section 404(b) of SOX, our independent registered public accounting firm attested to the effectiveness of our internal control over financial reporting as of December 31, 2021. However, we became a “non-accelerated filer” for fiscal year 2023. While we remain a non-accelerated filer, we will not be required to include an attestation report issued by our independent registered public accounting firm on the effectiveness of our internal control over financial reporting. Upon a change in status to an accelerated or large-accelerated filer, our independent registered public accounting firm would be required to attest to the effectiveness of our internal control over financial reporting as of the filing of the Form 10-K of that year. An independent assessment of the effectiveness of our internal controls could detect problems that our management’s assessment might not and therefore we may be less likely to detect deficiencies in our internal controls over financial reporting in the future and during any fiscal year for which we remain a non-accelerated filer.</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organized in a holding company structure and we are, and will be, dependent upon the results of operations and cash flows of our subsidiaries and distributions we receive from our subsidiaries.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 </w:t>
      </w:r>
    </w:p>
    <w:p>
      <w:pPr>
        <w:pStyle w:val="TextBody"/>
        <w:bidi w:val="0"/>
        <w:spacing w:before="240" w:after="283"/>
        <w:jc w:val="left"/>
        <w:rPr>
          <w:rFonts w:ascii="Times New Roman" w:hAnsi="Times New Roman"/>
          <w:sz w:val="20"/>
        </w:rPr>
      </w:pPr>
      <w:r>
        <w:rPr>
          <w:rFonts w:ascii="Times New Roman" w:hAnsi="Times New Roman"/>
          <w:b/>
          <w:color w:val="000000"/>
          <w:sz w:val="20"/>
        </w:rPr>
        <w:t>General Risks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such as the ongoing geopolitical unrest related to Russia’s war with Ukraine, war and instability in Israel, Iran, and the surrounding region,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experience disruptions and delays or incur financial damages as a result of system failures or security breaches or incidents.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Despite our implementation of security measures, any of the computer systems and networks belonging to or used by us or our employees and our CROs and other third-party service providers are vulnerable to damage and disruption from computer viruses, ransomware and other malicious code, unauthorized access, natural disasters, terrorism, war and telecommunication and electrical failure, as well as security breaches and incidents from inadvertent or intentional actions, or from cyber-attacks by malicious third parties (including supply chain cyber-attacks, denial-of-service attacks, social engineering and other means to affect service reliability and threaten the confidentiality, integrity and availability of information), which may compromise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 which could result in financial, legal, business and reputational harm to us. Any system failure, accident or security breach or incident that causes interruptions in our own or in our CROs’ or other third-party service providers’ operations could result in a material disruption of our drug discovery and development programs or other aspects of our operations. We may be more susceptible to security breaches and other security incidents while a large percentage of our employees continue to work from home for some portion of time because we and our service providers have less capability to monitor and enforce policies for those employees. Also, ongoing geopolitical unrest and related events such as Russia’s war with Ukraine and war and instability in Israel, Iran, and the surrounding region may subject us and our CROs and other third-party service providers to heightened risks of cyber-attacks and security breaches and incidents, any of which could materially disrupt our drug discovery and development programs or other aspects of our operations.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 system failure or security breach or incident that leads to the loss, corruption or unavailability of clinical trial data from completed, ongoing, or future clinical trials could result in delays in our regulatory approval efforts and significantly increase our costs in order to recover or reproduce the lost, corrupted, or unavailable data. In addition, if any disruption or security breach or incident results in loss, destruction, alteration, or unavailability of, or damage or unauthorized access to, our data or applications or unauthorized access to, disclosure, dissemination or other processing of confidential or proprietary information that we or our third-party service providers process, including personal information related to the subjects in our clinical trials, we may incur liability as a result, our drug discovery programs and competitive position may be adversely affected and further development of our product candidates may be delayed. Any such disruption, failure or security breach or incident could also cause us to incur additional costs to remedy the damages that arise from such disruption, failure or security breach or incident. Additionally, in the event of any such disruption, failure or security breach or incident, or any perception that one has occurred, we could be exposed to claims, demands, and litigation and governmental investigations and other proceedings, the further development and commercialization of our product candidates could be delayed, and we could be subject to significant liabilities, including fines or penalties for any noncompliance with certain state, federal and/or international privacy and security laws. We expect to incur significant costs in an effort to detect and prevent security breaches and incidents, and we may face increased costs and requirements to expend substantial resources in the event of an actual or perceived security breach or incident.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insurance policies may not be adequate to compensate us for the potential losses arising from any such disruption, failure or security breach or incident.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 </w:t>
      </w:r>
    </w:p>
    <w:p>
      <w:pPr>
        <w:pStyle w:val="TextBody"/>
        <w:bidi w:val="0"/>
        <w:spacing w:before="12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by SEC rules and regulations.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These inherent limitations include the facts that judgments in decision-making can be faulty and that breakdowns can occur because of simple error or mistake. Additionally, controls can be circumvented by the individual acts of some persons, by the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subject to securities litigation, which is expensive and could divert management attention.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market price of our common stock has experienced significant fluctuations in the past year and may be volatile in the future.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the business, which could seriously harm our business.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7" w:name="part2_item2_unreg"/>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Proceeds from Initial Public Offering of Common Stock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There has been no material change in the planned use of proceeds from our initial public offering as described in our final prospectus filed with the SEC on July 17, 2020 pursuant to Rule 424(b)(4). We invested the funds received in accordance with our investment policy. None of such payments were direct or indirect payments to any of our directors or officers (or their associates), to persons owning ten percent or more of our common stock or to any other affiliates.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part2_item3_defaults"/>
      <w:bookmarkEnd w:id="18"/>
      <w:r>
        <w:rPr>
          <w:rFonts w:ascii="Times New Roman" w:hAnsi="Times New Roman"/>
          <w:b/>
          <w:color w:val="000000"/>
          <w:sz w:val="20"/>
        </w:rPr>
        <w:t>Item 3. Defaults Upon Senior Securities</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part2_item4_mine"/>
      <w:bookmarkEnd w:id="19"/>
      <w:r>
        <w:rPr>
          <w:rFonts w:ascii="Times New Roman" w:hAnsi="Times New Roman"/>
          <w:b/>
          <w:color w:val="000000"/>
          <w:sz w:val="20"/>
        </w:rPr>
        <w:t>Item 4. Mine Safety Disclosures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bookmarkStart w:id="20" w:name="part2_item5_other"/>
      <w:bookmarkEnd w:id="20"/>
      <w:r>
        <w:rPr>
          <w:rFonts w:ascii="Times New Roman" w:hAnsi="Times New Roman"/>
          <w:b/>
          <w:color w:val="000000"/>
          <w:sz w:val="20"/>
        </w:rPr>
        <w:t>Item 5. Other Information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During our last fiscal quarter, none of our officers or directors, as defined in Rule 16a-1(f), adopted and/or terminated a “Rule 10b5-1 trading arrangement” or a “non-Rule 10b5-1 trading arrangement,” as defined in Regulation S-K Item 408.</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1" w:name="part2_item6_exhibits"/>
      <w:bookmarkEnd w:id="21"/>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44"/>
        <w:gridCol w:w="146"/>
        <w:gridCol w:w="4749"/>
        <w:gridCol w:w="146"/>
        <w:gridCol w:w="616"/>
        <w:gridCol w:w="146"/>
        <w:gridCol w:w="551"/>
        <w:gridCol w:w="146"/>
        <w:gridCol w:w="796"/>
        <w:gridCol w:w="146"/>
        <w:gridCol w:w="691"/>
        <w:gridCol w:w="146"/>
        <w:gridCol w:w="1082"/>
      </w:tblGrid>
      <w:tr>
        <w:trPr/>
        <w:tc>
          <w:tcPr>
            <w:tcW w:w="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92"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74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br/>
              <w:t>DATE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br/>
              <w:t>HEREWITH</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79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9" w:type="dxa"/>
            <w:tcBorders/>
            <w:tcMar>
              <w:top w:w="0" w:type="dxa"/>
              <w:left w:w="0" w:type="dxa"/>
              <w:bottom w:w="0" w:type="dxa"/>
              <w:right w:w="0" w:type="dxa"/>
            </w:tcMar>
            <w:vAlign w:val="center"/>
          </w:tcPr>
          <w:p>
            <w:pPr>
              <w:pStyle w:val="TableContents"/>
              <w:bidi w:val="0"/>
              <w:spacing w:before="0" w:after="283"/>
              <w:jc w:val="left"/>
              <w:rPr/>
            </w:pPr>
            <w:hyperlink w:anchor="alxo-ex10_1.htm">
              <w:r>
                <w:rPr>
                  <w:rStyle w:val="InternetLink"/>
                  <w:rFonts w:ascii="Times New Roman" w:hAnsi="Times New Roman"/>
                  <w:color w:val="0000FF"/>
                  <w:sz w:val="20"/>
                  <w:u w:val="single"/>
                </w:rPr>
                <w:t>2020 Employee Stock Purchase Plan,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9" w:type="dxa"/>
            <w:tcBorders/>
            <w:tcMar>
              <w:top w:w="0" w:type="dxa"/>
              <w:left w:w="0" w:type="dxa"/>
              <w:bottom w:w="0" w:type="dxa"/>
              <w:right w:w="0" w:type="dxa"/>
            </w:tcMar>
            <w:vAlign w:val="center"/>
          </w:tcPr>
          <w:p>
            <w:pPr>
              <w:pStyle w:val="TableContents"/>
              <w:bidi w:val="0"/>
              <w:spacing w:before="0" w:after="283"/>
              <w:jc w:val="left"/>
              <w:rPr/>
            </w:pPr>
            <w:hyperlink w:anchor="alxo-ex10_2.htm">
              <w:r>
                <w:rPr>
                  <w:rStyle w:val="InternetLink"/>
                  <w:rFonts w:ascii="Times New Roman" w:hAnsi="Times New Roman"/>
                  <w:color w:val="0000FF"/>
                  <w:sz w:val="20"/>
                  <w:u w:val="single"/>
                </w:rPr>
                <w:t>Loan and Security Agreement, dated as of June 25, 2026, among ALX Oncology Inc., as borrower, and ALX Oncology Holdings Inc. and ALX Oncology Limited, each as guarantors, and HSBC Ventures USA Inc., as bank.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9" w:type="dxa"/>
            <w:tcBorders/>
            <w:tcMar>
              <w:top w:w="0" w:type="dxa"/>
              <w:left w:w="0" w:type="dxa"/>
              <w:bottom w:w="0" w:type="dxa"/>
              <w:right w:w="0" w:type="dxa"/>
            </w:tcMar>
            <w:vAlign w:val="center"/>
          </w:tcPr>
          <w:p>
            <w:pPr>
              <w:pStyle w:val="TableContents"/>
              <w:bidi w:val="0"/>
              <w:spacing w:before="0" w:after="283"/>
              <w:jc w:val="left"/>
              <w:rPr/>
            </w:pPr>
            <w:hyperlink w:anchor="alxo-ex31_1.htm">
              <w:r>
                <w:rPr>
                  <w:rStyle w:val="InternetLink"/>
                  <w:rFonts w:ascii="Times New Roman" w:hAnsi="Times New Roman"/>
                  <w:color w:val="0000EE"/>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9" w:type="dxa"/>
            <w:tcBorders/>
            <w:tcMar>
              <w:top w:w="0" w:type="dxa"/>
              <w:left w:w="0" w:type="dxa"/>
              <w:bottom w:w="0" w:type="dxa"/>
              <w:right w:w="0" w:type="dxa"/>
            </w:tcMar>
            <w:vAlign w:val="center"/>
          </w:tcPr>
          <w:p>
            <w:pPr>
              <w:pStyle w:val="TableContents"/>
              <w:bidi w:val="0"/>
              <w:spacing w:before="0" w:after="283"/>
              <w:jc w:val="left"/>
              <w:rPr/>
            </w:pPr>
            <w:hyperlink w:anchor="alxo-ex31_2.htm">
              <w:r>
                <w:rPr>
                  <w:rStyle w:val="InternetLink"/>
                  <w:rFonts w:ascii="Times New Roman" w:hAnsi="Times New Roman"/>
                  <w:color w:val="0000EE"/>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9" w:type="dxa"/>
            <w:tcBorders/>
            <w:tcMar>
              <w:top w:w="0" w:type="dxa"/>
              <w:left w:w="0" w:type="dxa"/>
              <w:bottom w:w="0" w:type="dxa"/>
              <w:right w:w="0" w:type="dxa"/>
            </w:tcMar>
            <w:vAlign w:val="center"/>
          </w:tcPr>
          <w:p>
            <w:pPr>
              <w:pStyle w:val="TableContents"/>
              <w:bidi w:val="0"/>
              <w:spacing w:before="0" w:after="283"/>
              <w:jc w:val="left"/>
              <w:rPr/>
            </w:pPr>
            <w:hyperlink w:anchor="alxo-ex32_1.htm">
              <w:r>
                <w:rPr>
                  <w:rStyle w:val="InternetLink"/>
                  <w:rFonts w:ascii="Times New Roman" w:hAnsi="Times New Roman"/>
                  <w:color w:val="0000EE"/>
                  <w:sz w:val="20"/>
                  <w:u w:val="single"/>
                </w:rPr>
                <w:t>Certification of Principal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9" w:type="dxa"/>
            <w:tcBorders/>
            <w:tcMar>
              <w:top w:w="0" w:type="dxa"/>
              <w:left w:w="0" w:type="dxa"/>
              <w:bottom w:w="0" w:type="dxa"/>
              <w:right w:w="0" w:type="dxa"/>
            </w:tcMar>
            <w:vAlign w:val="center"/>
          </w:tcPr>
          <w:p>
            <w:pPr>
              <w:pStyle w:val="TableContents"/>
              <w:bidi w:val="0"/>
              <w:spacing w:before="0" w:after="283"/>
              <w:jc w:val="left"/>
              <w:rPr/>
            </w:pPr>
            <w:hyperlink w:anchor="alxo-ex32_2.htm">
              <w:r>
                <w:rPr>
                  <w:rStyle w:val="InternetLink"/>
                  <w:rFonts w:ascii="Times New Roman" w:hAnsi="Times New Roman"/>
                  <w:color w:val="0000EE"/>
                  <w:sz w:val="20"/>
                  <w:u w:val="single"/>
                </w:rPr>
                <w:t>Certification of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included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Certain exhibits and schedules have been omitted in accordance with Item 601(a)(5) of Regulation S-K. The registrant agrees to furnish supplementally a copy of any omitted exhibit or schedule to the SEC upon its request.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r>
        <w:rPr>
          <w:rFonts w:ascii="Times New Roman" w:hAnsi="Times New Roman"/>
          <w:b/>
          <w:color w:val="000000"/>
          <w:sz w:val="20"/>
        </w:rPr>
        <w:t>.</w:t>
      </w:r>
    </w:p>
    <w:p>
      <w:pPr>
        <w:pStyle w:val="TextBody"/>
        <w:bidi w:val="0"/>
        <w:jc w:val="left"/>
        <w:rPr/>
      </w:pPr>
      <w:r>
        <w:rPr/>
        <w:t> </w:t>
      </w:r>
    </w:p>
    <w:tbl>
      <w:tblPr>
        <w:tblW w:w="5474" w:type="dxa"/>
        <w:jc w:val="left"/>
        <w:tblInd w:w="0" w:type="dxa"/>
        <w:tblLayout w:type="fixed"/>
        <w:tblCellMar>
          <w:top w:w="28" w:type="dxa"/>
          <w:left w:w="28" w:type="dxa"/>
          <w:bottom w:w="28" w:type="dxa"/>
          <w:right w:w="28" w:type="dxa"/>
        </w:tblCellMar>
      </w:tblPr>
      <w:tblGrid>
        <w:gridCol w:w="1846"/>
        <w:gridCol w:w="146"/>
        <w:gridCol w:w="406"/>
        <w:gridCol w:w="307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ALX ONCOLOGY HOLDINGS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tbl>
      <w:tblPr>
        <w:tblW w:w="4964" w:type="dxa"/>
        <w:jc w:val="left"/>
        <w:tblInd w:w="0" w:type="dxa"/>
        <w:tblLayout w:type="fixed"/>
        <w:tblCellMar>
          <w:top w:w="28" w:type="dxa"/>
          <w:left w:w="28" w:type="dxa"/>
          <w:bottom w:w="28" w:type="dxa"/>
          <w:right w:w="28" w:type="dxa"/>
        </w:tblCellMar>
      </w:tblPr>
      <w:tblGrid>
        <w:gridCol w:w="1846"/>
        <w:gridCol w:w="146"/>
        <w:gridCol w:w="406"/>
        <w:gridCol w:w="256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Harish Shantharam</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Harish Shantharam</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tbl>
      <w:tblPr>
        <w:tblW w:w="7634" w:type="dxa"/>
        <w:jc w:val="left"/>
        <w:tblInd w:w="0" w:type="dxa"/>
        <w:tblLayout w:type="fixed"/>
        <w:tblCellMar>
          <w:top w:w="28" w:type="dxa"/>
          <w:left w:w="28" w:type="dxa"/>
          <w:bottom w:w="28" w:type="dxa"/>
          <w:right w:w="28" w:type="dxa"/>
        </w:tblCellMar>
      </w:tblPr>
      <w:tblGrid>
        <w:gridCol w:w="1846"/>
        <w:gridCol w:w="146"/>
        <w:gridCol w:w="406"/>
        <w:gridCol w:w="523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3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Shelly Wong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Shelly Wong</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Senior Vice President, Finance and Chief Accounting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alxo-ex10_1.htm"/>
      <w:bookmarkStart w:id="24" w:name="ksalxoex10_1"/>
      <w:bookmarkEnd w:id="23"/>
      <w:bookmarkEnd w:id="24"/>
      <w:r>
        <w:rPr>
          <w:rFonts w:ascii="Times New Roman" w:hAnsi="Times New Roman"/>
          <w:b/>
          <w:color w:val="000000"/>
          <w:sz w:val="20"/>
        </w:rPr>
        <w:t>Exhibit 10.1</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ALX ONCOLOGY HOLDINGS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2020 EMPLOYEE STOCK PURCHASE PLAN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As amended June 10, 2026</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Purpose</w:t>
      </w:r>
      <w:r>
        <w:rPr>
          <w:rFonts w:ascii="Times New Roman" w:hAnsi="Times New Roman"/>
          <w:color w:val="000000"/>
          <w:sz w:val="24"/>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Code Section 423</w:t>
      </w:r>
      <w:r>
        <w:rPr>
          <w:color w:val="000000"/>
        </w:rPr>
        <w:t xml:space="preserve"> </w:t>
      </w:r>
      <w:r>
        <w:rPr>
          <w:rFonts w:ascii="Times New Roman" w:hAnsi="Times New Roman"/>
          <w:color w:val="000000"/>
          <w:sz w:val="24"/>
        </w:rPr>
        <w:t>(the “</w:t>
      </w:r>
      <w:r>
        <w:rPr>
          <w:rFonts w:ascii="Times New Roman" w:hAnsi="Times New Roman"/>
          <w:color w:val="000000"/>
          <w:sz w:val="24"/>
          <w:u w:val="single"/>
        </w:rPr>
        <w:t>423 Component</w:t>
      </w:r>
      <w:r>
        <w:rPr>
          <w:color w:val="000000"/>
        </w:rPr>
        <w:t>”</w:t>
      </w:r>
      <w:r>
        <w:rPr>
          <w:rFonts w:ascii="Times New Roman" w:hAnsi="Times New Roman"/>
          <w:color w:val="000000"/>
          <w:sz w:val="24"/>
        </w:rPr>
        <w:t xml:space="preserve">) and a component that is not intended to qualify as an “employee stock purchase plan” under Code Section </w:t>
      </w:r>
      <w:bookmarkStart w:id="25" w:name="docxtextref2"/>
      <w:bookmarkEnd w:id="25"/>
      <w:r>
        <w:rPr>
          <w:rFonts w:ascii="Times New Roman" w:hAnsi="Times New Roman"/>
          <w:color w:val="000000"/>
          <w:sz w:val="24"/>
        </w:rPr>
        <w:t>423</w:t>
      </w:r>
      <w:r>
        <w:rPr>
          <w:color w:val="000000"/>
        </w:rPr>
        <w:t xml:space="preserve"> </w:t>
      </w:r>
      <w:r>
        <w:rPr>
          <w:rFonts w:ascii="Times New Roman" w:hAnsi="Times New Roman"/>
          <w:color w:val="000000"/>
          <w:sz w:val="24"/>
        </w:rPr>
        <w:t>(the “</w:t>
      </w:r>
      <w:r>
        <w:rPr>
          <w:rFonts w:ascii="Times New Roman" w:hAnsi="Times New Roman"/>
          <w:color w:val="000000"/>
          <w:sz w:val="24"/>
          <w:u w:val="single"/>
        </w:rPr>
        <w:t>Non</w:t>
        <w:noBreakHyphen/>
        <w:t>423 Component</w:t>
      </w:r>
      <w:r>
        <w:rPr>
          <w:color w:val="000000"/>
        </w:rPr>
        <w:t>”</w:t>
      </w:r>
      <w:r>
        <w:rPr>
          <w:rFonts w:ascii="Times New Roman" w:hAnsi="Times New Roman"/>
          <w:color w:val="000000"/>
          <w:sz w:val="24"/>
        </w:rPr>
        <w:t xml:space="preserve">). The provisions of the </w:t>
      </w:r>
      <w:bookmarkStart w:id="26" w:name="docxtextref5"/>
      <w:bookmarkEnd w:id="26"/>
      <w:r>
        <w:rPr>
          <w:rFonts w:ascii="Times New Roman" w:hAnsi="Times New Roman"/>
          <w:color w:val="000000"/>
          <w:sz w:val="24"/>
        </w:rPr>
        <w:t>423</w:t>
      </w:r>
      <w:r>
        <w:rPr>
          <w:color w:val="000000"/>
        </w:rPr>
        <w:t xml:space="preserve"> </w:t>
      </w:r>
      <w:r>
        <w:rPr>
          <w:rFonts w:ascii="Times New Roman" w:hAnsi="Times New Roman"/>
          <w:color w:val="000000"/>
          <w:sz w:val="24"/>
        </w:rPr>
        <w:t xml:space="preserve">Component, accordingly, will be construed so as to extend and limit Plan participation in a uniform and nondiscriminatory basis consistent with the requirements of Code Section </w:t>
      </w:r>
      <w:bookmarkStart w:id="27" w:name="docxtextref3"/>
      <w:bookmarkEnd w:id="27"/>
      <w:r>
        <w:rPr>
          <w:rFonts w:ascii="Times New Roman" w:hAnsi="Times New Roman"/>
          <w:color w:val="000000"/>
          <w:sz w:val="24"/>
        </w:rPr>
        <w:t>423. In addition, this Plan authorizes the grant of an option to purchase shares of Common Stock under the Non</w:t>
        <w:noBreakHyphen/>
        <w:t xml:space="preserve">423 Component that does not qualify as an “employee stock purchase plan” under Code Section </w:t>
      </w:r>
      <w:bookmarkStart w:id="28" w:name="docxtextref4"/>
      <w:bookmarkEnd w:id="28"/>
      <w:r>
        <w:rPr>
          <w:rFonts w:ascii="Times New Roman" w:hAnsi="Times New Roman"/>
          <w:color w:val="000000"/>
          <w:sz w:val="24"/>
        </w:rPr>
        <w:t>423; an option granted under the Non</w:t>
        <w:noBreakHyphen/>
        <w:t xml:space="preserve">423 Component will provide for substantially the same benefits as an option granted under the </w:t>
      </w:r>
      <w:bookmarkStart w:id="29" w:name="docxtextref6"/>
      <w:bookmarkEnd w:id="29"/>
      <w:r>
        <w:rPr>
          <w:rFonts w:ascii="Times New Roman" w:hAnsi="Times New Roman"/>
          <w:color w:val="000000"/>
          <w:sz w:val="24"/>
        </w:rPr>
        <w:t>423</w:t>
      </w:r>
      <w:r>
        <w:rPr>
          <w:color w:val="000000"/>
        </w:rPr>
        <w:t xml:space="preserve"> </w:t>
      </w:r>
      <w:r>
        <w:rPr>
          <w:rFonts w:ascii="Times New Roman" w:hAnsi="Times New Roman"/>
          <w:color w:val="000000"/>
          <w:sz w:val="24"/>
        </w:rPr>
        <w:t>Component, except that a Non</w:t>
        <w:noBreakHyphen/>
        <w:t>423 Component option may include features necessary to comply with applicable non</w:t>
        <w:noBreakHyphen/>
        <w:t>U.S. laws pursuant to rules, procedures or sub</w:t>
        <w:noBreakHyphen/>
        <w:t>plans adopted by the Administrator. Except as otherwise provided herein or by the Administrator, the Non</w:t>
        <w:noBreakHyphen/>
        <w:t xml:space="preserve">423 Component will operate and be administered in the same manner as the </w:t>
      </w:r>
      <w:bookmarkStart w:id="30" w:name="docxtextref7"/>
      <w:bookmarkEnd w:id="30"/>
      <w:r>
        <w:rPr>
          <w:rFonts w:ascii="Times New Roman" w:hAnsi="Times New Roman"/>
          <w:color w:val="000000"/>
          <w:sz w:val="24"/>
        </w:rPr>
        <w:t>423</w:t>
      </w:r>
      <w:r>
        <w:rPr>
          <w:color w:val="000000"/>
        </w:rPr>
        <w:t xml:space="preserve"> </w:t>
      </w:r>
      <w:r>
        <w:rPr>
          <w:rFonts w:ascii="Times New Roman" w:hAnsi="Times New Roman"/>
          <w:color w:val="000000"/>
          <w:sz w:val="24"/>
        </w:rPr>
        <w:t>Component.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u w:val="single"/>
        </w:rPr>
        <w:t>Definitions</w:t>
      </w:r>
      <w:r>
        <w:rPr>
          <w:rFonts w:ascii="Times New Roman" w:hAnsi="Times New Roman"/>
          <w:color w:val="000000"/>
          <w:sz w:val="24"/>
        </w:rPr>
        <w: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color w:val="000000"/>
        </w:rPr>
        <w:t>“</w:t>
      </w:r>
      <w:r>
        <w:rPr>
          <w:rFonts w:ascii="Times New Roman" w:hAnsi="Times New Roman"/>
          <w:color w:val="000000"/>
          <w:sz w:val="24"/>
          <w:u w:val="single"/>
        </w:rPr>
        <w:t>Administrator</w:t>
      </w:r>
      <w:r>
        <w:rPr>
          <w:color w:val="000000"/>
        </w:rPr>
        <w:t xml:space="preserve">” </w:t>
      </w:r>
      <w:r>
        <w:rPr>
          <w:rFonts w:ascii="Times New Roman" w:hAnsi="Times New Roman"/>
          <w:color w:val="000000"/>
          <w:sz w:val="24"/>
        </w:rPr>
        <w:t>means the Board or any Committee designated by the Board to administer the Plan pursuant to Section 4.</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color w:val="000000"/>
        </w:rPr>
        <w:t>“</w:t>
      </w:r>
      <w:r>
        <w:rPr>
          <w:rFonts w:ascii="Times New Roman" w:hAnsi="Times New Roman"/>
          <w:color w:val="000000"/>
          <w:sz w:val="24"/>
          <w:u w:val="single"/>
        </w:rPr>
        <w:t>Amendment Date</w:t>
      </w:r>
      <w:r>
        <w:rPr>
          <w:color w:val="000000"/>
        </w:rPr>
        <w:t xml:space="preserve">” </w:t>
      </w:r>
      <w:r>
        <w:rPr>
          <w:rFonts w:ascii="Times New Roman" w:hAnsi="Times New Roman"/>
          <w:color w:val="000000"/>
          <w:sz w:val="24"/>
        </w:rPr>
        <w:t>means June 10, 2026.</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color w:val="000000"/>
        </w:rPr>
        <w:t>“</w:t>
      </w:r>
      <w:r>
        <w:rPr>
          <w:rFonts w:ascii="Times New Roman" w:hAnsi="Times New Roman"/>
          <w:color w:val="000000"/>
          <w:sz w:val="24"/>
          <w:u w:val="single"/>
        </w:rPr>
        <w:t>Applicable Laws</w:t>
      </w:r>
      <w:r>
        <w:rPr>
          <w:color w:val="000000"/>
        </w:rPr>
        <w:t xml:space="preserve">” </w:t>
      </w:r>
      <w:r>
        <w:rPr>
          <w:rFonts w:ascii="Times New Roman" w:hAnsi="Times New Roman"/>
          <w:color w:val="000000"/>
          <w:sz w:val="24"/>
        </w:rPr>
        <w:t>means the legal and regulatory requirements relating to the administration of equity</w:t>
        <w:noBreakHyphen/>
        <w:t>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w:t>
        <w:noBreakHyphen/>
        <w:t>U.S. country or jurisdiction where options are, or will be, granted under the Plan.</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color w:val="000000"/>
        </w:rPr>
        <w:t>“</w:t>
      </w:r>
      <w:r>
        <w:rPr>
          <w:rFonts w:ascii="Times New Roman" w:hAnsi="Times New Roman"/>
          <w:color w:val="000000"/>
          <w:sz w:val="24"/>
          <w:u w:val="single"/>
        </w:rPr>
        <w:t>Board</w:t>
      </w:r>
      <w:r>
        <w:rPr>
          <w:color w:val="000000"/>
        </w:rPr>
        <w:t xml:space="preserve">” </w:t>
      </w:r>
      <w:r>
        <w:rPr>
          <w:rFonts w:ascii="Times New Roman" w:hAnsi="Times New Roman"/>
          <w:color w:val="000000"/>
          <w:sz w:val="24"/>
        </w:rPr>
        <w:t>means the Board of Directors of the Company.</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color w:val="000000"/>
        </w:rPr>
        <w:t>“</w:t>
      </w:r>
      <w:r>
        <w:rPr>
          <w:rFonts w:ascii="Times New Roman" w:hAnsi="Times New Roman"/>
          <w:color w:val="000000"/>
          <w:sz w:val="24"/>
          <w:u w:val="single"/>
        </w:rPr>
        <w:t>Change in Control</w:t>
      </w:r>
      <w:r>
        <w:rPr>
          <w:color w:val="000000"/>
        </w:rPr>
        <w:t xml:space="preserve">” </w:t>
      </w:r>
      <w:r>
        <w:rPr>
          <w:rFonts w:ascii="Times New Roman" w:hAnsi="Times New Roman"/>
          <w:color w:val="000000"/>
          <w:sz w:val="24"/>
        </w:rPr>
        <w:t>means the occurrence of any of the following events:</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u w:val="single"/>
        </w:rPr>
        <w:t>Change in Ownership of the Company</w:t>
      </w:r>
      <w:r>
        <w:rPr>
          <w:rFonts w:ascii="Times New Roman" w:hAnsi="Times New Roman"/>
          <w:color w:val="000000"/>
          <w:sz w:val="24"/>
        </w:rPr>
        <w:t>. A change in the ownership of the Company which occurs on the date that any one person, or more than one person acting as a group (“</w:t>
      </w:r>
      <w:r>
        <w:rPr>
          <w:rFonts w:ascii="Times New Roman" w:hAnsi="Times New Roman"/>
          <w:color w:val="000000"/>
          <w:sz w:val="24"/>
          <w:u w:val="single"/>
        </w:rPr>
        <w:t>Person</w:t>
      </w:r>
      <w:r>
        <w:rPr>
          <w:color w:val="000000"/>
        </w:rPr>
        <w:t>”</w:t>
      </w:r>
      <w:r>
        <w:rPr>
          <w:rFonts w:ascii="Times New Roman" w:hAnsi="Times New Roman"/>
          <w:color w:val="000000"/>
          <w:sz w:val="24"/>
        </w:rPr>
        <w:t xml:space="preserve">), acquires ownership of the stock of the Company that, together with the stock held by such Person, constitutes more than fifty percent (50%) of the total voting power of the stock of the Company; provided, however, that for purposes of this subsection ‎(i),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w:t>
      </w:r>
    </w:p>
    <w:p>
      <w:pPr>
        <w:pStyle w:val="TextBody"/>
        <w:bidi w:val="0"/>
        <w:jc w:val="left"/>
        <w:rPr>
          <w:rFonts w:ascii="Times New Roman" w:hAnsi="Times New Roman"/>
          <w:color w:val="000000"/>
          <w:sz w:val="16"/>
        </w:rPr>
      </w:pPr>
      <w:r>
        <w:rPr>
          <w:rFonts w:ascii="Times New Roman" w:hAnsi="Times New Roman"/>
          <w:color w:val="000000"/>
          <w:sz w:val="16"/>
        </w:rPr>
        <w:t>10520187_5.docx</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u w:val="single"/>
        </w:rPr>
        <w:t>Change in Effective Control of the Company</w:t>
      </w:r>
      <w:r>
        <w:rPr>
          <w:rFonts w:ascii="Times New Roman" w:hAnsi="Times New Roman"/>
          <w:color w:val="000000"/>
          <w:sz w:val="24"/>
        </w:rPr>
        <w: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Change in Ownership of a Substantial Portion of the Company’s Assets</w:t>
      </w:r>
      <w:r>
        <w:rPr>
          <w:rFonts w:ascii="Times New Roman" w:hAnsi="Times New Roman"/>
          <w:color w:val="000000"/>
          <w:sz w:val="24"/>
        </w:rPr>
        <w:t>. A change in the ownership of a substantial portion of the Company’s assets which occurs on the date that any Person acquires (or has acquired during the twelve (12) month period ending on the date of the most recent acquisition by such Person)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w:t>
      </w:r>
      <w:r>
        <w:rPr>
          <w:color w:val="000000"/>
        </w:rPr>
        <w:t xml:space="preserve"> </w:t>
      </w:r>
      <w:r>
        <w:rPr>
          <w:rFonts w:ascii="Times New Roman" w:hAnsi="Times New Roman"/>
          <w:color w:val="000000"/>
          <w:sz w:val="24"/>
        </w:rPr>
        <w:t xml:space="preserve">a transfer to an entity that is controlled by the Company’s stockholders immediately after the transfer, or (B) a transfer of assets by the Company to: </w:t>
      </w:r>
      <w:bookmarkStart w:id="31" w:name="docxtextref9"/>
      <w:bookmarkEnd w:id="31"/>
      <w:r>
        <w:rPr>
          <w:rFonts w:ascii="Times New Roman" w:hAnsi="Times New Roman"/>
          <w:color w:val="000000"/>
          <w:sz w:val="24"/>
        </w:rPr>
        <w:t>(I)</w:t>
      </w:r>
      <w:r>
        <w:rPr>
          <w:color w:val="000000"/>
        </w:rPr>
        <w:t xml:space="preserve"> </w:t>
      </w:r>
      <w:r>
        <w:rPr>
          <w:rFonts w:ascii="Times New Roman" w:hAnsi="Times New Roman"/>
          <w:color w:val="000000"/>
          <w:sz w:val="24"/>
        </w:rPr>
        <w:t xml:space="preserve">a stockholder of the Company (immediately before the asset transfer) in exchange for or with respect to the Company’s stock, </w:t>
      </w:r>
      <w:bookmarkStart w:id="32" w:name="docxtextref10"/>
      <w:bookmarkEnd w:id="32"/>
      <w:r>
        <w:rPr>
          <w:rFonts w:ascii="Times New Roman" w:hAnsi="Times New Roman"/>
          <w:color w:val="000000"/>
          <w:sz w:val="24"/>
        </w:rPr>
        <w:t>(II)</w:t>
      </w:r>
      <w:r>
        <w:rPr>
          <w:color w:val="000000"/>
        </w:rPr>
        <w:t xml:space="preserve"> </w:t>
      </w:r>
      <w:r>
        <w:rPr>
          <w:rFonts w:ascii="Times New Roman" w:hAnsi="Times New Roman"/>
          <w:color w:val="000000"/>
          <w:sz w:val="24"/>
        </w:rPr>
        <w:t xml:space="preserve">an entity, fifty percent (50%) or more of the total value or voting power of which is owned, directly or indirectly, by the Company, </w:t>
      </w:r>
      <w:bookmarkStart w:id="33" w:name="docxtextref11"/>
      <w:bookmarkEnd w:id="33"/>
      <w:r>
        <w:rPr>
          <w:rFonts w:ascii="Times New Roman" w:hAnsi="Times New Roman"/>
          <w:color w:val="000000"/>
          <w:sz w:val="24"/>
        </w:rPr>
        <w:t>(III)</w:t>
      </w:r>
      <w:r>
        <w:rPr>
          <w:color w:val="000000"/>
        </w:rPr>
        <w:t xml:space="preserve"> </w:t>
      </w:r>
      <w:r>
        <w:rPr>
          <w:rFonts w:ascii="Times New Roman" w:hAnsi="Times New Roman"/>
          <w:color w:val="000000"/>
          <w:sz w:val="24"/>
        </w:rPr>
        <w:t xml:space="preserve">a Person, that owns, directly or indirectly, fifty percent (50%) or more of the total value or voting power of all the outstanding stock of the Company, or </w:t>
      </w:r>
      <w:bookmarkStart w:id="34" w:name="docxtextref12"/>
      <w:bookmarkEnd w:id="34"/>
      <w:r>
        <w:rPr>
          <w:rFonts w:ascii="Times New Roman" w:hAnsi="Times New Roman"/>
          <w:color w:val="000000"/>
          <w:sz w:val="24"/>
        </w:rPr>
        <w:t>(IV)</w:t>
      </w:r>
      <w:r>
        <w:rPr>
          <w:color w:val="000000"/>
        </w:rPr>
        <w:t xml:space="preserve"> </w:t>
      </w:r>
      <w:r>
        <w:rPr>
          <w:rFonts w:ascii="Times New Roman" w:hAnsi="Times New Roman"/>
          <w:color w:val="000000"/>
          <w:sz w:val="24"/>
        </w:rPr>
        <w:t>an entity, at least fifty percent (50%) of the total value or voting power of which is owned, directly or indirectly, by a Person described in subsection ‎(iii)(B)(III). For purposes of this subsection ‎(iii), gross fair market value means the value of the assets of the Company, or the value of the assets being disposed of, determined without regard to any liabilities associated with such assets.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For purposes of this Section ‎2(e), persons will be considered to be acting as a group if they are owners of a corporation that enters into a merger, consolidation, purchase or acquisition of stock, or similar business transaction with the Company.</w:t>
      </w:r>
    </w:p>
    <w:p>
      <w:pPr>
        <w:pStyle w:val="TextBody"/>
        <w:bidi w:val="0"/>
        <w:spacing w:before="240" w:after="283"/>
        <w:ind w:left="0" w:right="0" w:firstLine="1440"/>
        <w:jc w:val="both"/>
        <w:rPr>
          <w:rFonts w:ascii="Times New Roman" w:hAnsi="Times New Roman"/>
          <w:color w:val="000000"/>
          <w:sz w:val="24"/>
        </w:rPr>
      </w:pPr>
      <w:bookmarkStart w:id="35" w:name="docxtextref13"/>
      <w:bookmarkEnd w:id="35"/>
      <w:r>
        <w:rPr>
          <w:rFonts w:ascii="Times New Roman" w:hAnsi="Times New Roman"/>
          <w:color w:val="000000"/>
          <w:sz w:val="24"/>
        </w:rPr>
        <w:t>Notwithstanding the foregoing, a transaction will not be deemed a Change in Control unless the transaction qualifies as a change in control event within the meaning of Section 409A.</w:t>
      </w:r>
    </w:p>
    <w:p>
      <w:pPr>
        <w:pStyle w:val="TextBody"/>
        <w:bidi w:val="0"/>
        <w:spacing w:before="240" w:after="283"/>
        <w:ind w:left="0" w:right="0" w:firstLine="1440"/>
        <w:jc w:val="both"/>
        <w:rPr>
          <w:rFonts w:ascii="Times New Roman" w:hAnsi="Times New Roman"/>
          <w:sz w:val="20"/>
        </w:rPr>
      </w:pPr>
      <w:bookmarkStart w:id="36" w:name="docxtextref14"/>
      <w:bookmarkEnd w:id="36"/>
      <w:r>
        <w:rPr>
          <w:rFonts w:ascii="Times New Roman" w:hAnsi="Times New Roman"/>
          <w:color w:val="000000"/>
          <w:sz w:val="24"/>
        </w:rPr>
        <w:t>Further and for the avoidance of doubt, a transaction will not constitute a Change in Control if: (i)</w:t>
      </w:r>
      <w:r>
        <w:rPr>
          <w:rFonts w:ascii="Times New Roman" w:hAnsi="Times New Roman"/>
          <w:color w:val="000000"/>
          <w:sz w:val="20"/>
        </w:rPr>
        <w:t xml:space="preserve"> </w:t>
      </w:r>
      <w:r>
        <w:rPr>
          <w:rFonts w:ascii="Times New Roman" w:hAnsi="Times New Roman"/>
          <w:color w:val="000000"/>
          <w:sz w:val="24"/>
        </w:rPr>
        <w:t>its sole purpose is to change the jurisdiction of the Company’s incorporation, or (ii) its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sole purpose is to create a holding company that will be owned in substantially the same proportions by the persons who held the Company’s securities immediately before such transaction.</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color w:val="000000"/>
        </w:rPr>
        <w:t>“</w:t>
      </w:r>
      <w:r>
        <w:rPr>
          <w:rFonts w:ascii="Times New Roman" w:hAnsi="Times New Roman"/>
          <w:color w:val="000000"/>
          <w:sz w:val="24"/>
          <w:u w:val="single"/>
        </w:rPr>
        <w:t>Code</w:t>
      </w:r>
      <w:r>
        <w:rPr>
          <w:color w:val="000000"/>
        </w:rPr>
        <w:t xml:space="preserve">” </w:t>
      </w:r>
      <w:r>
        <w:rPr>
          <w:rFonts w:ascii="Times New Roman" w:hAnsi="Times New Roman"/>
          <w:color w:val="000000"/>
          <w:sz w:val="24"/>
        </w:rPr>
        <w:t>means the U.S. Internal Revenue Code of 1986, as amended. Reference to a specific section of the Code or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color w:val="000000"/>
        </w:rPr>
        <w:t>“</w:t>
      </w:r>
      <w:r>
        <w:rPr>
          <w:rFonts w:ascii="Times New Roman" w:hAnsi="Times New Roman"/>
          <w:color w:val="000000"/>
          <w:sz w:val="24"/>
          <w:u w:val="single"/>
        </w:rPr>
        <w:t>Committee</w:t>
      </w:r>
      <w:r>
        <w:rPr>
          <w:color w:val="000000"/>
        </w:rPr>
        <w:t xml:space="preserve">” </w:t>
      </w:r>
      <w:r>
        <w:rPr>
          <w:rFonts w:ascii="Times New Roman" w:hAnsi="Times New Roman"/>
          <w:color w:val="000000"/>
          <w:sz w:val="24"/>
        </w:rPr>
        <w:t>means a committee of the Board appointed in accordance with Section 4 hereof.</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color w:val="000000"/>
        </w:rPr>
        <w:t>“</w:t>
      </w:r>
      <w:r>
        <w:rPr>
          <w:rFonts w:ascii="Times New Roman" w:hAnsi="Times New Roman"/>
          <w:color w:val="000000"/>
          <w:sz w:val="24"/>
          <w:u w:val="single"/>
        </w:rPr>
        <w:t>Common Stock</w:t>
      </w:r>
      <w:r>
        <w:rPr>
          <w:color w:val="000000"/>
        </w:rPr>
        <w:t xml:space="preserve">” </w:t>
      </w:r>
      <w:r>
        <w:rPr>
          <w:rFonts w:ascii="Times New Roman" w:hAnsi="Times New Roman"/>
          <w:color w:val="000000"/>
          <w:sz w:val="24"/>
        </w:rPr>
        <w:t>means the common stock of the Company.</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color w:val="000000"/>
        </w:rPr>
        <w:t>“</w:t>
      </w:r>
      <w:r>
        <w:rPr>
          <w:rFonts w:ascii="Times New Roman" w:hAnsi="Times New Roman"/>
          <w:color w:val="000000"/>
          <w:sz w:val="24"/>
          <w:u w:val="single"/>
        </w:rPr>
        <w:t>Company</w:t>
      </w:r>
      <w:r>
        <w:rPr>
          <w:color w:val="000000"/>
        </w:rPr>
        <w:t xml:space="preserve">” </w:t>
      </w:r>
      <w:r>
        <w:rPr>
          <w:rFonts w:ascii="Times New Roman" w:hAnsi="Times New Roman"/>
          <w:color w:val="000000"/>
          <w:sz w:val="24"/>
        </w:rPr>
        <w:t>means ALX Oncology Holdings Inc., a Delaware corporation, or any successor thereto.</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pPr>
      <w:r>
        <w:rPr>
          <w:color w:val="000000"/>
        </w:rPr>
        <w:t>“</w:t>
      </w:r>
      <w:r>
        <w:rPr>
          <w:rFonts w:ascii="Times New Roman" w:hAnsi="Times New Roman"/>
          <w:color w:val="000000"/>
          <w:sz w:val="24"/>
          <w:u w:val="single"/>
        </w:rPr>
        <w:t>Compensation</w:t>
      </w:r>
      <w:r>
        <w:rPr>
          <w:color w:val="000000"/>
        </w:rPr>
        <w:t xml:space="preserve">” </w:t>
      </w:r>
      <w:r>
        <w:rPr>
          <w:rFonts w:ascii="Times New Roman" w:hAnsi="Times New Roman"/>
          <w:color w:val="000000"/>
          <w:sz w:val="24"/>
        </w:rPr>
        <w:t>means an Eligible Employee’s base straight time gross earnings, but exclusive of payments for overtime, shift premium, commissions, incentive compensation, equity compensation, bonuses and other similar compensation. The Administrator, in its discretion, may, on a uniform and nondiscriminatory basis, establish a different definition of Compensation for a subsequent Offering Period.</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pPr>
      <w:r>
        <w:rPr>
          <w:color w:val="000000"/>
        </w:rPr>
        <w:t>“</w:t>
      </w:r>
      <w:r>
        <w:rPr>
          <w:rFonts w:ascii="Times New Roman" w:hAnsi="Times New Roman"/>
          <w:color w:val="000000"/>
          <w:sz w:val="24"/>
          <w:u w:val="single"/>
        </w:rPr>
        <w:t>Contributions</w:t>
      </w:r>
      <w:r>
        <w:rPr>
          <w:color w:val="000000"/>
        </w:rPr>
        <w:t xml:space="preserve">” </w:t>
      </w:r>
      <w:r>
        <w:rPr>
          <w:rFonts w:ascii="Times New Roman" w:hAnsi="Times New Roman"/>
          <w:color w:val="000000"/>
          <w:sz w:val="24"/>
        </w:rPr>
        <w:t>means the payroll deductions and other additional payments that the Company may permit to be made by a Participant to fund the exercise of options granted pursuant to the Plan.</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color w:val="000000"/>
        </w:rPr>
        <w:t>“</w:t>
      </w:r>
      <w:r>
        <w:rPr>
          <w:rFonts w:ascii="Times New Roman" w:hAnsi="Times New Roman"/>
          <w:color w:val="000000"/>
          <w:sz w:val="24"/>
          <w:u w:val="single"/>
        </w:rPr>
        <w:t>Designated Company</w:t>
      </w:r>
      <w:r>
        <w:rPr>
          <w:color w:val="000000"/>
        </w:rPr>
        <w:t xml:space="preserve">” </w:t>
      </w:r>
      <w:r>
        <w:rPr>
          <w:rFonts w:ascii="Times New Roman" w:hAnsi="Times New Roman"/>
          <w:color w:val="000000"/>
          <w:sz w:val="24"/>
        </w:rPr>
        <w:t>means any Subsidiary that has been designated by the Administrator from time to time in its sole discretion as eligible to participate in the Plan. For purposes of the 423</w:t>
      </w:r>
      <w:r>
        <w:rPr>
          <w:color w:val="000000"/>
        </w:rPr>
        <w:t xml:space="preserve"> </w:t>
      </w:r>
      <w:r>
        <w:rPr>
          <w:rFonts w:ascii="Times New Roman" w:hAnsi="Times New Roman"/>
          <w:color w:val="000000"/>
          <w:sz w:val="24"/>
        </w:rPr>
        <w:t xml:space="preserve">Component, only the Company and its Subsidiaries may be Designated Companies, provided, however that at any given time, a Subsidiary that is a Designated Company under the </w:t>
      </w:r>
      <w:bookmarkStart w:id="37" w:name="docxtextref16"/>
      <w:bookmarkEnd w:id="37"/>
      <w:r>
        <w:rPr>
          <w:rFonts w:ascii="Times New Roman" w:hAnsi="Times New Roman"/>
          <w:color w:val="000000"/>
          <w:sz w:val="24"/>
        </w:rPr>
        <w:t>423</w:t>
      </w:r>
      <w:r>
        <w:rPr>
          <w:color w:val="000000"/>
        </w:rPr>
        <w:t xml:space="preserve"> </w:t>
      </w:r>
      <w:r>
        <w:rPr>
          <w:rFonts w:ascii="Times New Roman" w:hAnsi="Times New Roman"/>
          <w:color w:val="000000"/>
          <w:sz w:val="24"/>
        </w:rPr>
        <w:t>Component will not be a Designated Company under the Non</w:t>
        <w:noBreakHyphen/>
        <w:t>423 Component.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(m)</w:t>
      </w:r>
    </w:p>
    <w:p>
      <w:pPr>
        <w:pStyle w:val="TextBody"/>
        <w:bidi w:val="0"/>
        <w:spacing w:before="240" w:after="283"/>
        <w:jc w:val="both"/>
        <w:rPr/>
      </w:pPr>
      <w:r>
        <w:rPr>
          <w:color w:val="000000"/>
        </w:rPr>
        <w:t>“</w:t>
      </w:r>
      <w:r>
        <w:rPr>
          <w:rFonts w:ascii="Times New Roman" w:hAnsi="Times New Roman"/>
          <w:color w:val="000000"/>
          <w:sz w:val="24"/>
          <w:u w:val="single"/>
        </w:rPr>
        <w:t>Director</w:t>
      </w:r>
      <w:r>
        <w:rPr>
          <w:color w:val="000000"/>
        </w:rPr>
        <w:t xml:space="preserve">” </w:t>
      </w:r>
      <w:r>
        <w:rPr>
          <w:rFonts w:ascii="Times New Roman" w:hAnsi="Times New Roman"/>
          <w:color w:val="000000"/>
          <w:sz w:val="24"/>
        </w:rPr>
        <w:t>means a member of the Board.</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(n)</w:t>
      </w:r>
    </w:p>
    <w:p>
      <w:pPr>
        <w:pStyle w:val="TextBody"/>
        <w:bidi w:val="0"/>
        <w:spacing w:before="240" w:after="283"/>
        <w:jc w:val="both"/>
        <w:rPr/>
      </w:pPr>
      <w:r>
        <w:rPr>
          <w:color w:val="000000"/>
        </w:rPr>
        <w:t>“</w:t>
      </w:r>
      <w:r>
        <w:rPr>
          <w:rFonts w:ascii="Times New Roman" w:hAnsi="Times New Roman"/>
          <w:color w:val="000000"/>
          <w:sz w:val="24"/>
          <w:u w:val="single"/>
        </w:rPr>
        <w:t>Eligible Employee</w:t>
      </w:r>
      <w:r>
        <w:rPr>
          <w:color w:val="000000"/>
        </w:rPr>
        <w:t xml:space="preserve">” </w:t>
      </w:r>
      <w:r>
        <w:rPr>
          <w:rFonts w:ascii="Times New Roman" w:hAnsi="Times New Roman"/>
          <w:color w:val="000000"/>
          <w:sz w:val="24"/>
        </w:rPr>
        <w:t>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for Participants in the Non</w:t>
        <w:noBreakHyphen/>
        <w:t xml:space="preserve">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(for each Offering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4"/>
        </w:rPr>
        <w:t>under the 423</w:t>
      </w:r>
      <w:r>
        <w:rPr>
          <w:color w:val="000000"/>
        </w:rPr>
        <w:t xml:space="preserve"> </w:t>
      </w:r>
      <w:r>
        <w:rPr>
          <w:rFonts w:ascii="Times New Roman" w:hAnsi="Times New Roman"/>
          <w:color w:val="000000"/>
          <w:sz w:val="24"/>
        </w:rPr>
        <w:t>Component, on a uniform and nondiscriminatory basis or as otherwise permitted by U.S. Treasury Regulations Section 1.423</w:t>
        <w:noBreakHyphen/>
        <w:t xml:space="preserve">2) that the definition of Eligible Employee will or will not include an individual if he or she: (i) has not completed at least two (2) years of service since his or her last hire date (or such lesser period of time as may be determined by the Administrator in its discretion), (ii) customarily works not more than twenty (20) hours per week (or such lesser period of time as may be determined by the Administrator in its discretion), (iii) customarily works not more than five (5) months per calendar year (or such lesser period of time as may be determined by the Administrator in its discretion), (iv) is a highly compensated employee within the meaning of Code Section </w:t>
      </w:r>
      <w:bookmarkStart w:id="38" w:name="docxtextref17"/>
      <w:bookmarkEnd w:id="38"/>
      <w:r>
        <w:rPr>
          <w:rFonts w:ascii="Times New Roman" w:hAnsi="Times New Roman"/>
          <w:color w:val="000000"/>
          <w:sz w:val="24"/>
        </w:rPr>
        <w:t xml:space="preserve">414(q), or (v) is a highly compensated employee within the meaning of Code Section </w:t>
      </w:r>
      <w:bookmarkStart w:id="39" w:name="docxtextref18"/>
      <w:bookmarkEnd w:id="39"/>
      <w:r>
        <w:rPr>
          <w:rFonts w:ascii="Times New Roman" w:hAnsi="Times New Roman"/>
          <w:color w:val="000000"/>
          <w:sz w:val="24"/>
        </w:rPr>
        <w:t>414(q)</w:t>
      </w:r>
      <w:r>
        <w:rPr>
          <w:color w:val="000000"/>
        </w:rPr>
        <w:t xml:space="preserve"> </w:t>
      </w:r>
      <w:r>
        <w:rPr>
          <w:rFonts w:ascii="Times New Roman" w:hAnsi="Times New Roman"/>
          <w:color w:val="000000"/>
          <w:sz w:val="24"/>
        </w:rPr>
        <w:t xml:space="preserve">with compensation above a certain level or is an officer or subject to the disclosure requirements of Section </w:t>
      </w:r>
      <w:bookmarkStart w:id="40" w:name="docxtextref19"/>
      <w:bookmarkEnd w:id="40"/>
      <w:r>
        <w:rPr>
          <w:rFonts w:ascii="Times New Roman" w:hAnsi="Times New Roman"/>
          <w:color w:val="000000"/>
          <w:sz w:val="24"/>
        </w:rPr>
        <w:t>16(a)</w:t>
      </w:r>
      <w:r>
        <w:rPr>
          <w:color w:val="000000"/>
        </w:rPr>
        <w:t xml:space="preserve"> </w:t>
      </w:r>
      <w:r>
        <w:rPr>
          <w:rFonts w:ascii="Times New Roman" w:hAnsi="Times New Roman"/>
          <w:color w:val="000000"/>
          <w:sz w:val="24"/>
        </w:rPr>
        <w:t xml:space="preserve">of the Exchange Act, provided the exclusion is applied with respect to each Offering under the </w:t>
      </w:r>
      <w:bookmarkStart w:id="41" w:name="docxtextref21"/>
      <w:bookmarkEnd w:id="41"/>
      <w:r>
        <w:rPr>
          <w:rFonts w:ascii="Times New Roman" w:hAnsi="Times New Roman"/>
          <w:color w:val="000000"/>
          <w:sz w:val="24"/>
        </w:rPr>
        <w:t>423</w:t>
      </w:r>
      <w:r>
        <w:rPr>
          <w:color w:val="000000"/>
        </w:rPr>
        <w:t xml:space="preserve"> </w:t>
      </w:r>
      <w:r>
        <w:rPr>
          <w:rFonts w:ascii="Times New Roman" w:hAnsi="Times New Roman"/>
          <w:color w:val="000000"/>
          <w:sz w:val="24"/>
        </w:rPr>
        <w:t xml:space="preserve">Component in an identical manner to all highly compensated individuals of the Employer whose employees are participating in that Offering. Each exclusion will be applied with respect to an Offering under the </w:t>
      </w:r>
      <w:bookmarkStart w:id="42" w:name="docxtextref22"/>
      <w:bookmarkEnd w:id="42"/>
      <w:r>
        <w:rPr>
          <w:rFonts w:ascii="Times New Roman" w:hAnsi="Times New Roman"/>
          <w:color w:val="000000"/>
          <w:sz w:val="24"/>
        </w:rPr>
        <w:t>423</w:t>
      </w:r>
      <w:r>
        <w:rPr>
          <w:color w:val="000000"/>
        </w:rPr>
        <w:t xml:space="preserve"> </w:t>
      </w:r>
      <w:r>
        <w:rPr>
          <w:rFonts w:ascii="Times New Roman" w:hAnsi="Times New Roman"/>
          <w:color w:val="000000"/>
          <w:sz w:val="24"/>
        </w:rPr>
        <w:t>Component in a manner complying with U.S. Treasury Regulations Section 1.423</w:t>
        <w:noBreakHyphen/>
        <w:t>2(e)(2)(ii). Such exclusions may be applied with respect to an Offering under the Non</w:t>
        <w:noBreakHyphen/>
        <w:t>423 Component without regard to the limitations of U.S. Treasury Regulations Section 1.423</w:t>
        <w:noBreakHyphen/>
        <w:t>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both"/>
        <w:rPr/>
      </w:pPr>
      <w:r>
        <w:rPr>
          <w:color w:val="000000"/>
        </w:rPr>
        <w:t>“</w:t>
      </w:r>
      <w:r>
        <w:rPr>
          <w:rFonts w:ascii="Times New Roman" w:hAnsi="Times New Roman"/>
          <w:color w:val="000000"/>
          <w:sz w:val="24"/>
          <w:u w:val="single"/>
        </w:rPr>
        <w:t>Employer</w:t>
      </w:r>
      <w:r>
        <w:rPr>
          <w:color w:val="000000"/>
        </w:rPr>
        <w:t xml:space="preserve">” </w:t>
      </w:r>
      <w:r>
        <w:rPr>
          <w:rFonts w:ascii="Times New Roman" w:hAnsi="Times New Roman"/>
          <w:color w:val="000000"/>
          <w:sz w:val="24"/>
        </w:rPr>
        <w:t>means the employer of the applicable Eligible Employee(s).</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(p)</w:t>
      </w:r>
    </w:p>
    <w:p>
      <w:pPr>
        <w:pStyle w:val="TextBody"/>
        <w:bidi w:val="0"/>
        <w:spacing w:before="240" w:after="283"/>
        <w:jc w:val="both"/>
        <w:rPr/>
      </w:pPr>
      <w:r>
        <w:rPr>
          <w:color w:val="000000"/>
        </w:rPr>
        <w:t>“</w:t>
      </w:r>
      <w:r>
        <w:rPr>
          <w:rFonts w:ascii="Times New Roman" w:hAnsi="Times New Roman"/>
          <w:color w:val="000000"/>
          <w:sz w:val="24"/>
          <w:u w:val="single"/>
        </w:rPr>
        <w:t>Enrollment Date</w:t>
      </w:r>
      <w:r>
        <w:rPr>
          <w:color w:val="000000"/>
        </w:rPr>
        <w:t xml:space="preserve">” </w:t>
      </w:r>
      <w:r>
        <w:rPr>
          <w:rFonts w:ascii="Times New Roman" w:hAnsi="Times New Roman"/>
          <w:color w:val="000000"/>
          <w:sz w:val="24"/>
        </w:rPr>
        <w:t>means the first Trading Day of each Offering Period.</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(q)</w:t>
      </w:r>
    </w:p>
    <w:p>
      <w:pPr>
        <w:pStyle w:val="TextBody"/>
        <w:bidi w:val="0"/>
        <w:spacing w:before="240" w:after="283"/>
        <w:jc w:val="both"/>
        <w:rPr/>
      </w:pPr>
      <w:r>
        <w:rPr>
          <w:color w:val="000000"/>
        </w:rPr>
        <w:t>“</w:t>
      </w:r>
      <w:r>
        <w:rPr>
          <w:rFonts w:ascii="Times New Roman" w:hAnsi="Times New Roman"/>
          <w:color w:val="000000"/>
          <w:sz w:val="24"/>
          <w:u w:val="single"/>
        </w:rPr>
        <w:t>Exchange Act</w:t>
      </w:r>
      <w:r>
        <w:rPr>
          <w:color w:val="000000"/>
        </w:rPr>
        <w:t xml:space="preserve">” </w:t>
      </w:r>
      <w:r>
        <w:rPr>
          <w:rFonts w:ascii="Times New Roman" w:hAnsi="Times New Roman"/>
          <w:color w:val="000000"/>
          <w:sz w:val="24"/>
        </w:rPr>
        <w:t>means the U.S. Securities Exchange Act of 1934, as amended, including the rules and regulations promulgated thereunder.</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(r)</w:t>
      </w:r>
    </w:p>
    <w:p>
      <w:pPr>
        <w:pStyle w:val="TextBody"/>
        <w:bidi w:val="0"/>
        <w:spacing w:before="240" w:after="283"/>
        <w:jc w:val="both"/>
        <w:rPr/>
      </w:pPr>
      <w:r>
        <w:rPr>
          <w:color w:val="000000"/>
        </w:rPr>
        <w:t>“</w:t>
      </w:r>
      <w:r>
        <w:rPr>
          <w:rFonts w:ascii="Times New Roman" w:hAnsi="Times New Roman"/>
          <w:color w:val="000000"/>
          <w:sz w:val="24"/>
          <w:u w:val="single"/>
        </w:rPr>
        <w:t>Exercise Date</w:t>
      </w:r>
      <w:r>
        <w:rPr>
          <w:color w:val="000000"/>
        </w:rPr>
        <w:t xml:space="preserve">” </w:t>
      </w:r>
      <w:r>
        <w:rPr>
          <w:rFonts w:ascii="Times New Roman" w:hAnsi="Times New Roman"/>
          <w:color w:val="000000"/>
          <w:sz w:val="24"/>
        </w:rPr>
        <w:t xml:space="preserve">means the last Trading Day of a Purchase Period. Notwithstanding the foregoing, in the event that an Offering Period is terminated prior to its expiration pursuant to Section 18, the Administrator, in its sole discretion, may determine that any Purchase Period also terminating under such Offering Period will terminate without options being exercised on the Exercise Date that otherwise would have occurred on the last Trading Day of such Purchase Period.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(s)</w:t>
      </w:r>
    </w:p>
    <w:p>
      <w:pPr>
        <w:pStyle w:val="TextBody"/>
        <w:bidi w:val="0"/>
        <w:spacing w:before="240" w:after="283"/>
        <w:jc w:val="both"/>
        <w:rPr/>
      </w:pPr>
      <w:r>
        <w:rPr>
          <w:color w:val="000000"/>
        </w:rPr>
        <w:t>“</w:t>
      </w:r>
      <w:r>
        <w:rPr>
          <w:rFonts w:ascii="Times New Roman" w:hAnsi="Times New Roman"/>
          <w:color w:val="000000"/>
          <w:sz w:val="24"/>
          <w:u w:val="single"/>
        </w:rPr>
        <w:t>Fair Market Value</w:t>
      </w:r>
      <w:r>
        <w:rPr>
          <w:color w:val="000000"/>
        </w:rPr>
        <w:t xml:space="preserve">” </w:t>
      </w:r>
      <w:r>
        <w:rPr>
          <w:rFonts w:ascii="Times New Roman" w:hAnsi="Times New Roman"/>
          <w:color w:val="000000"/>
          <w:sz w:val="24"/>
        </w:rPr>
        <w:t>means, as of any date and unless the Administrator determines otherwise, the value of Common Stock determined as follows:</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rPr>
        <w:t xml:space="preserve">If the Common Stock is listed on any established stock exchange or a national market system, including without limitation the New York Stock Exchange or the Nasdaq Global Select Market, the Nasdaq Global Market,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hAnsi="Times New Roman"/>
          <w:i/>
          <w:color w:val="000000"/>
          <w:sz w:val="24"/>
        </w:rPr>
        <w:t>The Wall Street Journal</w:t>
      </w:r>
      <w:r>
        <w:rPr>
          <w:color w:val="000000"/>
        </w:rPr>
        <w:t xml:space="preserve"> </w:t>
      </w:r>
      <w:r>
        <w:rPr>
          <w:rFonts w:ascii="Times New Roman" w:hAnsi="Times New Roman"/>
          <w:color w:val="000000"/>
          <w:sz w:val="24"/>
        </w:rPr>
        <w:t>or such other source as the Administrator deems reliable;</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If the Common Stock is regularly quoted by a recognized securities dealer but selling prices are not reported, the Fair Market Value of a share of Common Stock will be the mean between the high bid and low asked prices for the Common Stock on the day of determination (or if no bids and asks were reported on that date, as applicable, on the last Trading Day such bids and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 xml:space="preserve">asks were reported), as reported in </w:t>
      </w:r>
      <w:r>
        <w:rPr>
          <w:rFonts w:ascii="Times New Roman" w:hAnsi="Times New Roman"/>
          <w:i/>
          <w:color w:val="000000"/>
          <w:sz w:val="24"/>
        </w:rPr>
        <w:t>The Wall Street Journal</w:t>
      </w:r>
      <w:r>
        <w:rPr>
          <w:color w:val="000000"/>
        </w:rPr>
        <w:t xml:space="preserve"> </w:t>
      </w:r>
      <w:r>
        <w:rPr>
          <w:rFonts w:ascii="Times New Roman" w:hAnsi="Times New Roman"/>
          <w:color w:val="000000"/>
          <w:sz w:val="24"/>
        </w:rPr>
        <w:t>or such other source as the Administrator deems reliable; or</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absence of an established market for the Common Stock, the Fair Market Value thereof will be determined in good faith by the Administrator.</w:t>
      </w:r>
    </w:p>
    <w:p>
      <w:pPr>
        <w:pStyle w:val="TextBody"/>
        <w:bidi w:val="0"/>
        <w:spacing w:before="240" w:after="283"/>
        <w:ind w:left="0" w:right="0" w:firstLine="1440"/>
        <w:jc w:val="left"/>
        <w:rPr>
          <w:rFonts w:ascii="Times New Roman" w:hAnsi="Times New Roman"/>
          <w:sz w:val="20"/>
        </w:rPr>
      </w:pPr>
      <w:r>
        <w:rPr>
          <w:rFonts w:ascii="Times New Roman" w:hAnsi="Times New Roman"/>
          <w:color w:val="000000"/>
          <w:sz w:val="24"/>
        </w:rPr>
        <w:t>The determination of fair market value for purposes of tax withholding may be made in the Administrator’s discretion subject to Applicable Laws and is not required to be consistent with the determination of Fair Market Value for other purposes.</w:t>
      </w:r>
      <w:r>
        <w:rPr>
          <w:rFonts w:ascii="Times New Roman" w:hAnsi="Times New Roman"/>
          <w:color w:val="000000"/>
          <w:sz w:val="20"/>
        </w:rPr>
        <w:t xml:space="preserve">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(t)</w:t>
      </w:r>
    </w:p>
    <w:p>
      <w:pPr>
        <w:pStyle w:val="TextBody"/>
        <w:bidi w:val="0"/>
        <w:spacing w:before="240" w:after="283"/>
        <w:jc w:val="both"/>
        <w:rPr/>
      </w:pPr>
      <w:r>
        <w:rPr>
          <w:color w:val="000000"/>
        </w:rPr>
        <w:t>“</w:t>
      </w:r>
      <w:r>
        <w:rPr>
          <w:rFonts w:ascii="Times New Roman" w:hAnsi="Times New Roman"/>
          <w:color w:val="000000"/>
          <w:sz w:val="24"/>
          <w:u w:val="single"/>
        </w:rPr>
        <w:t>Fiscal Year</w:t>
      </w:r>
      <w:r>
        <w:rPr>
          <w:color w:val="000000"/>
        </w:rPr>
        <w:t xml:space="preserve">” </w:t>
      </w:r>
      <w:r>
        <w:rPr>
          <w:rFonts w:ascii="Times New Roman" w:hAnsi="Times New Roman"/>
          <w:color w:val="000000"/>
          <w:sz w:val="24"/>
        </w:rPr>
        <w:t>means the fiscal year of the Company.</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(u)</w:t>
      </w:r>
    </w:p>
    <w:p>
      <w:pPr>
        <w:pStyle w:val="TextBody"/>
        <w:bidi w:val="0"/>
        <w:spacing w:before="240" w:after="283"/>
        <w:jc w:val="both"/>
        <w:rPr/>
      </w:pPr>
      <w:r>
        <w:rPr>
          <w:color w:val="000000"/>
        </w:rPr>
        <w:t>“</w:t>
      </w:r>
      <w:r>
        <w:rPr>
          <w:rFonts w:ascii="Times New Roman" w:hAnsi="Times New Roman"/>
          <w:color w:val="000000"/>
          <w:sz w:val="24"/>
          <w:u w:val="single"/>
        </w:rPr>
        <w:t>New Exercise Date</w:t>
      </w:r>
      <w:r>
        <w:rPr>
          <w:color w:val="000000"/>
        </w:rPr>
        <w:t xml:space="preserve">” </w:t>
      </w:r>
      <w:r>
        <w:rPr>
          <w:rFonts w:ascii="Times New Roman" w:hAnsi="Times New Roman"/>
          <w:color w:val="000000"/>
          <w:sz w:val="24"/>
        </w:rPr>
        <w:t>means a new Exercise Date if the Administrator shortens any Offering Period then in progress.</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pPr>
      <w:r>
        <w:rPr>
          <w:color w:val="000000"/>
        </w:rPr>
        <w:t>“</w:t>
      </w:r>
      <w:r>
        <w:rPr>
          <w:rFonts w:ascii="Times New Roman" w:hAnsi="Times New Roman"/>
          <w:color w:val="000000"/>
          <w:sz w:val="24"/>
          <w:u w:val="single"/>
        </w:rPr>
        <w:t>Offering</w:t>
      </w:r>
      <w:r>
        <w:rPr>
          <w:color w:val="000000"/>
        </w:rPr>
        <w:t xml:space="preserve">” </w:t>
      </w:r>
      <w:r>
        <w:rPr>
          <w:rFonts w:ascii="Times New Roman" w:hAnsi="Times New Roman"/>
          <w:color w:val="000000"/>
          <w:sz w:val="24"/>
        </w:rPr>
        <w:t>means an offer under the Plan of an option that may be exercised during an Offering Period as further described in Section ‎6.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Regulations Section 1.423</w:t>
        <w:noBreakHyphen/>
        <w:t>2(a)(1), the terms of each Offering need not be identical provided that the terms of the Plan and an Offering together satisfy U.S. Treasury Regulations Section 1.423</w:t>
        <w:noBreakHyphen/>
        <w:t>2(a)(2) and (a)(3).</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(w)</w:t>
      </w:r>
    </w:p>
    <w:p>
      <w:pPr>
        <w:pStyle w:val="TextBody"/>
        <w:bidi w:val="0"/>
        <w:spacing w:before="240" w:after="283"/>
        <w:jc w:val="both"/>
        <w:rPr/>
      </w:pPr>
      <w:r>
        <w:rPr>
          <w:color w:val="000000"/>
        </w:rPr>
        <w:t>“</w:t>
      </w:r>
      <w:r>
        <w:rPr>
          <w:rFonts w:ascii="Times New Roman" w:hAnsi="Times New Roman"/>
          <w:color w:val="000000"/>
          <w:sz w:val="24"/>
          <w:u w:val="single"/>
        </w:rPr>
        <w:t>Offering Period</w:t>
      </w:r>
      <w:r>
        <w:rPr>
          <w:color w:val="000000"/>
        </w:rPr>
        <w:t xml:space="preserve">” </w:t>
      </w:r>
      <w:r>
        <w:rPr>
          <w:rFonts w:ascii="Times New Roman" w:hAnsi="Times New Roman"/>
          <w:color w:val="000000"/>
          <w:sz w:val="24"/>
        </w:rPr>
        <w:t>means a period beginning on such date as may be determined by the Administrator, in its discretion, and ending on such Exercise Date as may be determined by the Administrator, in its discretion, during which an option granted pursuant to the Plan may be exercised. The duration and timing of Offering Periods may be changed pursuant to Sections ‎6 and ‎18.</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color w:val="000000"/>
        </w:rPr>
        <w:t>“</w:t>
      </w:r>
      <w:r>
        <w:rPr>
          <w:rFonts w:ascii="Times New Roman" w:hAnsi="Times New Roman"/>
          <w:color w:val="000000"/>
          <w:sz w:val="24"/>
          <w:u w:val="single"/>
        </w:rPr>
        <w:t>Parent</w:t>
      </w:r>
      <w:r>
        <w:rPr>
          <w:color w:val="000000"/>
        </w:rPr>
        <w:t xml:space="preserve">” </w:t>
      </w:r>
      <w:r>
        <w:rPr>
          <w:rFonts w:ascii="Times New Roman" w:hAnsi="Times New Roman"/>
          <w:color w:val="000000"/>
          <w:sz w:val="24"/>
        </w:rPr>
        <w:t>means a “parent corporation,” whether now or hereafter existing, as defined in Code Section 424(e).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(y)</w:t>
      </w:r>
    </w:p>
    <w:p>
      <w:pPr>
        <w:pStyle w:val="TextBody"/>
        <w:bidi w:val="0"/>
        <w:spacing w:before="240" w:after="283"/>
        <w:jc w:val="both"/>
        <w:rPr/>
      </w:pPr>
      <w:r>
        <w:rPr>
          <w:color w:val="000000"/>
        </w:rPr>
        <w:t>“</w:t>
      </w:r>
      <w:r>
        <w:rPr>
          <w:rFonts w:ascii="Times New Roman" w:hAnsi="Times New Roman"/>
          <w:color w:val="000000"/>
          <w:sz w:val="24"/>
          <w:u w:val="single"/>
        </w:rPr>
        <w:t>Participant</w:t>
      </w:r>
      <w:r>
        <w:rPr>
          <w:color w:val="000000"/>
        </w:rPr>
        <w:t xml:space="preserve">” </w:t>
      </w:r>
      <w:r>
        <w:rPr>
          <w:rFonts w:ascii="Times New Roman" w:hAnsi="Times New Roman"/>
          <w:color w:val="000000"/>
          <w:sz w:val="24"/>
        </w:rPr>
        <w:t>means an Eligible Employee that participates in the Plan.</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(z)</w:t>
      </w:r>
    </w:p>
    <w:p>
      <w:pPr>
        <w:pStyle w:val="TextBody"/>
        <w:bidi w:val="0"/>
        <w:spacing w:before="240" w:after="283"/>
        <w:jc w:val="both"/>
        <w:rPr/>
      </w:pPr>
      <w:r>
        <w:rPr>
          <w:color w:val="000000"/>
        </w:rPr>
        <w:t>“</w:t>
      </w:r>
      <w:r>
        <w:rPr>
          <w:rFonts w:ascii="Times New Roman" w:hAnsi="Times New Roman"/>
          <w:color w:val="000000"/>
          <w:sz w:val="24"/>
          <w:u w:val="single"/>
        </w:rPr>
        <w:t>Plan</w:t>
      </w:r>
      <w:r>
        <w:rPr>
          <w:color w:val="000000"/>
        </w:rPr>
        <w:t xml:space="preserve">” </w:t>
      </w:r>
      <w:r>
        <w:rPr>
          <w:rFonts w:ascii="Times New Roman" w:hAnsi="Times New Roman"/>
          <w:color w:val="000000"/>
          <w:sz w:val="24"/>
        </w:rPr>
        <w:t>means this ALX Oncology Holding Inc. Employee Stock Purchase Plan, as it may be amended from time to time.</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(aa)</w:t>
      </w:r>
    </w:p>
    <w:p>
      <w:pPr>
        <w:pStyle w:val="TextBody"/>
        <w:bidi w:val="0"/>
        <w:spacing w:before="240" w:after="283"/>
        <w:jc w:val="both"/>
        <w:rPr/>
      </w:pPr>
      <w:r>
        <w:rPr>
          <w:color w:val="000000"/>
        </w:rPr>
        <w:t>“</w:t>
      </w:r>
      <w:r>
        <w:rPr>
          <w:rFonts w:ascii="Times New Roman" w:hAnsi="Times New Roman"/>
          <w:color w:val="000000"/>
          <w:sz w:val="24"/>
          <w:u w:val="single"/>
        </w:rPr>
        <w:t>Purchase Period</w:t>
      </w:r>
      <w:r>
        <w:rPr>
          <w:color w:val="000000"/>
        </w:rPr>
        <w:t xml:space="preserve">” </w:t>
      </w:r>
      <w:r>
        <w:rPr>
          <w:rFonts w:ascii="Times New Roman" w:hAnsi="Times New Roman"/>
          <w:color w:val="000000"/>
          <w:sz w:val="24"/>
        </w:rPr>
        <w:t>means the period during an Offering Period and during which shares of Common Stock may be purchased on behalf of Participants thereunder in accordance with the terms of the Plan. Purchase Periods will have such duration as determined by the Administrator, commencing after one Exercise Date and ending with the next Exercise Date, except that the first Purchase Period of any Offering Period will commence on the Enrollment Date and end with the next Exercise Date. Unless the Administrator provides otherwise, a Purchase Period in an Offering Period will have the same duration as, and coincide with the length of, such Offering Period.</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(bb)</w:t>
      </w:r>
    </w:p>
    <w:p>
      <w:pPr>
        <w:pStyle w:val="TextBody"/>
        <w:bidi w:val="0"/>
        <w:spacing w:before="240" w:after="283"/>
        <w:jc w:val="both"/>
        <w:rPr/>
      </w:pPr>
      <w:r>
        <w:rPr>
          <w:color w:val="000000"/>
        </w:rPr>
        <w:t>“</w:t>
      </w:r>
      <w:r>
        <w:rPr>
          <w:rFonts w:ascii="Times New Roman" w:hAnsi="Times New Roman"/>
          <w:color w:val="000000"/>
          <w:sz w:val="24"/>
          <w:u w:val="single"/>
        </w:rPr>
        <w:t>Purchase Price</w:t>
      </w:r>
      <w:r>
        <w:rPr>
          <w:color w:val="000000"/>
        </w:rPr>
        <w:t xml:space="preserve">” </w:t>
      </w:r>
      <w:r>
        <w:rPr>
          <w:rFonts w:ascii="Times New Roman" w:hAnsi="Times New Roman"/>
          <w:color w:val="000000"/>
          <w:sz w:val="24"/>
        </w:rPr>
        <w:t xml:space="preserve">means an amount equal to eighty-five percent (85%) of the Fair Market Value of a share of Common Stock on the Enrollment Date or on the Exercise Date, whichever is lower; provided however, that the Purchase Price may be determined for any Offering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Period by the Administrator subject to compliance with Code Section 423 (or any successor rule or provision or any other Applicable Laws, regulation or stock exchange rule) or pursuant to Section 18.</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(cc)</w:t>
      </w:r>
    </w:p>
    <w:p>
      <w:pPr>
        <w:pStyle w:val="TextBody"/>
        <w:bidi w:val="0"/>
        <w:spacing w:before="240" w:after="283"/>
        <w:jc w:val="both"/>
        <w:rPr/>
      </w:pPr>
      <w:r>
        <w:rPr>
          <w:color w:val="000000"/>
        </w:rPr>
        <w:t>“</w:t>
      </w:r>
      <w:r>
        <w:rPr>
          <w:rFonts w:ascii="Times New Roman" w:hAnsi="Times New Roman"/>
          <w:color w:val="000000"/>
          <w:sz w:val="24"/>
          <w:u w:val="single"/>
        </w:rPr>
        <w:t>Registration Date</w:t>
      </w:r>
      <w:r>
        <w:rPr>
          <w:color w:val="000000"/>
        </w:rPr>
        <w:t xml:space="preserve">” </w:t>
      </w:r>
      <w:r>
        <w:rPr>
          <w:rFonts w:ascii="Times New Roman" w:hAnsi="Times New Roman"/>
          <w:color w:val="000000"/>
          <w:sz w:val="24"/>
        </w:rPr>
        <w:t>means the effective date of the first registration statement that is filed by the Company and declared effective pursuant to Section 12(b) of the Exchange Act, with respect to any class of the Company’s securities.</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(dd)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color w:val="000000"/>
        </w:rPr>
        <w:t>“</w:t>
      </w:r>
      <w:r>
        <w:rPr>
          <w:rFonts w:ascii="Times New Roman" w:hAnsi="Times New Roman"/>
          <w:color w:val="000000"/>
          <w:sz w:val="24"/>
          <w:u w:val="single"/>
        </w:rPr>
        <w:t>Section 409A</w:t>
      </w:r>
      <w:r>
        <w:rPr>
          <w:color w:val="000000"/>
        </w:rPr>
        <w:t xml:space="preserve">” </w:t>
      </w:r>
      <w:r>
        <w:rPr>
          <w:rFonts w:ascii="Times New Roman" w:hAnsi="Times New Roman"/>
          <w:color w:val="000000"/>
          <w:sz w:val="24"/>
        </w:rPr>
        <w:t>means Code Section 409A</w:t>
      </w:r>
      <w:r>
        <w:rPr>
          <w:color w:val="000000"/>
        </w:rPr>
        <w:t xml:space="preserve"> </w:t>
      </w:r>
      <w:r>
        <w:rPr>
          <w:rFonts w:ascii="Times New Roman" w:hAnsi="Times New Roman"/>
          <w:color w:val="000000"/>
          <w:sz w:val="24"/>
        </w:rPr>
        <w:t>and the Treasury Regulations and guidance thereunder, and any state law equivalent, as each may be promulgated, amended or modified from time to time.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color w:val="000000"/>
        </w:rPr>
        <w:t>“</w:t>
      </w:r>
      <w:r>
        <w:rPr>
          <w:rFonts w:ascii="Times New Roman" w:hAnsi="Times New Roman"/>
          <w:color w:val="000000"/>
          <w:sz w:val="24"/>
          <w:u w:val="single"/>
        </w:rPr>
        <w:t>Subsidiary</w:t>
      </w:r>
      <w:r>
        <w:rPr>
          <w:color w:val="000000"/>
        </w:rPr>
        <w:t xml:space="preserve">” </w:t>
      </w:r>
      <w:r>
        <w:rPr>
          <w:rFonts w:ascii="Times New Roman" w:hAnsi="Times New Roman"/>
          <w:color w:val="000000"/>
          <w:sz w:val="24"/>
        </w:rPr>
        <w:t>means a “subsidiary corporation,” whether now or hereafter existing, as defined in Code Section 424(f).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(ff)</w:t>
      </w:r>
    </w:p>
    <w:p>
      <w:pPr>
        <w:pStyle w:val="TextBody"/>
        <w:bidi w:val="0"/>
        <w:spacing w:before="240" w:after="283"/>
        <w:jc w:val="both"/>
        <w:rPr/>
      </w:pPr>
      <w:r>
        <w:rPr>
          <w:color w:val="000000"/>
        </w:rPr>
        <w:t>“</w:t>
      </w:r>
      <w:r>
        <w:rPr>
          <w:rFonts w:ascii="Times New Roman" w:hAnsi="Times New Roman"/>
          <w:color w:val="000000"/>
          <w:sz w:val="24"/>
          <w:u w:val="single"/>
        </w:rPr>
        <w:t>Trading Day</w:t>
      </w:r>
      <w:r>
        <w:rPr>
          <w:color w:val="000000"/>
        </w:rPr>
        <w:t xml:space="preserve">” </w:t>
      </w:r>
      <w:r>
        <w:rPr>
          <w:rFonts w:ascii="Times New Roman" w:hAnsi="Times New Roman"/>
          <w:color w:val="000000"/>
          <w:sz w:val="24"/>
        </w:rPr>
        <w:t>means a day that the primary stock exchange, national market system, or other trading platform, as applicable, upon which the Common Stock is listed (or otherwise trades regularly, as determined by the Administrator, in its sole discretion) is open for trading.</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(gg)</w:t>
      </w:r>
    </w:p>
    <w:p>
      <w:pPr>
        <w:pStyle w:val="TextBody"/>
        <w:bidi w:val="0"/>
        <w:spacing w:before="240" w:after="283"/>
        <w:jc w:val="both"/>
        <w:rPr/>
      </w:pPr>
      <w:r>
        <w:rPr>
          <w:color w:val="000000"/>
        </w:rPr>
        <w:t>“</w:t>
      </w:r>
      <w:r>
        <w:rPr>
          <w:rFonts w:ascii="Times New Roman" w:hAnsi="Times New Roman"/>
          <w:color w:val="000000"/>
          <w:sz w:val="24"/>
          <w:u w:val="single"/>
        </w:rPr>
        <w:t>U.S. Treasury Regulations</w:t>
      </w:r>
      <w:r>
        <w:rPr>
          <w:color w:val="000000"/>
        </w:rPr>
        <w:t xml:space="preserve">” </w:t>
      </w:r>
      <w:r>
        <w:rPr>
          <w:rFonts w:ascii="Times New Roman" w:hAnsi="Times New Roman"/>
          <w:color w:val="000000"/>
          <w:sz w:val="24"/>
        </w:rPr>
        <w:t>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Stock</w:t>
      </w:r>
      <w:r>
        <w:rPr>
          <w:rFonts w:ascii="Times New Roman" w:hAnsi="Times New Roman"/>
          <w:color w:val="000000"/>
          <w:sz w:val="24"/>
        </w:rPr>
        <w:t xml:space="preserve">.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Stock Subject to the Plan</w:t>
      </w:r>
      <w:r>
        <w:rPr>
          <w:rFonts w:ascii="Times New Roman" w:hAnsi="Times New Roman"/>
          <w:color w:val="000000"/>
          <w:sz w:val="24"/>
        </w:rPr>
        <w:t xml:space="preserve">. Subject to adjustment upon changes in capitalization of the Company as provided in Section ‎17 hereof, the maximum number of shares of Common Stock that will be made available for sale under the Plan will be 400,000 shares of Common Stock.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Automatic Share Reserve Increase</w:t>
      </w:r>
      <w:r>
        <w:rPr>
          <w:rFonts w:ascii="Times New Roman" w:hAnsi="Times New Roman"/>
          <w:color w:val="000000"/>
          <w:sz w:val="24"/>
        </w:rPr>
        <w:t>. Subject to adjustment upon change in capitalization of the Company as provided in Section ‎17 hereof, the number of shares of Common Stock available for issuance under the Plan will be increased on the first day of each Fiscal Year beginning with the 2021 Fiscal Year equal to the least of (a) 800,000 shares of Common Stock, (b) one percent (1%) of the outstanding shares of Common Stock on the last day of the immediately preceding Fiscal Year, or (c) such number of Shares determined by the Board no later than the last day of the immediately preceding Fiscal Year. The shares of Common Stock may be authorized, but unissued, or reacquired Common Stock.</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Administration</w:t>
      </w:r>
      <w:r>
        <w:rPr>
          <w:rFonts w:ascii="Times New Roman" w:hAnsi="Times New Roman"/>
          <w:color w:val="000000"/>
          <w:sz w:val="24"/>
        </w:rPr>
        <w:t xml:space="preserve">. The Plan will be administered by the Board or a Committee appointed by the Board, which Committee will be constituted to comply with Applicable Laws. The Administrator will have full and exclusive discretionary authority to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construe, interpret and apply the terms of the Plan,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delegate ministerial duties to any of the Company’s employees,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designate separate Offerings under the Plan,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designate Subsidiaries as participating in the 423</w:t>
      </w:r>
      <w:r>
        <w:rPr>
          <w:color w:val="000000"/>
        </w:rPr>
        <w:t xml:space="preserve"> </w:t>
      </w:r>
      <w:r>
        <w:rPr>
          <w:rFonts w:ascii="Times New Roman" w:hAnsi="Times New Roman"/>
          <w:color w:val="000000"/>
          <w:sz w:val="24"/>
        </w:rPr>
        <w:t>Component or Non</w:t>
        <w:noBreakHyphen/>
        <w:t xml:space="preserve">423 Component,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determine eligibility,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adjudicate all disputed claims filed under the Plan, and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establish such procedures that it deems necessary or advisable for the administration of the Plan (including, without limitation, to adopt such procedures, sub</w:t>
        <w:noBreakHyphen/>
        <w:t>plans, and appendices to the enrollment agreement as are necessary or appropriate to permit the participation in the Plan by employees who are foreign nationals or employed outside the U.S., the terms of which sub</w:t>
        <w:noBreakHyphen/>
        <w:t>plans and appendices may take precedence over other provisions of this Plan, with the exception of Section ‎3 hereof, but unless otherwise superseded by the terms of such sub</w:t>
        <w:noBreakHyphen/>
        <w:t>plan or appendix, the provisions of this Plan will govern the operation of such sub</w:t>
        <w:noBreakHyphen/>
        <w:t>plan or appendix). Unless otherwise determined by the Administrator, the Eligible Employees eligible to participate in each sub</w:t>
        <w:noBreakHyphen/>
        <w:t>plan will participate in a separate Offering under the 423</w:t>
      </w:r>
      <w:r>
        <w:rPr>
          <w:color w:val="000000"/>
        </w:rPr>
        <w:t xml:space="preserve"> </w:t>
      </w:r>
      <w:r>
        <w:rPr>
          <w:rFonts w:ascii="Times New Roman" w:hAnsi="Times New Roman"/>
          <w:color w:val="000000"/>
          <w:sz w:val="24"/>
        </w:rPr>
        <w:t xml:space="preserve">Component, or if the terms would not qualify under the </w:t>
      </w:r>
      <w:bookmarkStart w:id="43" w:name="docxtextref39"/>
      <w:bookmarkEnd w:id="43"/>
      <w:r>
        <w:rPr>
          <w:rFonts w:ascii="Times New Roman" w:hAnsi="Times New Roman"/>
          <w:color w:val="000000"/>
          <w:sz w:val="24"/>
        </w:rPr>
        <w:t>423</w:t>
      </w:r>
      <w:r>
        <w:rPr>
          <w:color w:val="000000"/>
        </w:rPr>
        <w:t xml:space="preserve"> </w:t>
      </w:r>
      <w:r>
        <w:rPr>
          <w:rFonts w:ascii="Times New Roman" w:hAnsi="Times New Roman"/>
          <w:color w:val="000000"/>
          <w:sz w:val="24"/>
        </w:rPr>
        <w:t>Component, in the Non</w:t>
        <w:noBreakHyphen/>
        <w:t xml:space="preserve">423 Component, in either case unless such designation would cause the </w:t>
      </w:r>
      <w:bookmarkStart w:id="44" w:name="docxtextref40"/>
      <w:bookmarkEnd w:id="44"/>
      <w:r>
        <w:rPr>
          <w:rFonts w:ascii="Times New Roman" w:hAnsi="Times New Roman"/>
          <w:color w:val="000000"/>
          <w:sz w:val="24"/>
        </w:rPr>
        <w:t>423</w:t>
      </w:r>
      <w:r>
        <w:rPr>
          <w:color w:val="000000"/>
        </w:rPr>
        <w:t xml:space="preserve"> </w:t>
      </w:r>
      <w:r>
        <w:rPr>
          <w:rFonts w:ascii="Times New Roman" w:hAnsi="Times New Roman"/>
          <w:color w:val="000000"/>
          <w:sz w:val="24"/>
        </w:rPr>
        <w:t xml:space="preserve">Component to violate the requirements of Code Section </w:t>
      </w:r>
      <w:bookmarkStart w:id="45" w:name="docxtextref37"/>
      <w:bookmarkEnd w:id="45"/>
      <w:r>
        <w:rPr>
          <w:rFonts w:ascii="Times New Roman" w:hAnsi="Times New Roman"/>
          <w:color w:val="000000"/>
          <w:sz w:val="24"/>
        </w:rPr>
        <w:t xml:space="preserve">423. </w:t>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spacing w:before="240" w:after="283"/>
        <w:ind w:left="0" w:right="0" w:firstLine="1440"/>
        <w:jc w:val="both"/>
        <w:rPr>
          <w:rFonts w:ascii="Times New Roman" w:hAnsi="Times New Roman"/>
          <w:b w:val="false"/>
          <w:color w:val="000000"/>
          <w:sz w:val="24"/>
        </w:rPr>
      </w:pPr>
      <w:r>
        <w:rPr>
          <w:rFonts w:ascii="Times New Roman" w:hAnsi="Times New Roman"/>
          <w:b w:val="false"/>
          <w:color w:val="000000"/>
          <w:sz w:val="24"/>
        </w:rPr>
        <w:t>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Regulations Section 1.423</w:t>
        <w:noBreakHyphen/>
        <w:t>2(f), the terms of an option granted under the Plan or an Offering to citizens or residents of a non</w:t>
        <w:noBreakHyphen/>
        <w:t>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Eligibility</w:t>
      </w:r>
      <w:r>
        <w:rPr>
          <w:rFonts w:ascii="Times New Roman" w:hAnsi="Times New Roman"/>
          <w:color w:val="000000"/>
          <w:sz w:val="24"/>
        </w:rPr>
        <w: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Offering Periods</w:t>
      </w:r>
      <w:r>
        <w:rPr>
          <w:rFonts w:ascii="Times New Roman" w:hAnsi="Times New Roman"/>
          <w:color w:val="000000"/>
          <w:sz w:val="24"/>
        </w:rPr>
        <w:t>. Any Eligible Employee on a given Enrollment Date will be eligible to participate in the Plan, subject to the requirements of Section ‎7.</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Non</w:t>
        <w:noBreakHyphen/>
        <w:t>U.S. Employees</w:t>
      </w:r>
      <w:r>
        <w:rPr>
          <w:rFonts w:ascii="Times New Roman" w:hAnsi="Times New Roman"/>
          <w:color w:val="000000"/>
          <w:sz w:val="24"/>
        </w:rPr>
        <w:t>. Eligible Employees who are citizens or residents of a non</w:t>
        <w:noBreakHyphen/>
        <w:t>U.S. jurisdiction (without regard to whether they also are citizens or residents of the United States or resident aliens (within the meaning of Code Section 7701(b)(1)(A))) may be excluded from participation in the Plan or an Offering if the participation of such Eligible Employees is prohibited under the laws of the applicable jurisdiction or if complying with the laws of the applicable jurisdiction would cause the Plan or an Offering to violate Code Section 423. In the case of the Non</w:t>
        <w:noBreakHyphen/>
        <w:t>423 Component, an Eligible Employee may be excluded from participation in the Plan or an Offering if the Administrator has determined that participation of such Eligible Employee is not advisable or practicable.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Limitations</w:t>
      </w:r>
      <w:r>
        <w:rPr>
          <w:rFonts w:ascii="Times New Roman" w:hAnsi="Times New Roman"/>
          <w:color w:val="000000"/>
          <w:sz w:val="24"/>
        </w:rPr>
        <w:t xml:space="preserve">.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Code Section 424(d))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Code Section </w:t>
      </w:r>
      <w:bookmarkStart w:id="46" w:name="docxtextref42"/>
      <w:bookmarkEnd w:id="46"/>
      <w:r>
        <w:rPr>
          <w:rFonts w:ascii="Times New Roman" w:hAnsi="Times New Roman"/>
          <w:color w:val="000000"/>
          <w:sz w:val="24"/>
        </w:rPr>
        <w:t>423) of the Company or any Parent or Subsidiary of the Company accrues at a rate, which exceeds twenty</w:t>
        <w:noBreakHyphen/>
        <w:t xml:space="preserve">five thousand dollars ($25,000) worth of stock (determined at the Fair Market Value of the stock at the time such option is granted) for each calendar year in which such option is outstanding at any time, as determined in accordance with Code Section </w:t>
      </w:r>
      <w:bookmarkStart w:id="47" w:name="docxtextref43"/>
      <w:bookmarkEnd w:id="47"/>
      <w:r>
        <w:rPr>
          <w:rFonts w:ascii="Times New Roman" w:hAnsi="Times New Roman"/>
          <w:color w:val="000000"/>
          <w:sz w:val="24"/>
        </w:rPr>
        <w:t>423</w:t>
      </w:r>
      <w:r>
        <w:rPr>
          <w:color w:val="000000"/>
        </w:rPr>
        <w:t xml:space="preserve"> </w:t>
      </w:r>
      <w:r>
        <w:rPr>
          <w:rFonts w:ascii="Times New Roman" w:hAnsi="Times New Roman"/>
          <w:color w:val="000000"/>
          <w:sz w:val="24"/>
        </w:rPr>
        <w:t>and the regulations thereunder.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Offering Periods</w:t>
      </w:r>
      <w:r>
        <w:rPr>
          <w:rFonts w:ascii="Times New Roman" w:hAnsi="Times New Roman"/>
          <w:color w:val="000000"/>
          <w:sz w:val="24"/>
        </w:rPr>
        <w:t>. The Plan will be implemented by Offering Periods as established by the Administrator from time to time. Offering Periods will expire on the earliest to occur of (a) the completion of the purchase of shares on the last Exercise Date occurring within twenty</w:t>
        <w:noBreakHyphen/>
        <w:t>seven (27) months of the applicable Enrollment Date on which the option to purchase shares was granted under the Plan, or (b) such shorter period established prior to the Enrollment Date of the Offering Period by the Administrator, from time to time, in its discretion, on a uniform and nondiscriminatory basis, for all options to be granted on such Enrollment Date.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twenty-seven (27) months.</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Participation</w:t>
      </w:r>
      <w:r>
        <w:rPr>
          <w:rFonts w:ascii="Times New Roman" w:hAnsi="Times New Roman"/>
          <w:color w:val="000000"/>
          <w:sz w:val="24"/>
        </w:rPr>
        <w:t>. An Eligible Employee may participate in the Plan by (i) submitting to the Company’s stock administration office (or its designee), a properly completed subscription agreement authorizing Contributions in the form provided by the Administrator for such purpose, or (ii) following an electronic or other enrollment procedure determined by the Administrator, in either case, on or before a date determined by the Administrator prior to an applicable Enrollment Date.</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Contributions</w:t>
      </w:r>
      <w:r>
        <w:rPr>
          <w:rFonts w:ascii="Times New Roman" w:hAnsi="Times New Roman"/>
          <w:color w:val="000000"/>
          <w:sz w:val="24"/>
        </w:rPr>
        <w: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Contribution Amounts</w:t>
      </w:r>
      <w:r>
        <w:rPr>
          <w:rFonts w:ascii="Times New Roman" w:hAnsi="Times New Roman"/>
          <w:color w:val="000000"/>
          <w:sz w:val="24"/>
        </w:rPr>
        <w:t>. At the time a Participant enrolls in the Plan pursuant to Section ‎7,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provided, however, that should a pay day occur on an Exercise Date, a Participant will have any Contributions made on such day applied to his or her account under the then</w:t>
        <w:noBreakHyphen/>
        <w:t xml:space="preserve">current Purchase Period or Offering Period.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Contribution Methods</w:t>
      </w:r>
      <w:r>
        <w:rPr>
          <w:rFonts w:ascii="Times New Roman" w:hAnsi="Times New Roman"/>
          <w:color w:val="000000"/>
          <w:sz w:val="24"/>
        </w:rPr>
        <w:t xml:space="preserve">. The Administrator, in its sole discretion, may permit all Participants in a specified Offering to contribute amounts to the Plan through payment by cash, check or other means set forth in the subscription agreement prior to each Exercise Date of each Offering Period. A Participant’s subscription agreement will remain in effect for successive Offering Periods unless terminated as provided in Section ‎12 hereof.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‎12 hereof.</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All Contributions made for a Participant will be credited to his or her account under the Plan and Contributions will be made in whole percentages of his or her Compensation only. A Participant may not make any additional payments into such account.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Participant Changes to Contributions</w:t>
      </w:r>
      <w:r>
        <w:rPr>
          <w:rFonts w:ascii="Times New Roman" w:hAnsi="Times New Roman"/>
          <w:color w:val="000000"/>
          <w:sz w:val="24"/>
        </w:rPr>
        <w:t>. A Participant may discontinue his or her participation in the Plan as provided under Section ‎12. Until and unless determined otherwise by the Administrator, in its sole discretion, during any Offering Period, a Participant may not increase the rate of his or her Contributions and may decrease the rate of his or her Contributions only one (1)</w:t>
      </w:r>
      <w:r>
        <w:rPr>
          <w:color w:val="000000"/>
        </w:rPr>
        <w:t xml:space="preserve"> </w:t>
      </w:r>
      <w:r>
        <w:rPr>
          <w:rFonts w:ascii="Times New Roman" w:hAnsi="Times New Roman"/>
          <w:color w:val="000000"/>
          <w:sz w:val="24"/>
        </w:rPr>
        <w:t>time, provided that such decrease is to a Contribution rate of zero percent (0%). In addition, until and unless determined otherwise by the Administrator, in its sole discretion, during any Offering Period, a Participant may increase or decrease the rate of his or her Contributions (as a whole percent to a rate between zero percent (0%) and the maximum percentage specified in Section ‎8(a)), which Contribution rate adjustment will become effective upon the commencement of the next Offering Period and remain in effect for subsequent Offering Periods and, except as set forth in the immediately preceding sentence, any such adjustment will not affect the Contribution rate for any ongoing Offering Period.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A Participant may make a Contribution rate adjustment pursuant to this Section ‎8(c) by (A) properly completing and submitting to the Company’s stock administration office (or its designee), a new subscription agreement authorizing the change in Contribution rate in the form provided by the Administrator for such purpose, or (B) following an electronic or other procedure prescribed by the Administrator, in either case, on or before a date determined by the Administrator prior to (x)</w:t>
      </w:r>
      <w:r>
        <w:rPr>
          <w:color w:val="000000"/>
        </w:rPr>
        <w:t xml:space="preserve"> </w:t>
      </w:r>
      <w:r>
        <w:rPr>
          <w:rFonts w:ascii="Times New Roman" w:hAnsi="Times New Roman"/>
          <w:color w:val="000000"/>
          <w:sz w:val="24"/>
        </w:rPr>
        <w:t xml:space="preserve">the </w:t>
      </w:r>
      <w:bookmarkStart w:id="48" w:name="docxtextref53"/>
      <w:bookmarkEnd w:id="48"/>
      <w:r>
        <w:rPr>
          <w:rFonts w:ascii="Times New Roman" w:hAnsi="Times New Roman"/>
          <w:color w:val="000000"/>
          <w:sz w:val="24"/>
        </w:rPr>
        <w:t>scheduled</w:t>
      </w:r>
      <w:r>
        <w:rPr>
          <w:color w:val="000000"/>
        </w:rPr>
        <w:t xml:space="preserve"> </w:t>
      </w:r>
      <w:r>
        <w:rPr>
          <w:rFonts w:ascii="Times New Roman" w:hAnsi="Times New Roman"/>
          <w:color w:val="000000"/>
          <w:sz w:val="24"/>
        </w:rPr>
        <w:t xml:space="preserve">beginning of the first Offering Period to be affected or </w:t>
      </w:r>
      <w:bookmarkStart w:id="49" w:name="docxtextref57"/>
      <w:bookmarkEnd w:id="49"/>
      <w:r>
        <w:rPr>
          <w:rFonts w:ascii="Times New Roman" w:hAnsi="Times New Roman"/>
          <w:color w:val="000000"/>
          <w:sz w:val="24"/>
        </w:rPr>
        <w:t>(y)</w:t>
      </w:r>
      <w:r>
        <w:rPr>
          <w:color w:val="000000"/>
        </w:rPr>
        <w:t xml:space="preserve"> </w:t>
      </w:r>
      <w:r>
        <w:rPr>
          <w:rFonts w:ascii="Times New Roman" w:hAnsi="Times New Roman"/>
          <w:color w:val="000000"/>
          <w:sz w:val="24"/>
        </w:rPr>
        <w:t xml:space="preserve">an applicable Exercise Date, as applicable. If a Participant has not followed such procedures to change the rate of Contributions, the rate of his or her Contributions will continue at the originally elected rate throughout the Offering Period and future Offering Periods (unless the Participant’s participation is terminated as provided in Sections ‎12 or ‎13).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Administrator may, in its sole discretion, limit or amend the nature and/or number of Contribution rate changes (including to permit, prohibit and/or limit increases and/or decreases to rate changes) that may be made by Participants during any Purchase Period or Offering Period, and may establish such other conditions or limitations as it deems appropriate for Plan administration. </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change in Contribution rate made pursuant to this Section ‎8(c)(iii) will be effective as of the first full payroll period following five (5) business days after the date on which the change is made by the Participant (unless the Administrator, in its sole discretion, elects to process a given change in Contribution rate earlier).</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Other Contribution Changes</w:t>
      </w:r>
      <w:r>
        <w:rPr>
          <w:rFonts w:ascii="Times New Roman" w:hAnsi="Times New Roman"/>
          <w:color w:val="000000"/>
          <w:sz w:val="24"/>
        </w:rPr>
        <w:t xml:space="preserve">. Notwithstanding the foregoing, to the extent necessary to comply with Code Section 423(b)(8) and Section ‎5(c) hereof (which generally limit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4"/>
        </w:rPr>
        <w:t>participation in an Offering Period pursuant to certain Applicable Laws), a Participant’s Contributions may be decreased to zero percent (0%) by the Administrator at any time during an Offering Period (or a Purchase Period, as applicable). Subject to Code Section 423(b)(8) and Section ‎5(c) hereof, Contributions will recommence at the rate originally elected by the Participant effective as of the beginning of the first Offering Period (or Purchase Period, as applicable) scheduled</w:t>
      </w:r>
      <w:r>
        <w:rPr>
          <w:color w:val="000000"/>
        </w:rPr>
        <w:t xml:space="preserve"> </w:t>
      </w:r>
      <w:r>
        <w:rPr>
          <w:rFonts w:ascii="Times New Roman" w:hAnsi="Times New Roman"/>
          <w:color w:val="000000"/>
          <w:sz w:val="24"/>
        </w:rPr>
        <w:t>to end in the following calendar year, unless the Participant’s participation has terminated as provided in Sections ‎12 or ‎13.</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Cash Contributions</w:t>
      </w:r>
      <w:r>
        <w:rPr>
          <w:rFonts w:ascii="Times New Roman" w:hAnsi="Times New Roman"/>
          <w:color w:val="000000"/>
          <w:sz w:val="24"/>
        </w:rPr>
        <w:t>. Notwithstanding any provisions to the contrary in the Plan, the Administrator may allow Participants to participate in the Plan via cash contributions instead of payroll deductions if (i) payroll deductions are not permitted or advisable under Applicable Laws, (ii) the Administrator determines that cash contributions are permissible for Participants participating in the 423</w:t>
      </w:r>
      <w:r>
        <w:rPr>
          <w:color w:val="000000"/>
        </w:rPr>
        <w:t xml:space="preserve"> </w:t>
      </w:r>
      <w:r>
        <w:rPr>
          <w:rFonts w:ascii="Times New Roman" w:hAnsi="Times New Roman"/>
          <w:color w:val="000000"/>
          <w:sz w:val="24"/>
        </w:rPr>
        <w:t>Component and/or (iii) the Participants are participating in the Non</w:t>
        <w:noBreakHyphen/>
        <w:t>423 Component.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Tax Withholdings</w:t>
      </w:r>
      <w:r>
        <w:rPr>
          <w:rFonts w:ascii="Times New Roman" w:hAnsi="Times New Roman"/>
          <w:color w:val="000000"/>
          <w:sz w:val="24"/>
        </w:rPr>
        <w:t>. At the time the option is exercised, in whole or in part, or at the time some or all of the Common Stock issued under the Plan is disposed of (or at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the sale or early disposition of Common Stock by the Eligible Employee. In addition, the Company or the Employer may, but will not be obligated to, withhold from the proceeds of the sale of Common Stock or use any other method of withholding the Company or the Employer deems appropriate to the extent permitted by U.S. Treasury Regulations Section 1.423</w:t>
        <w:noBreakHyphen/>
        <w:t>2(f).</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Use of Funds</w:t>
      </w:r>
      <w:r>
        <w:rPr>
          <w:rFonts w:ascii="Times New Roman" w:hAnsi="Times New Roman"/>
          <w:color w:val="000000"/>
          <w:sz w:val="24"/>
        </w:rPr>
        <w:t>. The Company may use all Contributions received or held by it under the Plan for any corporate purpose, and the Company will not be obligated to segregate such Contributions except under Offerings or for Participants in the Non</w:t>
        <w:noBreakHyphen/>
        <w:t>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w:t>
      </w:r>
      <w:r>
        <w:rPr>
          <w:color w:val="000000"/>
        </w:rPr>
        <w:t xml:space="preserve"> </w:t>
      </w:r>
      <w:r>
        <w:rPr>
          <w:rFonts w:ascii="Times New Roman" w:hAnsi="Times New Roman"/>
          <w:color w:val="000000"/>
          <w:sz w:val="24"/>
        </w:rPr>
        <w:t>Component, except to the extent otherwise permitted by U.S. Treasury Regulations Section 1.423</w:t>
        <w:noBreakHyphen/>
        <w:t>2(f). Until shares of Common Stock are issued, Participants will have only the rights of an unsecured creditor with respect to such shares.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Grant of Option</w:t>
      </w:r>
      <w:r>
        <w:rPr>
          <w:rFonts w:ascii="Times New Roman" w:hAnsi="Times New Roman"/>
          <w:color w:val="000000"/>
          <w:sz w:val="24"/>
        </w:rPr>
        <w:t xml:space="preserve">. 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Certain Option Limits</w:t>
      </w:r>
      <w:r>
        <w:rPr>
          <w:rFonts w:ascii="Times New Roman" w:hAnsi="Times New Roman"/>
          <w:color w:val="000000"/>
          <w:sz w:val="24"/>
        </w:rPr>
        <w:t>. In no event will an Eligible Employee be permitted to purchase during each Offering Period commencing on or after the Amendment Date more than 10,000 shares of Common Stock (subject to any adjustment pursuant to Section ‎17), and provided further that such purchase will be subject to the limitations set forth in Sections ‎3 and ‎5(c) and in the subscription agreement. The Administrator, in its absolute discretion, may increase or decrease the maximum number of shares of Common Stock that an Eligible Employee may purchase during each Purchase Period or Offering Period, as applicable. For clarity, any Offering Period in effect as of the Amendment Date that commenced prior to such date will be subject to terms of this Section 9 as in effect on the Enrollment Date of such Offering Period.</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Option Receipt</w:t>
      </w:r>
      <w:r>
        <w:rPr>
          <w:rFonts w:ascii="Times New Roman" w:hAnsi="Times New Roman"/>
          <w:color w:val="000000"/>
          <w:sz w:val="24"/>
        </w:rPr>
        <w:t>. The Eligible Employee may accept the grant of an option under the Plan by electing to participate in the Plan in accordance with the requirements of Section ‎7.</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Option Term</w:t>
      </w:r>
      <w:r>
        <w:rPr>
          <w:rFonts w:ascii="Times New Roman" w:hAnsi="Times New Roman"/>
          <w:color w:val="000000"/>
          <w:sz w:val="24"/>
        </w:rPr>
        <w:t>. Exercise of the option will occur as provided in Section ‎10, unless the Participant’s participation has terminated pursuant to Sections ‎12 or ‎13. The option will expire on the last day of the Offering Period.</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color w:val="000000"/>
          <w:sz w:val="24"/>
          <w:u w:val="single"/>
        </w:rPr>
        <w:t>Exercise of Option</w:t>
      </w:r>
      <w:r>
        <w:rPr>
          <w:rFonts w:ascii="Times New Roman" w:hAnsi="Times New Roman"/>
          <w:color w:val="000000"/>
          <w:sz w:val="24"/>
        </w:rPr>
        <w: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Automatic Exercise</w:t>
      </w:r>
      <w:r>
        <w:rPr>
          <w:rFonts w:ascii="Times New Roman" w:hAnsi="Times New Roman"/>
          <w:color w:val="000000"/>
          <w:sz w:val="24"/>
        </w:rPr>
        <w:t>. Unless a Participant’s participation in the Plan has terminated as provided in Sections ‎12 and ‎13,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withdrawal by the Participant as provided in Sections ‎12 or ‎13. Any other funds left over in a Participant’s account after the Exercise Date will be returned to the Participant. During a Participant’s lifetime, a Participant’s option to purchase shares of Common Stock hereunder is exercisable only by him or her.</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Pro Rata Allocations</w:t>
      </w:r>
      <w:r>
        <w:rPr>
          <w:rFonts w:ascii="Times New Roman" w:hAnsi="Times New Roman"/>
          <w:color w:val="000000"/>
          <w:sz w:val="24"/>
        </w:rPr>
        <w:t>. If the Administrator determines that, on a given Exercise Date, the number of shares of Common Stock with respect to which options are to be exercised may exceed (i) the number of shares of Common Stock that were available for sale under the Plan on the Enrollment Date of the applicable Offering Period, or (ii) the number of shares of Common Stock available for sale under the Plan on such Exercise Date, the Administrator may in its sole discretion (x)</w:t>
      </w:r>
      <w:r>
        <w:rPr>
          <w:color w:val="000000"/>
        </w:rPr>
        <w:t xml:space="preserve"> </w:t>
      </w:r>
      <w:r>
        <w:rPr>
          <w:rFonts w:ascii="Times New Roman" w:hAnsi="Times New Roman"/>
          <w:color w:val="000000"/>
          <w:sz w:val="24"/>
        </w:rPr>
        <w:t xml:space="preserve">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w:t>
      </w:r>
      <w:bookmarkStart w:id="50" w:name="docxtextref69"/>
      <w:bookmarkEnd w:id="50"/>
      <w:r>
        <w:rPr>
          <w:rFonts w:ascii="Times New Roman" w:hAnsi="Times New Roman"/>
          <w:color w:val="000000"/>
          <w:sz w:val="24"/>
        </w:rPr>
        <w:t>(y)</w:t>
      </w:r>
      <w:r>
        <w:rPr>
          <w:color w:val="000000"/>
        </w:rPr>
        <w:t xml:space="preserve"> </w:t>
      </w:r>
      <w:r>
        <w:rPr>
          <w:rFonts w:ascii="Times New Roman" w:hAnsi="Times New Roman"/>
          <w:color w:val="000000"/>
          <w:sz w:val="24"/>
        </w:rPr>
        <w:t xml:space="preserve">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‎18. The Company may make a pro rata allocation of the shares of Common Stock available on the Enrollment Date of any applicable Offering Period pursuant to the preceding sentence, notwithstanding any authorization of additional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shares of Common Stock for issuance under the Plan by the Company’s stockholders subsequent to such Enrollment Date.</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color w:val="000000"/>
          <w:sz w:val="24"/>
          <w:u w:val="single"/>
        </w:rPr>
        <w:t>Delivery</w:t>
      </w:r>
      <w:r>
        <w:rPr>
          <w:rFonts w:ascii="Times New Roman" w:hAnsi="Times New Roman"/>
          <w:color w:val="000000"/>
          <w:sz w:val="24"/>
        </w:rPr>
        <w:t>.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with a trustee or designated agent of the Company, and the Company may utilize electronic or automated methods of share transfer. The Company may require that shares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‎11.</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pPr>
      <w:r>
        <w:rPr>
          <w:rFonts w:ascii="Times New Roman" w:hAnsi="Times New Roman"/>
          <w:color w:val="000000"/>
          <w:sz w:val="24"/>
          <w:u w:val="single"/>
        </w:rPr>
        <w:t>Withdrawal</w:t>
      </w:r>
      <w:r>
        <w:rPr>
          <w:rFonts w:ascii="Times New Roman" w:hAnsi="Times New Roman"/>
          <w:color w:val="000000"/>
          <w:sz w:val="24"/>
        </w:rPr>
        <w: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Withdrawal Procedures</w:t>
      </w:r>
      <w:r>
        <w:rPr>
          <w:rFonts w:ascii="Times New Roman" w:hAnsi="Times New Roman"/>
          <w:color w:val="000000"/>
          <w:sz w:val="24"/>
        </w:rPr>
        <w:t xml:space="preserve">. A Participant may withdraw all but not less than all the Contributions credited to his or her account and not yet used to exercise his or her option under the Plan at any time by (i) submitting to the Company’s stock administration office (or its designee) a written notice of withdrawal in the form determined by the Administrator for such purpose (which may be similar to the form attached hereto as </w:t>
      </w:r>
      <w:r>
        <w:rPr>
          <w:rFonts w:ascii="Times New Roman" w:hAnsi="Times New Roman"/>
          <w:color w:val="000000"/>
          <w:sz w:val="24"/>
          <w:u w:val="single"/>
        </w:rPr>
        <w:t>Exhibit B</w:t>
      </w:r>
      <w:r>
        <w:rPr>
          <w:rFonts w:ascii="Times New Roman" w:hAnsi="Times New Roman"/>
          <w:color w:val="000000"/>
          <w:sz w:val="24"/>
        </w:rPr>
        <w:t>), or (ii) 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 to his or her account will be paid to such Participant as soon as administratively practicable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w:t>
        <w:noBreakHyphen/>
        <w:t>enrolls in the Plan in accordance with the provisions of Section ‎7.</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No Effect on Future Participation</w:t>
      </w:r>
      <w:r>
        <w:rPr>
          <w:rFonts w:ascii="Times New Roman" w:hAnsi="Times New Roman"/>
          <w:color w:val="000000"/>
          <w:sz w:val="24"/>
        </w:rPr>
        <w:t>. 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Termination of Employment</w:t>
      </w:r>
      <w:r>
        <w:rPr>
          <w:rFonts w:ascii="Times New Roman" w:hAnsi="Times New Roman"/>
          <w:color w:val="000000"/>
          <w:sz w:val="24"/>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determined otherwise by the Administrator in a manner that, with respect to an Offering under the 423</w:t>
      </w:r>
      <w:r>
        <w:rPr>
          <w:color w:val="000000"/>
        </w:rPr>
        <w:t xml:space="preserve"> </w:t>
      </w:r>
      <w:r>
        <w:rPr>
          <w:rFonts w:ascii="Times New Roman" w:hAnsi="Times New Roman"/>
          <w:color w:val="000000"/>
          <w:sz w:val="24"/>
        </w:rPr>
        <w:t xml:space="preserve">Component, is permitted by, and compliant with, Code Section </w:t>
      </w:r>
      <w:bookmarkStart w:id="51" w:name="docxtextref72"/>
      <w:bookmarkEnd w:id="51"/>
      <w:r>
        <w:rPr>
          <w:rFonts w:ascii="Times New Roman" w:hAnsi="Times New Roman"/>
          <w:color w:val="000000"/>
          <w:sz w:val="24"/>
        </w:rPr>
        <w:t xml:space="preserve">423, a Participant whose employment transfers between entities through a termination with an immediate rehire (with no break in service) by the Company or a Designated Company will not be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4"/>
        </w:rPr>
        <w:t>treated as terminated under the Plan; however, if a Participant transfers from an Offering under the 423</w:t>
      </w:r>
      <w:r>
        <w:rPr>
          <w:color w:val="000000"/>
        </w:rPr>
        <w:t xml:space="preserve"> </w:t>
      </w:r>
      <w:r>
        <w:rPr>
          <w:rFonts w:ascii="Times New Roman" w:hAnsi="Times New Roman"/>
          <w:color w:val="000000"/>
          <w:sz w:val="24"/>
        </w:rPr>
        <w:t>Component to the Non</w:t>
        <w:noBreakHyphen/>
        <w:t xml:space="preserve">423 Component, the exercise of the option will be qualified under the </w:t>
      </w:r>
      <w:bookmarkStart w:id="52" w:name="docxtextref77"/>
      <w:bookmarkEnd w:id="52"/>
      <w:r>
        <w:rPr>
          <w:rFonts w:ascii="Times New Roman" w:hAnsi="Times New Roman"/>
          <w:color w:val="000000"/>
          <w:sz w:val="24"/>
        </w:rPr>
        <w:t>423</w:t>
      </w:r>
      <w:r>
        <w:rPr>
          <w:color w:val="000000"/>
        </w:rPr>
        <w:t xml:space="preserve"> </w:t>
      </w:r>
      <w:r>
        <w:rPr>
          <w:rFonts w:ascii="Times New Roman" w:hAnsi="Times New Roman"/>
          <w:color w:val="000000"/>
          <w:sz w:val="24"/>
        </w:rPr>
        <w:t xml:space="preserve">Component only to the extent it complies with Code Section </w:t>
      </w:r>
      <w:bookmarkStart w:id="53" w:name="docxtextref73"/>
      <w:bookmarkEnd w:id="53"/>
      <w:r>
        <w:rPr>
          <w:rFonts w:ascii="Times New Roman" w:hAnsi="Times New Roman"/>
          <w:color w:val="000000"/>
          <w:sz w:val="24"/>
        </w:rPr>
        <w:t>423; further, no Participant will be deemed to switch from an Offering under the Non</w:t>
        <w:noBreakHyphen/>
        <w:t xml:space="preserve">423 Component to an Offering under the </w:t>
      </w:r>
      <w:bookmarkStart w:id="54" w:name="docxtextref78"/>
      <w:bookmarkEnd w:id="54"/>
      <w:r>
        <w:rPr>
          <w:rFonts w:ascii="Times New Roman" w:hAnsi="Times New Roman"/>
          <w:color w:val="000000"/>
          <w:sz w:val="24"/>
        </w:rPr>
        <w:t>423</w:t>
      </w:r>
      <w:r>
        <w:rPr>
          <w:color w:val="000000"/>
        </w:rPr>
        <w:t xml:space="preserve"> </w:t>
      </w:r>
      <w:r>
        <w:rPr>
          <w:rFonts w:ascii="Times New Roman" w:hAnsi="Times New Roman"/>
          <w:color w:val="000000"/>
          <w:sz w:val="24"/>
        </w:rPr>
        <w:t xml:space="preserve">Component or vice versa unless (and then only to the extent) such switch would not cause the </w:t>
      </w:r>
      <w:bookmarkStart w:id="55" w:name="docxtextref79"/>
      <w:bookmarkEnd w:id="55"/>
      <w:r>
        <w:rPr>
          <w:rFonts w:ascii="Times New Roman" w:hAnsi="Times New Roman"/>
          <w:color w:val="000000"/>
          <w:sz w:val="24"/>
        </w:rPr>
        <w:t>423</w:t>
      </w:r>
      <w:r>
        <w:rPr>
          <w:color w:val="000000"/>
        </w:rPr>
        <w:t xml:space="preserve"> </w:t>
      </w:r>
      <w:r>
        <w:rPr>
          <w:rFonts w:ascii="Times New Roman" w:hAnsi="Times New Roman"/>
          <w:color w:val="000000"/>
          <w:sz w:val="24"/>
        </w:rPr>
        <w:t xml:space="preserve">Component or any option thereunder to fail to comply with Code Section </w:t>
      </w:r>
      <w:bookmarkStart w:id="56" w:name="docxtextref74"/>
      <w:bookmarkEnd w:id="56"/>
      <w:r>
        <w:rPr>
          <w:rFonts w:ascii="Times New Roman" w:hAnsi="Times New Roman"/>
          <w:color w:val="000000"/>
          <w:sz w:val="24"/>
        </w:rPr>
        <w:t>423.</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Section 409A</w:t>
      </w:r>
      <w:r>
        <w:rPr>
          <w:rFonts w:ascii="Times New Roman" w:hAnsi="Times New Roman"/>
          <w:color w:val="000000"/>
          <w:sz w:val="24"/>
        </w:rPr>
        <w:t xml:space="preserve">. The Plan is intended to be exempt from the application of Section 409A, and, to the extent not exempt, is intended to comply with </w:t>
      </w:r>
      <w:bookmarkStart w:id="57" w:name="docxtextref81"/>
      <w:bookmarkEnd w:id="57"/>
      <w:r>
        <w:rPr>
          <w:rFonts w:ascii="Times New Roman" w:hAnsi="Times New Roman"/>
          <w:color w:val="000000"/>
          <w:sz w:val="24"/>
        </w:rPr>
        <w:t>Section 409A</w:t>
      </w:r>
      <w:r>
        <w:rPr>
          <w:color w:val="000000"/>
        </w:rPr>
        <w:t xml:space="preserve"> </w:t>
      </w:r>
      <w:r>
        <w:rPr>
          <w:rFonts w:ascii="Times New Roman" w:hAnsi="Times New Roman"/>
          <w:color w:val="000000"/>
          <w:sz w:val="24"/>
        </w:rPr>
        <w:t xml:space="preserve">and any ambiguities herein will be interpreted to so be exempt from, or comply with, </w:t>
      </w:r>
      <w:bookmarkStart w:id="58" w:name="docxtextref82"/>
      <w:bookmarkEnd w:id="58"/>
      <w:r>
        <w:rPr>
          <w:rFonts w:ascii="Times New Roman" w:hAnsi="Times New Roman"/>
          <w:color w:val="000000"/>
          <w:sz w:val="24"/>
        </w:rPr>
        <w:t xml:space="preserve">Section 409A. In furtherance of the foregoing and notwithstanding any provision in the Plan to the contrary, if the Administrator determines that an option granted under the Plan may be subject to </w:t>
      </w:r>
      <w:bookmarkStart w:id="59" w:name="docxtextref83"/>
      <w:bookmarkEnd w:id="59"/>
      <w:r>
        <w:rPr>
          <w:rFonts w:ascii="Times New Roman" w:hAnsi="Times New Roman"/>
          <w:color w:val="000000"/>
          <w:sz w:val="24"/>
        </w:rPr>
        <w:t>Section 409A</w:t>
      </w:r>
      <w:r>
        <w:rPr>
          <w:color w:val="000000"/>
        </w:rPr>
        <w:t xml:space="preserve"> </w:t>
      </w:r>
      <w:r>
        <w:rPr>
          <w:rFonts w:ascii="Times New Roman" w:hAnsi="Times New Roman"/>
          <w:color w:val="000000"/>
          <w:sz w:val="24"/>
        </w:rPr>
        <w:t xml:space="preserve">or that any provision in the Plan would cause an option under the Plan to be subject to </w:t>
      </w:r>
      <w:bookmarkStart w:id="60" w:name="docxtextref84"/>
      <w:bookmarkEnd w:id="60"/>
      <w:r>
        <w:rPr>
          <w:rFonts w:ascii="Times New Roman" w:hAnsi="Times New Roman"/>
          <w:color w:val="000000"/>
          <w:sz w:val="24"/>
        </w:rPr>
        <w:t xml:space="preserve">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w:t>
      </w:r>
      <w:bookmarkStart w:id="61" w:name="docxtextref85"/>
      <w:bookmarkEnd w:id="61"/>
      <w:r>
        <w:rPr>
          <w:rFonts w:ascii="Times New Roman" w:hAnsi="Times New Roman"/>
          <w:color w:val="000000"/>
          <w:sz w:val="24"/>
        </w:rPr>
        <w:t xml:space="preserve">Section 409A, but only to the extent any such amendments or action by the Administrator would not violate </w:t>
      </w:r>
      <w:bookmarkStart w:id="62" w:name="docxtextref86"/>
      <w:bookmarkEnd w:id="62"/>
      <w:r>
        <w:rPr>
          <w:rFonts w:ascii="Times New Roman" w:hAnsi="Times New Roman"/>
          <w:color w:val="000000"/>
          <w:sz w:val="24"/>
        </w:rPr>
        <w:t xml:space="preserve">Section 409A. Notwithstanding the foregoing, the Company and any of its Parent or Subsidiaries will have no liability, obligation or responsibility to reimburse, indemnify, or hold harmless a Participant or any other party if the option to purchase Common Stock under the Plan that is intended to be exempt from or compliant with </w:t>
      </w:r>
      <w:bookmarkStart w:id="63" w:name="docxtextref87"/>
      <w:bookmarkEnd w:id="63"/>
      <w:r>
        <w:rPr>
          <w:rFonts w:ascii="Times New Roman" w:hAnsi="Times New Roman"/>
          <w:color w:val="000000"/>
          <w:sz w:val="24"/>
        </w:rPr>
        <w:t>Section 409A</w:t>
      </w:r>
      <w:r>
        <w:rPr>
          <w:color w:val="000000"/>
        </w:rPr>
        <w:t xml:space="preserve"> </w:t>
      </w:r>
      <w:r>
        <w:rPr>
          <w:rFonts w:ascii="Times New Roman" w:hAnsi="Times New Roman"/>
          <w:color w:val="000000"/>
          <w:sz w:val="24"/>
        </w:rPr>
        <w:t xml:space="preserve">is not so exempt or compliant or for any action taken by the Administrator with respect thereto. The Company makes no representation that the option to purchase Common Stock under the Plan is compliant with </w:t>
      </w:r>
      <w:bookmarkStart w:id="64" w:name="docxtextref88"/>
      <w:bookmarkEnd w:id="64"/>
      <w:r>
        <w:rPr>
          <w:rFonts w:ascii="Times New Roman" w:hAnsi="Times New Roman"/>
          <w:color w:val="000000"/>
          <w:sz w:val="24"/>
        </w:rPr>
        <w:t>Section 409A.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both"/>
        <w:rPr/>
      </w:pPr>
      <w:r>
        <w:rPr>
          <w:rFonts w:ascii="Times New Roman" w:hAnsi="Times New Roman"/>
          <w:color w:val="000000"/>
          <w:sz w:val="24"/>
          <w:u w:val="single"/>
        </w:rPr>
        <w:t>Rights as Stockholder</w:t>
      </w:r>
      <w:r>
        <w:rPr>
          <w:rFonts w:ascii="Times New Roman" w:hAnsi="Times New Roman"/>
          <w:color w:val="000000"/>
          <w:sz w:val="24"/>
        </w:rPr>
        <w:t>. Until the shares of Common Stock are issued (as evidenced by the appropriate entry on the 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 Shares of Common Stock to be delivered to a Participant under the Plan will be registered in the name of the Participant or, if so required under Applicable Laws, in the name of the Participant and his or her spouse.</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both"/>
        <w:rPr/>
      </w:pPr>
      <w:r>
        <w:rPr>
          <w:rFonts w:ascii="Times New Roman" w:hAnsi="Times New Roman"/>
          <w:color w:val="000000"/>
          <w:sz w:val="24"/>
          <w:u w:val="single"/>
        </w:rPr>
        <w:t>Transferability</w:t>
      </w:r>
      <w:r>
        <w:rPr>
          <w:rFonts w:ascii="Times New Roman" w:hAnsi="Times New Roman"/>
          <w:color w:val="000000"/>
          <w:sz w:val="24"/>
        </w:rPr>
        <w:t>. Neither Contributions credited to a Participant’s account nor any rights with regard to the exercise of an option or to receive shares of Common Stock under the Plan may be assigned, transferred, pledged or otherwise disposed of in any way (other than by will or the laws of descent and distribution) by the Participant. Any such attempt at assignment, transfer, pledge or other disposition will be without effect, except that the Company may treat such act as an election to withdraw funds from an Offering Period in accordance with Section ‎12 hereof.</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17.</w:t>
      </w:r>
    </w:p>
    <w:p>
      <w:pPr>
        <w:pStyle w:val="TextBody"/>
        <w:bidi w:val="0"/>
        <w:spacing w:before="240" w:after="283"/>
        <w:jc w:val="both"/>
        <w:rPr/>
      </w:pPr>
      <w:r>
        <w:rPr>
          <w:rFonts w:ascii="Times New Roman" w:hAnsi="Times New Roman"/>
          <w:color w:val="000000"/>
          <w:sz w:val="24"/>
          <w:u w:val="single"/>
        </w:rPr>
        <w:t>Adjustments, Dissolution, Liquidation, Merger or Change in Control</w:t>
      </w:r>
      <w:r>
        <w:rPr>
          <w:rFonts w:ascii="Times New Roman" w:hAnsi="Times New Roman"/>
          <w:color w:val="000000"/>
          <w:sz w:val="24"/>
        </w:rPr>
        <w: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Adjustments</w:t>
      </w:r>
      <w:r>
        <w:rPr>
          <w:rFonts w:ascii="Times New Roman" w:hAnsi="Times New Roman"/>
          <w:color w:val="000000"/>
          <w:sz w:val="24"/>
        </w:rPr>
        <w:t>. In the event that any dividend or other distribution (whether in the form of cash, Common Stock, other securities, or other property), recapitalization, stock split, reverse stock split, reorganization, merger, consolidation, split</w:t>
        <w:noBreakHyphen/>
        <w:t>up, spin</w:t>
        <w:noBreakHyphen/>
        <w:t xml:space="preserve">off, combination, reclassification, repurchase, or exchange of Common Stock or other securities of the Company, or other change in the corporate structure of the Company affecting the Common Stock occurs (other than any ordinary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dividends or other ordinary distributions), the Administrator, in order to prevent diminution or enlargement of the benefits or potential benefits intended to be made available under the Plan, will adjust the number and class of Common Stock that may be delivered under the Plan, the Purchase Price per share, the class and the number of shares of Common Stock covered by each option under the Plan that has not yet been exercised, and the numerical share limits of Sections ‎3, ‎8(g), and 9(a).</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Dissolution or Liquidation</w:t>
      </w:r>
      <w:r>
        <w:rPr>
          <w:rFonts w:ascii="Times New Roman" w:hAnsi="Times New Roman"/>
          <w:color w:val="000000"/>
          <w:sz w:val="24"/>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Merger or Change in Control</w:t>
      </w:r>
      <w:r>
        <w:rPr>
          <w:rFonts w:ascii="Times New Roman" w:hAnsi="Times New Roman"/>
          <w:color w:val="000000"/>
          <w:sz w:val="24"/>
        </w:rPr>
        <w:t>. In the event of a merger of the Company with or into another corporation or other entity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18.</w:t>
      </w:r>
    </w:p>
    <w:p>
      <w:pPr>
        <w:pStyle w:val="TextBody"/>
        <w:bidi w:val="0"/>
        <w:spacing w:before="240" w:after="283"/>
        <w:jc w:val="both"/>
        <w:rPr/>
      </w:pPr>
      <w:r>
        <w:rPr>
          <w:rFonts w:ascii="Times New Roman" w:hAnsi="Times New Roman"/>
          <w:color w:val="000000"/>
          <w:sz w:val="24"/>
          <w:u w:val="single"/>
        </w:rPr>
        <w:t>Amendment or Termination</w:t>
      </w:r>
      <w:r>
        <w:rPr>
          <w:rFonts w:ascii="Times New Roman" w:hAnsi="Times New Roman"/>
          <w:color w:val="000000"/>
          <w:sz w:val="24"/>
        </w:rPr>
        <w: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Amendment, Suspension, Termination</w:t>
      </w:r>
      <w:r>
        <w:rPr>
          <w:rFonts w:ascii="Times New Roman" w:hAnsi="Times New Roman"/>
          <w:color w:val="000000"/>
          <w:sz w:val="24"/>
        </w:rPr>
        <w:t>. 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‎17).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‎22 hereof) as soon as administratively practicable.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Certain Administrator Changes</w:t>
      </w:r>
      <w:r>
        <w:rPr>
          <w:rFonts w:ascii="Times New Roman" w:hAnsi="Times New Roman"/>
          <w:color w:val="000000"/>
          <w:sz w:val="24"/>
        </w:rPr>
        <w:t xml:space="preserve">. Without stockholder consent and without limiting Section ‎18(a), the Administrator will be entitled to change the Offering Periods and any Purchase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Changes Due to Accounting Consequences</w:t>
      </w:r>
      <w:r>
        <w:rPr>
          <w:rFonts w:ascii="Times New Roman" w:hAnsi="Times New Roman"/>
          <w:color w:val="000000"/>
          <w:sz w:val="24"/>
        </w:rPr>
        <w:t>.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amending the Plan to conform with the safe harbor definition under the Financial Accounting Standards Board Accounting Standards Codification Topic 718</w:t>
      </w:r>
      <w:r>
        <w:rPr>
          <w:color w:val="000000"/>
        </w:rPr>
        <w:t xml:space="preserve"> </w:t>
      </w:r>
      <w:r>
        <w:rPr>
          <w:rFonts w:ascii="Times New Roman" w:hAnsi="Times New Roman"/>
          <w:color w:val="000000"/>
          <w:sz w:val="24"/>
        </w:rPr>
        <w:t>(or any successor thereto), including with respect to an Offering Period underway at the time;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altering the Purchase Price for any Purchase Period or Offering Period including a Purchase Period or Offering Period underway at the time of the change in Purchase Price;</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shortening any Purchase Period or Offering Period by setting a New Exercise Date, including a Purchase Period or Offering Period underway at the time of the Administrator action;</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reducing the maximum percentage of Compensation a Participant may elect to set aside as Contributions; and</w:t>
      </w:r>
    </w:p>
    <w:p>
      <w:pPr>
        <w:pStyle w:val="TextBody"/>
        <w:bidi w:val="0"/>
        <w:spacing w:before="240" w:after="283"/>
        <w:ind w:left="0" w:right="0" w:firstLine="2520"/>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reducing the maximum number of shares of Common Stock a Participant may purchase during any Purchase Period or Offering Period.</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Such modifications or amendments will not require stockholder approval or the consent of any Plan Participants.</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19.</w:t>
      </w:r>
    </w:p>
    <w:p>
      <w:pPr>
        <w:pStyle w:val="TextBody"/>
        <w:bidi w:val="0"/>
        <w:spacing w:before="240" w:after="283"/>
        <w:jc w:val="both"/>
        <w:rPr/>
      </w:pPr>
      <w:r>
        <w:rPr>
          <w:rFonts w:ascii="Times New Roman" w:hAnsi="Times New Roman"/>
          <w:color w:val="000000"/>
          <w:sz w:val="24"/>
          <w:u w:val="single"/>
        </w:rPr>
        <w:t>Conditions Upon Issuance of Shares</w:t>
      </w:r>
      <w:r>
        <w:rPr>
          <w:rFonts w:ascii="Times New Roman" w:hAnsi="Times New Roman"/>
          <w:color w:val="000000"/>
          <w:sz w:val="24"/>
        </w:rPr>
        <w:t xml:space="preserve">.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Legal Compliance</w:t>
      </w:r>
      <w:r>
        <w:rPr>
          <w:rFonts w:ascii="Times New Roman" w:hAnsi="Times New Roman"/>
          <w:color w:val="000000"/>
          <w:sz w:val="24"/>
        </w:rPr>
        <w:t>. Shares of Common Stock will not be issued with respect to an option unless the exercise of such option and the issuance and delivery of such shares pursuant thereto will comply with Applicable Laws and will be further subject to the approval of counsel for the Company with respect to such compliance.</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Investment Representations</w:t>
      </w:r>
      <w:r>
        <w:rPr>
          <w:rFonts w:ascii="Times New Roman" w:hAnsi="Times New Roman"/>
          <w:color w:val="000000"/>
          <w:sz w:val="24"/>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20.</w:t>
      </w:r>
    </w:p>
    <w:p>
      <w:pPr>
        <w:pStyle w:val="TextBody"/>
        <w:bidi w:val="0"/>
        <w:spacing w:before="240" w:after="283"/>
        <w:jc w:val="both"/>
        <w:rPr/>
      </w:pPr>
      <w:r>
        <w:rPr>
          <w:rFonts w:ascii="Times New Roman" w:hAnsi="Times New Roman"/>
          <w:color w:val="000000"/>
          <w:sz w:val="24"/>
          <w:u w:val="single"/>
        </w:rPr>
        <w:t>Term of Plan</w:t>
      </w:r>
      <w:r>
        <w:rPr>
          <w:rFonts w:ascii="Times New Roman" w:hAnsi="Times New Roman"/>
          <w:color w:val="000000"/>
          <w:sz w:val="24"/>
        </w:rPr>
        <w:t>. The Plan will become effective upon the later to occur of (a) its adoption by the Board or (b) the business day immediately prior to the Registration Date. It will continue in effect for a term of twenty (20) years, unless sooner terminated under Section ‎18.</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rFonts w:ascii="Times New Roman" w:hAnsi="Times New Roman"/>
          <w:color w:val="000000"/>
          <w:sz w:val="24"/>
          <w:u w:val="single"/>
        </w:rPr>
        <w:t>Stockholder Approval</w:t>
      </w:r>
      <w:r>
        <w:rPr>
          <w:rFonts w:ascii="Times New Roman" w:hAnsi="Times New Roman"/>
          <w:color w:val="000000"/>
          <w:sz w:val="24"/>
        </w:rPr>
        <w:t>. The Plan will be subject to approval by the stockholders of the Company within twelve (12) months after the date the Plan is adopted by the Board. Such stockholder approval will be obtained in the manner and to the degree required under Applicable Laws.</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Interest</w:t>
      </w:r>
      <w:r>
        <w:rPr>
          <w:rFonts w:ascii="Times New Roman" w:hAnsi="Times New Roman"/>
          <w:color w:val="000000"/>
          <w:sz w:val="24"/>
        </w:rPr>
        <w:t>. No interest will accrue on the Contributions of a participant in the Plan, except as may be required by Applicable Laws, as determined by the Company, and if so required by the laws of a particular jurisdiction, will apply, with respect to Offerings under the 423</w:t>
      </w:r>
      <w:r>
        <w:rPr>
          <w:color w:val="000000"/>
        </w:rPr>
        <w:t xml:space="preserve"> </w:t>
      </w:r>
      <w:r>
        <w:rPr>
          <w:rFonts w:ascii="Times New Roman" w:hAnsi="Times New Roman"/>
          <w:color w:val="000000"/>
          <w:sz w:val="24"/>
        </w:rPr>
        <w:t>Component, to all Participants in the relevant Offering, except to the extent otherwise permitted by U.S. Treasury Regulations Section 1.423</w:t>
        <w:noBreakHyphen/>
        <w:t>2(f).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pPr>
      <w:r>
        <w:rPr>
          <w:rFonts w:ascii="Times New Roman" w:hAnsi="Times New Roman"/>
          <w:color w:val="000000"/>
          <w:sz w:val="24"/>
          <w:u w:val="single"/>
        </w:rPr>
        <w:t>No Effect on Employment</w:t>
      </w:r>
      <w:r>
        <w:rPr>
          <w:rFonts w:ascii="Times New Roman" w:hAnsi="Times New Roman"/>
          <w:color w:val="000000"/>
          <w:sz w:val="24"/>
        </w:rPr>
        <w:t>. Neither the Plan nor any option under the Plan will confer upon any Participant any right with respect to continuing the Participant’s employment with the Company or its Subsidiaries or Parents, as applicable, nor will they interfere in any way with the Participant’s right or the right of the Company and its Subsidiaries or Parents, as applicable, to terminate such employment relationship at any time, free from any liability or any claim under the Plan.</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24.</w:t>
      </w:r>
    </w:p>
    <w:p>
      <w:pPr>
        <w:pStyle w:val="TextBody"/>
        <w:bidi w:val="0"/>
        <w:spacing w:before="240" w:after="283"/>
        <w:jc w:val="both"/>
        <w:rPr/>
      </w:pPr>
      <w:r>
        <w:rPr>
          <w:rFonts w:ascii="Times New Roman" w:hAnsi="Times New Roman"/>
          <w:color w:val="000000"/>
          <w:sz w:val="24"/>
          <w:u w:val="single"/>
        </w:rPr>
        <w:t>Reports</w:t>
      </w:r>
      <w:r>
        <w:rPr>
          <w:rFonts w:ascii="Times New Roman" w:hAnsi="Times New Roman"/>
          <w:color w:val="000000"/>
          <w:sz w:val="24"/>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25.</w:t>
      </w:r>
    </w:p>
    <w:p>
      <w:pPr>
        <w:pStyle w:val="TextBody"/>
        <w:bidi w:val="0"/>
        <w:spacing w:before="240" w:after="283"/>
        <w:jc w:val="both"/>
        <w:rPr/>
      </w:pPr>
      <w:r>
        <w:rPr>
          <w:rFonts w:ascii="Times New Roman" w:hAnsi="Times New Roman"/>
          <w:color w:val="000000"/>
          <w:sz w:val="24"/>
          <w:u w:val="single"/>
        </w:rPr>
        <w:t>Notices</w:t>
      </w:r>
      <w:r>
        <w:rPr>
          <w:rFonts w:ascii="Times New Roman" w:hAnsi="Times New Roman"/>
          <w:color w:val="000000"/>
          <w:sz w:val="24"/>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26.</w:t>
      </w:r>
    </w:p>
    <w:p>
      <w:pPr>
        <w:pStyle w:val="TextBody"/>
        <w:bidi w:val="0"/>
        <w:spacing w:before="240" w:after="283"/>
        <w:jc w:val="both"/>
        <w:rPr/>
      </w:pPr>
      <w:r>
        <w:rPr>
          <w:rFonts w:ascii="Times New Roman" w:hAnsi="Times New Roman"/>
          <w:color w:val="000000"/>
          <w:sz w:val="24"/>
          <w:u w:val="single"/>
        </w:rPr>
        <w:t>Legal Construction</w:t>
      </w:r>
      <w:r>
        <w:rPr>
          <w:rFonts w:ascii="Times New Roman" w:hAnsi="Times New Roman"/>
          <w:color w:val="000000"/>
          <w:sz w:val="24"/>
        </w:rPr>
        <w:t xml:space="preserve">. </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Gender and Number</w:t>
      </w:r>
      <w:r>
        <w:rPr>
          <w:rFonts w:ascii="Times New Roman" w:hAnsi="Times New Roman"/>
          <w:color w:val="000000"/>
          <w:sz w:val="24"/>
        </w:rPr>
        <w:t>. Except where otherwise indicated by the context, any feminine term used herein also will include the masculine and any masculine term used herein also will include the feminine; the plural will include the singular and the singular will include the plural.</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Severability</w:t>
      </w:r>
      <w:r>
        <w:rPr>
          <w:rFonts w:ascii="Times New Roman" w:hAnsi="Times New Roman"/>
          <w:color w:val="000000"/>
          <w:sz w:val="24"/>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Governing Law</w:t>
      </w:r>
      <w:r>
        <w:rPr>
          <w:rFonts w:ascii="Times New Roman" w:hAnsi="Times New Roman"/>
          <w:color w:val="000000"/>
          <w:sz w:val="24"/>
        </w:rPr>
        <w:t>. The Plan will be governed by, and construed in accordance with, the laws of the State of Delaware, but without regard to its conflict of law provisions.</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Headings</w:t>
      </w:r>
      <w:r>
        <w:rPr>
          <w:rFonts w:ascii="Times New Roman" w:hAnsi="Times New Roman"/>
          <w:color w:val="000000"/>
          <w:sz w:val="24"/>
        </w:rPr>
        <w:t>. Headings are provided herein for convenience only, and will not serve as a basis for interpretation of the Plan.</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27.</w:t>
      </w:r>
    </w:p>
    <w:p>
      <w:pPr>
        <w:pStyle w:val="TextBody"/>
        <w:bidi w:val="0"/>
        <w:spacing w:before="240" w:after="283"/>
        <w:jc w:val="both"/>
        <w:rPr/>
      </w:pPr>
      <w:r>
        <w:rPr>
          <w:rFonts w:ascii="Times New Roman" w:hAnsi="Times New Roman"/>
          <w:color w:val="000000"/>
          <w:sz w:val="24"/>
          <w:u w:val="single"/>
        </w:rPr>
        <w:t>Compliance with Applicable Laws</w:t>
      </w:r>
      <w:r>
        <w:rPr>
          <w:rFonts w:ascii="Times New Roman" w:hAnsi="Times New Roman"/>
          <w:color w:val="000000"/>
          <w:sz w:val="24"/>
        </w:rPr>
        <w:t>. The terms of this Plan are intended to comply with all Applicable Laws and will be construed accordingly.</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Automatic Transfer to Low Price Offering Period</w:t>
      </w:r>
      <w:r>
        <w:rPr>
          <w:rFonts w:ascii="Times New Roman" w:hAnsi="Times New Roman"/>
          <w:color w:val="000000"/>
          <w:sz w:val="24"/>
        </w:rPr>
        <w:t>. Unless determined otherwise by the Administrator, this Section ‎28 applies to an Offering Period to the extent such Offering Period provides for more than one (1)</w:t>
      </w:r>
      <w:r>
        <w:rPr>
          <w:color w:val="000000"/>
        </w:rPr>
        <w:t xml:space="preserve"> </w:t>
      </w:r>
      <w:r>
        <w:rPr>
          <w:rFonts w:ascii="Times New Roman" w:hAnsi="Times New Roman"/>
          <w:color w:val="000000"/>
          <w:sz w:val="24"/>
        </w:rPr>
        <w:t>Exercise Date within such Offering Period. To the extent permitted by Applicable Laws, if the Fair Market Value of a share of Common Stock on any Exercise Date in an Offering Period is less than the Fair Market Value of a share of Common Stock on the Enrollment Date of such Offering Period, then all Participants in such Offering Period will be withdrawn automatically from such Offering Period immediately after the exercise of their option on such Exercise Date and automatically re</w:t>
        <w:noBreakHyphen/>
        <w:t xml:space="preserve">enrolled in the immediately following Offering Period as of the first day thereof.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ind w:left="0" w:right="0" w:firstLine="720"/>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ALX ONCOLOGY HOLDINGS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2020 EMPLOYEE STOCK PURCHASE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SUBSCRIPTION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_____ Original Application Offering Date: _________________</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_____ Change in Payroll Deduction Rate</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rPr>
        <w:t>____________________ hereby elects to participate in the ALX Oncology Holdings Inc. 2020 Employee Stock Purchase Plan (the “</w:t>
      </w:r>
      <w:r>
        <w:rPr>
          <w:rFonts w:ascii="Times New Roman" w:hAnsi="Times New Roman"/>
          <w:color w:val="000000"/>
          <w:sz w:val="24"/>
          <w:u w:val="single"/>
        </w:rPr>
        <w:t>Plan</w:t>
      </w:r>
      <w:r>
        <w:rPr>
          <w:color w:val="000000"/>
        </w:rPr>
        <w:t>”</w:t>
      </w:r>
      <w:r>
        <w:rPr>
          <w:rFonts w:ascii="Times New Roman" w:hAnsi="Times New Roman"/>
          <w:color w:val="000000"/>
          <w:sz w:val="24"/>
        </w:rPr>
        <w:t>) and subscribes to purchase shares of the Company’s Common Stock in accordance with this Subscription Agreement and the Plan. Any capitalized terms not specifically defined in this Subscription Agreement will have the meaning ascribed to them under the Plan.</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hereby authorize and consent to payroll deductions from each paycheck in the amount of ____% of my Compensation on each payday (from 0% to 15%) during the Offering Period in accordance with the Plan. (Please note that no fractional percentages are permitted.) I understand that only my first, one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have received a copy of the complete Plan and its accompanying prospectus. I understand that my participation in the Plan is in all respects subject to the terms of the Plan.</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Shares of Common Stock purchased for me under the Plan should be issued in the name(s) of _____________ (Eligible Employee or Eligible Employee and spouse only).</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If I am a U.S. taxpayer, I understand that if I dispose of any shares received by me pursuant to the Plan within two (2) years after the Offering Date (the first day of the Offering Period during which I purchased such shares) or one (1) year after the Exercise Date, I will be treated for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 xml:space="preserve">federal income tax purposes as having received ordinary income at the time of such disposition in an amount equal to the excess of the fair market value of the shares at the time such shares were purchased by me over the price that I paid for the shares. </w:t>
      </w:r>
      <w:r>
        <w:rPr>
          <w:rFonts w:ascii="Times New Roman" w:hAnsi="Times New Roman"/>
          <w:color w:val="000000"/>
          <w:sz w:val="24"/>
          <w:u w:val="single"/>
        </w:rPr>
        <w:t>I hereby agree to notify the Company in writing within thirty (30) days after the date of any disposition of my shares and I will make adequate provision for federal, state or other tax withholding obligations, if any, which arise upon the disposition of the Common Stock</w:t>
      </w:r>
      <w:r>
        <w:rPr>
          <w:rFonts w:ascii="Times New Roman" w:hAnsi="Times New Roman"/>
          <w:color w:val="000000"/>
          <w:sz w:val="24"/>
        </w:rPr>
        <w:t>.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 year and one (1) 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fifteen percent (15%) of the fair market value of the shares on the first day of the Offering Period. The remainder of the gain, if any, recognized on such disposition will be taxed as capital gain.</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rPr>
        <w:t>For employees that may be subject to tax in non U.S. jurisdictions, I acknowledge and agree that, regardless of any action taken by the Company or any Designated Company with respect to any or all income tax, social security, social insurances, National Insurance Contributions, payroll tax, fringe benefit, or other tax</w:t>
        <w:noBreakHyphen/>
        <w:t>related items related to my participation in the Plan and legally applicable to me including, without limitation, in connection with the grant of such options, the purchase or sale of shares of Common Stock acquired under the Plan and/or the receipt of any dividends on such shares (“</w:t>
      </w:r>
      <w:r>
        <w:rPr>
          <w:rFonts w:ascii="Times New Roman" w:hAnsi="Times New Roman"/>
          <w:color w:val="000000"/>
          <w:sz w:val="24"/>
          <w:u w:val="single"/>
        </w:rPr>
        <w:t>Tax</w:t>
        <w:noBreakHyphen/>
        <w:t>Related Items</w:t>
      </w:r>
      <w:r>
        <w:rPr>
          <w:color w:val="000000"/>
        </w:rPr>
        <w:t>”</w:t>
      </w:r>
      <w:r>
        <w:rPr>
          <w:rFonts w:ascii="Times New Roman" w:hAnsi="Times New Roman"/>
          <w:color w:val="000000"/>
          <w:sz w:val="24"/>
        </w:rPr>
        <w:t>), the ultimate liability for all Tax</w:t>
        <w:noBreakHyphen/>
        <w:t>Related Items is and remains my responsibility and may exceed the amount actually withheld by the Company or a Designated Company. Furthermore, I acknowledge that the Company and/or any Designated Company (a) make no representations or undertakings regarding the treatment of any Tax</w:t>
        <w:noBreakHyphen/>
        <w:t>Related Items in connection with any aspect of the options under the Plan and (b) do not commit to and are under no obligation to structure the terms of the grant of options or any aspect of my participation in the Plan to reduce or eliminate my liability for Tax</w:t>
        <w:noBreakHyphen/>
        <w:t>Related Items or achieve any particular tax result. Further, if I have become subject to tax in more than one jurisdiction between the date of my enrollment and the date of any relevant taxable or tax withholding event, as applicable, I acknowledge that the Company and/or the Employer (or former employer, as applicable) may be required to withhold or account for Tax</w:t>
        <w:noBreakHyphen/>
        <w:t>Related Items in more than one jurisdiction.</w:t>
      </w:r>
    </w:p>
    <w:p>
      <w:pPr>
        <w:pStyle w:val="TextBody"/>
        <w:bidi w:val="0"/>
        <w:spacing w:before="240" w:after="283"/>
        <w:ind w:left="0" w:right="0" w:firstLine="720"/>
        <w:jc w:val="both"/>
        <w:rPr>
          <w:rFonts w:ascii="Times New Roman" w:hAnsi="Times New Roman"/>
          <w:sz w:val="20"/>
        </w:rPr>
      </w:pPr>
      <w:r>
        <w:rPr>
          <w:rFonts w:ascii="Times New Roman" w:hAnsi="Times New Roman"/>
          <w:color w:val="000000"/>
          <w:sz w:val="24"/>
        </w:rPr>
        <w:t>Prior to the purchase of shares of Common Stock under the Plan or any other relevant taxable or tax withholding event, as applicable, I agree to make adequate arrangements satisfactory to the Company and/or the applicable Designated Company to satisfy all Tax</w:t>
        <w:noBreakHyphen/>
        <w:t>Related Items. In this regard, I authorize the Company and/or the applicable Designated Company, or their respective agents, at their discretion, to satisfy any applicable withholding obligations with regard to all Tax</w:t>
        <w:noBreakHyphen/>
        <w:t>Related Items by one or a combination of the following: (a) withholding from my wages or Compensation paid to me by the Company and/or the applicable Designated Company; or (b) withholding from proceeds of the sale of the shares of Common Stock purchased under the Plan either through a voluntary sale or through a mandatory sale arranged by the Company (on my behalf pursuant to this authorization).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Depending on the withholding method, the Company may withhold or account for Tax</w:t>
        <w:noBreakHyphen/>
        <w:t>Related Items by considering applicable maximum withholding rates, in which case I will receive a refund of any over</w:t>
        <w:noBreakHyphen/>
        <w:t>withheld amount in cash and will have no entitlement to the Common Stock equivalent.</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Finally, I agree to pay to the Company or the applicable Designated Company any amount of Tax</w:t>
        <w:noBreakHyphen/>
        <w:t>Related Items that the Company or the applicable Designated Company may be required to withhold as a result of my participation in the Plan that cannot be satisfied by the means previously described. The Company may refuse to purchase shares of Common Stock under the Plan on my behalf and/or refuse to issue or deliver the shares or the proceeds of the sale of shares if I fail to comply with my obligations in connection with the Tax</w:t>
        <w:noBreakHyphen/>
        <w:t>Related Items.</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By electing to participate in the Plan, I acknowledge, understand and agree that:</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Plan is established voluntarily by the Company, it is discretionary in nature and it may be modified, amended, suspended or terminated by the Company at any time, to the extent provided for in the Plan;</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decisions with respect to future grants under the Plan, if applicable, will be at the sole discretion of the Company;</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grant of options under the Plan will not create a right to employment or be interpreted as forming or amending an employment or service contract with the Company, or any Designated Company, and will not interfere with the ability of the Company or any Designated Company, as applicable, to terminate my employment (if any);</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am voluntarily participating in the Plan;</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options granted under the Plan and the shares of Common Stock underlying such options, and the income and value of same, are not intended to replace any pension rights or compensation;</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options granted under the Plan and the shares of Common Stock underlying such options, and the income and value of same, are not part of my normal or expected compensation for any purpose, including, but not limited to, calculating any severance, resignation, termination, redundancy, dismissal, end</w:t>
        <w:noBreakHyphen/>
        <w:t>of</w:t>
        <w:noBreakHyphen/>
        <w:t>service payments, bonuses, long</w:t>
        <w:noBreakHyphen/>
        <w:t>service awards, pension or retirement benefits or similar payments;</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future value of the shares of Common Stock offered under the Plan is unknown, indeterminable and cannot be predicted with certainty;</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shares of Common Stock that I acquire under the Plan may increase or decrease in value, even below the Purchase Price;</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no claim or entitlement to compensation or damages will arise from the forfeiture of options granted to me under the Plan as a result of the termination of my status as an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Eligible Employee (for any reason whatsoever, and whether or not later found to be invalid or in breach of employment laws in the jurisdiction where I am employed or the terms of my employment agreement, if any) and, in consideration of the grant of options under the Plan to which I am otherwise not entitled, I irrevocably agree never to institute a claim against the Company, or any Designated Company, waive my ability, if any, to bring such claim, and release the Company, and any Designated Company from any such claim that may arise; if, notwithstanding the foregoing, any such claim is allowed by a court of competent jurisdiction, I will be deemed irrevocably to have agreed to not to pursue such claim and agree to execute any and all documents necessary to request dismissal or withdrawal of such claim; and</w:t>
      </w:r>
    </w:p>
    <w:p>
      <w:pPr>
        <w:pStyle w:val="TextBody"/>
        <w:bidi w:val="0"/>
        <w:spacing w:before="240" w:after="283"/>
        <w:ind w:left="0" w:right="0" w:firstLine="1440"/>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pPr>
      <w:r>
        <w:rPr>
          <w:rFonts w:ascii="Times New Roman" w:hAnsi="Times New Roman"/>
          <w:color w:val="000000"/>
          <w:sz w:val="24"/>
        </w:rPr>
        <w:t>in the event of the termination of my status as an Eligible Employee (for any reason whatsoever, whether or not later found to be invalid or in breach of employment laws in the jurisdiction where I am employed or the terms of my employment agreement, if any), my right to participate in the Plan and any options granted to me under the Plan, if any, will terminate effective as of the date that I am no longer actively employed by the Company or one of its Designated Companies and, in any event, will not be extended by any notice period mandated under the employment laws in the jurisdiction in which I am employed or the terms of my employment agreement, if any (</w:t>
      </w:r>
      <w:r>
        <w:rPr>
          <w:rFonts w:ascii="Times New Roman" w:hAnsi="Times New Roman"/>
          <w:i/>
          <w:color w:val="000000"/>
          <w:sz w:val="24"/>
        </w:rPr>
        <w:t>e.g.</w:t>
      </w:r>
      <w:r>
        <w:rPr>
          <w:rFonts w:ascii="Times New Roman" w:hAnsi="Times New Roman"/>
          <w:color w:val="000000"/>
          <w:sz w:val="24"/>
        </w:rPr>
        <w:t>, active employment would not include a period of “</w:t>
      </w:r>
      <w:r>
        <w:rPr>
          <w:rFonts w:ascii="Times New Roman" w:hAnsi="Times New Roman"/>
          <w:color w:val="000000"/>
          <w:sz w:val="24"/>
          <w:u w:val="single"/>
        </w:rPr>
        <w:t>garden leave</w:t>
      </w:r>
      <w:r>
        <w:rPr>
          <w:color w:val="000000"/>
        </w:rPr>
        <w:t xml:space="preserve">” </w:t>
      </w:r>
      <w:r>
        <w:rPr>
          <w:rFonts w:ascii="Times New Roman" w:hAnsi="Times New Roman"/>
          <w:color w:val="000000"/>
          <w:sz w:val="24"/>
        </w:rPr>
        <w:t>or similar period pursuant to the employment laws in the jurisdiction in which I am employed or the terms of my employment agreement, if any); the Company will have the exclusive discretion to determine when I am no longer actively employed for purposes of my participation in the Plan (including whether I may still be considered to be actively employed while on a leave of absence).</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i/>
          <w:color w:val="000000"/>
          <w:sz w:val="24"/>
        </w:rPr>
        <w:t>I understand that the Company and/or any Designated Company may collect, where permissible under applicable law certain personal information about me, including, but not limited to, my name, home address and telephone number, date of birth, social insurance number or other identification number, salary, nationality, job title, any shares of Common Stock or directorships held in the Company, details of all options granted under the Plan or any other entitlement to shares of Common Stock awarded, canceled, exercised, vested, unvested or outstanding in my favor (“</w:t>
      </w:r>
      <w:r>
        <w:rPr>
          <w:rFonts w:ascii="Times New Roman" w:hAnsi="Times New Roman"/>
          <w:i/>
          <w:color w:val="000000"/>
          <w:sz w:val="24"/>
          <w:u w:val="single"/>
        </w:rPr>
        <w:t>Data</w:t>
      </w:r>
      <w:r>
        <w:rPr>
          <w:color w:val="000000"/>
        </w:rPr>
        <w:t>”</w:t>
      </w:r>
      <w:r>
        <w:rPr>
          <w:rFonts w:ascii="Times New Roman" w:hAnsi="Times New Roman"/>
          <w:i/>
          <w:color w:val="000000"/>
          <w:sz w:val="24"/>
        </w:rPr>
        <w:t xml:space="preserve">), for the exclusive purpose of implementing, administering and managing the Plan. I understand that Company may transfer my Data to the United States, which is not considered by the European Commission to have data protection laws equivalent to the laws in my country. I understand that the Company will transfer my Data to its designated broker, or such other stock plan service provider as may be selected by the Company in the future, which is assisting the Company with the implementation, administration and management of the Plan. I understand that the recipients of the Data may be located in the United States or elsewhere, and that a recipient’s country of operation (e.g., the United States) may have different, including less stringent, data privacy laws that the European Commission or my jurisdiction does not consider to be equivalent to the protections in my country. I understand that I may request a list with the names and addresses of any potential recipients of the Data by contacting my local human resources representative. I authorize the Company, the Company’s designated broker and any other possible recipients which may assist the Company with implementing, administering and managing the Plan to receive, possess, use, retain and transfer the Data, in electronic or other form, for the sole purpose of implementing, administering and managing my participation in the Plan. I understand that Data will be held only as long as is necessary to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4"/>
        </w:rPr>
      </w:pPr>
      <w:r>
        <w:rPr>
          <w:rFonts w:ascii="Times New Roman" w:hAnsi="Times New Roman"/>
          <w:i/>
          <w:color w:val="000000"/>
          <w:sz w:val="24"/>
        </w:rPr>
        <w:t>implement, administer and manage my participation in the Plan. I understand that that I may, at any time, view Data, request additional information about the storage and processing of Data, require any necessary amendments to Data or refuse or withdraw the consents herein, in any case without cost, by contacting in writing my local human resources representative. Further, I understand that I am providing the consents herein on a purely voluntary basis. If I do not consent, or if I later seek to revoke my consent, my employment status or career with the Company or any Designated Company will not be adversely affected; the only adverse consequence of refusing or withdrawing my consent is that the Company would not be able to grant me options under the Plan or other equity awards, or administer or maintain such awards. Therefore, I understand that refusing or withdrawing my consent may affect my ability to participate in the Plan. For more information on the consequences of my refusal to consent or withdrawal of consent, I understand that I may contact my local human resources representative.</w:t>
      </w:r>
    </w:p>
    <w:p>
      <w:pPr>
        <w:pStyle w:val="TextBody"/>
        <w:bidi w:val="0"/>
        <w:spacing w:before="240" w:after="283"/>
        <w:ind w:left="0" w:right="0" w:firstLine="720"/>
        <w:jc w:val="both"/>
        <w:rPr>
          <w:rFonts w:ascii="Times New Roman" w:hAnsi="Times New Roman"/>
          <w:i/>
          <w:color w:val="000000"/>
          <w:sz w:val="24"/>
        </w:rPr>
      </w:pPr>
      <w:r>
        <w:rPr>
          <w:rFonts w:ascii="Times New Roman" w:hAnsi="Times New Roman"/>
          <w:i/>
          <w:color w:val="000000"/>
          <w:sz w:val="24"/>
        </w:rPr>
        <w:t>If I am an employee outside the U.S., I understand that in accordance with applicable law, I have the right to access, and to request a copy of, the Data held about me. I also understand that I have the right to discontinue the collection, processing, or use of my Data, or supplement, correct, or request deletion of my Data. To exercise my rights, I may contact my local human resources representative.</w:t>
      </w:r>
    </w:p>
    <w:p>
      <w:pPr>
        <w:pStyle w:val="TextBody"/>
        <w:bidi w:val="0"/>
        <w:spacing w:before="240" w:after="283"/>
        <w:ind w:left="0" w:right="0" w:firstLine="720"/>
        <w:jc w:val="both"/>
        <w:rPr>
          <w:rFonts w:ascii="Times New Roman" w:hAnsi="Times New Roman"/>
          <w:i/>
          <w:color w:val="000000"/>
          <w:sz w:val="24"/>
        </w:rPr>
      </w:pPr>
      <w:r>
        <w:rPr>
          <w:rFonts w:ascii="Times New Roman" w:hAnsi="Times New Roman"/>
          <w:i/>
          <w:color w:val="000000"/>
          <w:sz w:val="24"/>
        </w:rPr>
        <w:t>I hereby explicitly and unambiguously consent to the collection, use and transfer, in electronic or other form, of my personal data as described herein and any other Plan materials by and among, as applicable, the Company and its Subsidiaries for the exclusive purpose of implementing, administering and managing my participation in the Plan. I understand that my consent will be sought and obtained for any processing or transfer of my data for any purpose other than as described in the enrollment form and any other plan materials.</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I have received the Subscription Agreement or any other document related to the Plan translated into a language other than English and if the meaning of the translated version is different than the English version, the English version will control, subject to applicable laws.</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provisions of the Subscription Agreement and these appendices are severable and if any one or more provisions are determined to be illegal or otherwise unenforceable, in whole or in part, the remaining provisions nevertheless will be binding and enforceable.</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Notwithstanding any provisions in this Subscription Agreement, I understand that if I am working or resident in a country other than the United States, my participation in the Plan also will be subject to the additional terms and conditions set forth on Appendix A</w:t>
      </w:r>
      <w:r>
        <w:rPr>
          <w:color w:val="000000"/>
        </w:rPr>
        <w:t xml:space="preserve"> </w:t>
      </w:r>
      <w:r>
        <w:rPr>
          <w:rFonts w:ascii="Times New Roman" w:hAnsi="Times New Roman"/>
          <w:color w:val="000000"/>
          <w:sz w:val="24"/>
        </w:rPr>
        <w:t xml:space="preserve">and any special terms and conditions for my country set forth on </w:t>
      </w:r>
      <w:bookmarkStart w:id="65" w:name="docxtextref103"/>
      <w:bookmarkEnd w:id="65"/>
      <w:r>
        <w:rPr>
          <w:rFonts w:ascii="Times New Roman" w:hAnsi="Times New Roman"/>
          <w:color w:val="000000"/>
          <w:sz w:val="24"/>
        </w:rPr>
        <w:t xml:space="preserve">Appendix A. Moreover, if I relocate to one of the countries included in </w:t>
      </w:r>
      <w:bookmarkStart w:id="66" w:name="docxtextref104"/>
      <w:bookmarkEnd w:id="66"/>
      <w:r>
        <w:rPr>
          <w:rFonts w:ascii="Times New Roman" w:hAnsi="Times New Roman"/>
          <w:color w:val="000000"/>
          <w:sz w:val="24"/>
        </w:rPr>
        <w:t xml:space="preserve">Appendix A, the special terms and conditions for such country will apply to me to the extent the Company determines that the application of such terms and conditions is necessary or advisable for legal or administrative reasons. </w:t>
      </w:r>
      <w:bookmarkStart w:id="67" w:name="docxtextref105"/>
      <w:bookmarkEnd w:id="67"/>
      <w:r>
        <w:rPr>
          <w:rFonts w:ascii="Times New Roman" w:hAnsi="Times New Roman"/>
          <w:color w:val="000000"/>
          <w:sz w:val="24"/>
        </w:rPr>
        <w:t>Appendix A</w:t>
      </w:r>
      <w:r>
        <w:rPr>
          <w:color w:val="000000"/>
        </w:rPr>
        <w:t xml:space="preserve"> </w:t>
      </w:r>
      <w:r>
        <w:rPr>
          <w:rFonts w:ascii="Times New Roman" w:hAnsi="Times New Roman"/>
          <w:color w:val="000000"/>
          <w:sz w:val="24"/>
        </w:rPr>
        <w:t>constitutes part of this Subscription Agreement and the provisions of this Subscription Agreement govern each Appendix (to the extent not superseded or supplemented by the terms and conditions set forth in the applicable Appendix).</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hereby agree to be bound by the terms of the Plan. The effectiveness of this Subscription Agreement is dependent upon my eligibility to participate in the Plan.</w:t>
      </w:r>
    </w:p>
    <w:p>
      <w:pPr>
        <w:pStyle w:val="TextBody"/>
        <w:bidi w:val="0"/>
        <w:spacing w:before="240" w:after="283"/>
        <w:ind w:left="0" w:right="0" w:firstLine="720"/>
        <w:jc w:val="both"/>
        <w:rPr/>
      </w:pPr>
      <w:r>
        <w:rPr/>
        <w:t> </w:t>
      </w:r>
    </w:p>
    <w:tbl>
      <w:tblPr>
        <w:tblW w:w="2967" w:type="dxa"/>
        <w:jc w:val="left"/>
        <w:tblInd w:w="0" w:type="dxa"/>
        <w:tblLayout w:type="fixed"/>
        <w:tblCellMar>
          <w:top w:w="28" w:type="dxa"/>
          <w:left w:w="28" w:type="dxa"/>
          <w:bottom w:w="28" w:type="dxa"/>
          <w:right w:w="28" w:type="dxa"/>
        </w:tblCellMar>
      </w:tblPr>
      <w:tblGrid>
        <w:gridCol w:w="2776"/>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Employee’s Social</w:t>
            </w:r>
          </w:p>
        </w:tc>
        <w:tc>
          <w:tcPr>
            <w:tcW w:w="191"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Security Number</w:t>
            </w:r>
          </w:p>
        </w:tc>
        <w:tc>
          <w:tcPr>
            <w:tcW w:w="191" w:type="dxa"/>
            <w:vMerge w:val="continue"/>
            <w:tcBorders/>
            <w:tcMar>
              <w:top w:w="0" w:type="dxa"/>
              <w:left w:w="0" w:type="dxa"/>
              <w:bottom w:w="0" w:type="dxa"/>
              <w:right w:w="0" w:type="dxa"/>
            </w:tcMar>
            <w:vAlign w:val="center"/>
          </w:tcPr>
          <w:p>
            <w:pPr>
              <w:pStyle w:val="Normal"/>
              <w:bidi w:val="0"/>
              <w:jc w:val="left"/>
              <w:rPr/>
            </w:pPr>
            <w:r>
              <w:rPr/>
            </w:r>
          </w:p>
        </w:tc>
      </w:tr>
      <w:tr>
        <w:trPr/>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 U.S.</w:t>
              <w:noBreakHyphen/>
              <w:t>based employees):</w:t>
            </w:r>
          </w:p>
        </w:tc>
        <w:tc>
          <w:tcPr>
            <w:tcW w:w="191" w:type="dxa"/>
            <w:vMerge w:val="continue"/>
            <w:tcBorders/>
            <w:tcMar>
              <w:top w:w="0" w:type="dxa"/>
              <w:left w:w="0" w:type="dxa"/>
              <w:bottom w:w="0" w:type="dxa"/>
              <w:right w:w="0" w:type="dxa"/>
            </w:tcMar>
            <w:vAlign w:val="center"/>
          </w:tcPr>
          <w:p>
            <w:pPr>
              <w:pStyle w:val="Normal"/>
              <w:bidi w:val="0"/>
              <w:jc w:val="left"/>
              <w:rPr/>
            </w:pPr>
            <w:r>
              <w:rPr/>
            </w:r>
          </w:p>
        </w:tc>
      </w:tr>
      <w:tr>
        <w:trPr/>
        <w:tc>
          <w:tcPr>
            <w:tcW w:w="277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Employee’s Address:</w:t>
            </w:r>
          </w:p>
        </w:tc>
        <w:tc>
          <w:tcPr>
            <w:tcW w:w="191" w:type="dxa"/>
            <w:tcBorders>
              <w:top w:val="single" w:sz="2" w:space="0" w:color="000000"/>
              <w:bottom w:val="single" w:sz="2" w:space="0" w:color="000000"/>
            </w:tcBorders>
            <w:tcMar>
              <w:left w:w="0" w:type="dxa"/>
              <w:right w:w="0" w:type="dxa"/>
            </w:tcMar>
            <w:vAlign w:val="center"/>
          </w:tcPr>
          <w:p>
            <w:pPr>
              <w:pStyle w:val="TableContents"/>
              <w:bidi w:val="0"/>
              <w:spacing w:before="240" w:after="283"/>
              <w:jc w:val="left"/>
              <w:rPr/>
            </w:pPr>
            <w:r>
              <w:rPr/>
              <w:t> </w:t>
            </w:r>
          </w:p>
        </w:tc>
      </w:tr>
      <w:tr>
        <w:trPr/>
        <w:tc>
          <w:tcPr>
            <w:tcW w:w="2776" w:type="dxa"/>
            <w:tcBorders/>
            <w:tcMar>
              <w:top w:w="0" w:type="dxa"/>
              <w:left w:w="0" w:type="dxa"/>
              <w:bottom w:w="0" w:type="dxa"/>
              <w:right w:w="0" w:type="dxa"/>
            </w:tcMar>
            <w:vAlign w:val="center"/>
          </w:tcPr>
          <w:p>
            <w:pPr>
              <w:pStyle w:val="TableContents"/>
              <w:bidi w:val="0"/>
              <w:spacing w:before="24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240" w:after="283"/>
              <w:jc w:val="left"/>
              <w:rPr/>
            </w:pPr>
            <w:r>
              <w:rPr/>
              <w:t> </w:t>
            </w:r>
          </w:p>
        </w:tc>
      </w:tr>
      <w:tr>
        <w:trPr/>
        <w:tc>
          <w:tcPr>
            <w:tcW w:w="2776" w:type="dxa"/>
            <w:tcBorders/>
            <w:tcMar>
              <w:top w:w="0" w:type="dxa"/>
              <w:left w:w="0" w:type="dxa"/>
              <w:bottom w:w="0" w:type="dxa"/>
              <w:right w:w="0" w:type="dxa"/>
            </w:tcMar>
            <w:vAlign w:val="center"/>
          </w:tcPr>
          <w:p>
            <w:pPr>
              <w:pStyle w:val="TableContents"/>
              <w:bidi w:val="0"/>
              <w:spacing w:before="24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240" w:after="283"/>
              <w:jc w:val="left"/>
              <w:rPr/>
            </w:pPr>
            <w:r>
              <w:rPr/>
              <w:t> </w:t>
            </w:r>
          </w:p>
        </w:tc>
      </w:tr>
    </w:tbl>
    <w:p>
      <w:pPr>
        <w:pStyle w:val="TextBody"/>
        <w:bidi w:val="0"/>
        <w:ind w:left="0" w:right="0" w:firstLine="720"/>
        <w:jc w:val="left"/>
        <w:rPr/>
      </w:pPr>
      <w:r>
        <w:rPr/>
        <w:t> </w:t>
      </w:r>
    </w:p>
    <w:p>
      <w:pPr>
        <w:pStyle w:val="TextBody"/>
        <w:bidi w:val="0"/>
        <w:spacing w:before="240" w:after="283"/>
        <w:ind w:left="0" w:right="0" w:firstLine="720"/>
        <w:jc w:val="both"/>
        <w:rPr>
          <w:rFonts w:ascii="Times New Roman" w:hAnsi="Times New Roman"/>
          <w:color w:val="000000"/>
          <w:sz w:val="24"/>
        </w:rPr>
      </w:pPr>
      <w:r>
        <w:rPr>
          <w:rFonts w:ascii="Times New Roman" w:hAnsi="Times New Roman"/>
          <w:color w:val="000000"/>
          <w:sz w:val="24"/>
        </w:rPr>
        <w:t>I UNDERSTAND THAT THIS SUBSCRIPTION AGREEMENT WILL REMAIN IN EFFECT THROUGHOUT SUCCESSIVE OFFERING PERIODS UNLESS TERMINATED BY ME.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Dated: </w:t>
      </w:r>
    </w:p>
    <w:p>
      <w:pPr>
        <w:pStyle w:val="TextBody"/>
        <w:bidi w:val="0"/>
        <w:jc w:val="left"/>
        <w:rPr>
          <w:rFonts w:ascii="Times New Roman" w:hAnsi="Times New Roman"/>
          <w:color w:val="000000"/>
          <w:sz w:val="24"/>
        </w:rPr>
      </w:pPr>
      <w:r>
        <w:rPr>
          <w:rFonts w:ascii="Times New Roman" w:hAnsi="Times New Roman"/>
          <w:color w:val="000000"/>
          <w:sz w:val="24"/>
        </w:rPr>
        <w:t>Signature of Employee</w:t>
      </w:r>
    </w:p>
    <w:p>
      <w:pPr>
        <w:pStyle w:val="TextBody"/>
        <w:bidi w:val="0"/>
        <w:spacing w:before="240" w:after="283"/>
        <w:ind w:left="0" w:right="0" w:firstLine="720"/>
        <w:jc w:val="left"/>
        <w:rPr/>
      </w:pPr>
      <w:r>
        <w:rPr/>
        <w:t> </w:t>
      </w:r>
    </w:p>
    <w:p>
      <w:pPr>
        <w:pStyle w:val="TextBody"/>
        <w:bidi w:val="0"/>
        <w:spacing w:before="240" w:after="283"/>
        <w:ind w:left="0" w:right="0" w:firstLine="72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EXHIBIT B</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ALX ONCOLOGY HOLDINGS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2020 EMPLOYEE STOCK PURCHASE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NOTICE OF WITHDRAWAL</w:t>
      </w:r>
    </w:p>
    <w:p>
      <w:pPr>
        <w:pStyle w:val="TextBody"/>
        <w:bidi w:val="0"/>
        <w:spacing w:before="240" w:after="480"/>
        <w:ind w:left="0" w:right="0" w:firstLine="720"/>
        <w:jc w:val="both"/>
        <w:rPr>
          <w:rFonts w:ascii="Times New Roman" w:hAnsi="Times New Roman"/>
          <w:sz w:val="20"/>
        </w:rPr>
      </w:pPr>
      <w:r>
        <w:rPr>
          <w:rFonts w:ascii="Times New Roman" w:hAnsi="Times New Roman"/>
          <w:color w:val="000000"/>
          <w:sz w:val="24"/>
        </w:rPr>
        <w:t>The undersigned Participant in the Offering Period of the ALX Oncology Holdings Inc. 2020 Employee Stock Purchase Plan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that began on ____________, ______ (the “</w:t>
      </w:r>
      <w:r>
        <w:rPr>
          <w:rFonts w:ascii="Times New Roman" w:hAnsi="Times New Roman"/>
          <w:color w:val="000000"/>
          <w:sz w:val="24"/>
          <w:u w:val="single"/>
        </w:rPr>
        <w:t>Offering Date</w:t>
      </w:r>
      <w:r>
        <w:rPr>
          <w:rFonts w:ascii="Times New Roman" w:hAnsi="Times New Roman"/>
          <w:color w:val="000000"/>
          <w:sz w:val="20"/>
        </w:rPr>
        <w:t>”</w:t>
      </w:r>
      <w:r>
        <w:rPr>
          <w:rFonts w:ascii="Times New Roman" w:hAnsi="Times New Roman"/>
          <w:color w:val="000000"/>
          <w:sz w:val="24"/>
        </w:rPr>
        <w:t>) hereby notifies the Company that he or she hereby 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Capitalized terms not otherwise defined herein will have the meaning ascribed to them under the Plan.</w:t>
      </w:r>
    </w:p>
    <w:p>
      <w:pPr>
        <w:pStyle w:val="TextBody"/>
        <w:bidi w:val="0"/>
        <w:ind w:left="5040" w:right="0" w:hanging="0"/>
        <w:jc w:val="left"/>
        <w:rPr>
          <w:rFonts w:ascii="Times New Roman" w:hAnsi="Times New Roman"/>
          <w:color w:val="000000"/>
          <w:sz w:val="24"/>
        </w:rPr>
      </w:pPr>
      <w:r>
        <w:rPr>
          <w:rFonts w:ascii="Times New Roman" w:hAnsi="Times New Roman"/>
          <w:color w:val="000000"/>
          <w:sz w:val="24"/>
        </w:rPr>
        <w:t>Name and Address of Participant:</w:t>
      </w:r>
    </w:p>
    <w:p>
      <w:pPr>
        <w:pStyle w:val="TextBody"/>
        <w:bidi w:val="0"/>
        <w:spacing w:before="240" w:after="283"/>
        <w:ind w:left="5040" w:right="0" w:hanging="0"/>
        <w:jc w:val="left"/>
        <w:rPr>
          <w:rFonts w:ascii="Times New Roman" w:hAnsi="Times New Roman"/>
          <w:color w:val="000000"/>
          <w:sz w:val="24"/>
        </w:rPr>
      </w:pPr>
      <w:r>
        <w:rPr>
          <w:rFonts w:ascii="Times New Roman" w:hAnsi="Times New Roman"/>
          <w:color w:val="000000"/>
          <w:sz w:val="24"/>
        </w:rPr>
        <w:t>Signature:</w:t>
      </w:r>
    </w:p>
    <w:p>
      <w:pPr>
        <w:pStyle w:val="TextBody"/>
        <w:bidi w:val="0"/>
        <w:spacing w:before="240" w:after="283"/>
        <w:ind w:left="5040" w:right="0" w:hanging="0"/>
        <w:jc w:val="left"/>
        <w:rPr>
          <w:rFonts w:ascii="Times New Roman" w:hAnsi="Times New Roman"/>
          <w:color w:val="000000"/>
          <w:sz w:val="24"/>
        </w:rPr>
      </w:pPr>
      <w:r>
        <w:rPr>
          <w:rFonts w:ascii="Times New Roman" w:hAnsi="Times New Roman"/>
          <w:color w:val="000000"/>
          <w:sz w:val="24"/>
        </w:rPr>
        <w:t xml:space="preserve">Date: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0"/>
        </w:rPr>
      </w:pPr>
      <w:bookmarkStart w:id="68" w:name="alxo-ex10_2.htm"/>
      <w:bookmarkStart w:id="69" w:name="ksalxoex10_2"/>
      <w:bookmarkEnd w:id="68"/>
      <w:bookmarkEnd w:id="69"/>
      <w:r>
        <w:rPr>
          <w:rFonts w:ascii="Times New Roman" w:hAnsi="Times New Roman"/>
          <w:b/>
          <w:color w:val="000000"/>
          <w:sz w:val="20"/>
        </w:rPr>
        <w:t>Exhibit 10.2</w:t>
      </w:r>
      <w:r>
        <w:br w:type="page"/>
      </w:r>
    </w:p>
    <w:p>
      <w:pPr>
        <w:pStyle w:val="TextBody"/>
        <w:pBdr>
          <w:top w:val="single" w:sz="4" w:space="31" w:color="000000"/>
        </w:pBdr>
        <w:bidi w:val="0"/>
        <w:spacing w:before="0" w:after="720"/>
        <w:jc w:val="center"/>
        <w:rPr>
          <w:rFonts w:ascii="Times New Roman" w:hAnsi="Times New Roman"/>
          <w:color w:val="000000"/>
          <w:sz w:val="22"/>
        </w:rPr>
      </w:pPr>
      <w:r>
        <w:rPr>
          <w:rFonts w:ascii="Times New Roman" w:hAnsi="Times New Roman"/>
          <w:color w:val="000000"/>
          <w:sz w:val="22"/>
        </w:rPr>
        <w:t>LOAN AND SECURITY AGREEMENT</w:t>
      </w:r>
    </w:p>
    <w:p>
      <w:pPr>
        <w:pStyle w:val="TextBody"/>
        <w:bidi w:val="0"/>
        <w:spacing w:before="0" w:after="720"/>
        <w:jc w:val="center"/>
        <w:rPr>
          <w:rFonts w:ascii="Times New Roman" w:hAnsi="Times New Roman"/>
          <w:color w:val="000000"/>
          <w:sz w:val="22"/>
        </w:rPr>
      </w:pPr>
      <w:r>
        <w:rPr>
          <w:rFonts w:ascii="Times New Roman" w:hAnsi="Times New Roman"/>
          <w:color w:val="000000"/>
          <w:sz w:val="22"/>
        </w:rPr>
        <w:t>dated as of June 25, 2026</w:t>
      </w:r>
    </w:p>
    <w:p>
      <w:pPr>
        <w:pStyle w:val="TextBody"/>
        <w:bidi w:val="0"/>
        <w:spacing w:before="0" w:after="720"/>
        <w:jc w:val="center"/>
        <w:rPr>
          <w:rFonts w:ascii="Times New Roman" w:hAnsi="Times New Roman"/>
          <w:color w:val="000000"/>
          <w:sz w:val="22"/>
        </w:rPr>
      </w:pPr>
      <w:r>
        <w:rPr>
          <w:rFonts w:ascii="Times New Roman" w:hAnsi="Times New Roman"/>
          <w:color w:val="000000"/>
          <w:sz w:val="22"/>
        </w:rPr>
        <w:t>among</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ALX ONCOLOGY INC.,</w:t>
      </w:r>
    </w:p>
    <w:p>
      <w:pPr>
        <w:pStyle w:val="TextBody"/>
        <w:bidi w:val="0"/>
        <w:spacing w:before="0" w:after="720"/>
        <w:jc w:val="center"/>
        <w:rPr>
          <w:rFonts w:ascii="Times New Roman" w:hAnsi="Times New Roman"/>
          <w:color w:val="000000"/>
          <w:sz w:val="22"/>
        </w:rPr>
      </w:pPr>
      <w:r>
        <w:rPr>
          <w:rFonts w:ascii="Times New Roman" w:hAnsi="Times New Roman"/>
          <w:color w:val="000000"/>
          <w:sz w:val="22"/>
        </w:rPr>
        <w:t>as Borrower</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ALX ONCOLOGY HOLDINGS INC. AND ALX ONCOLOGY LIMITED</w:t>
      </w:r>
    </w:p>
    <w:p>
      <w:pPr>
        <w:pStyle w:val="TextBody"/>
        <w:bidi w:val="0"/>
        <w:spacing w:before="0" w:after="720"/>
        <w:jc w:val="center"/>
        <w:rPr>
          <w:rFonts w:ascii="Times New Roman" w:hAnsi="Times New Roman"/>
          <w:color w:val="000000"/>
          <w:sz w:val="22"/>
        </w:rPr>
      </w:pPr>
      <w:r>
        <w:rPr>
          <w:rFonts w:ascii="Times New Roman" w:hAnsi="Times New Roman"/>
          <w:color w:val="000000"/>
          <w:sz w:val="22"/>
        </w:rPr>
        <w:t>collectively, as Guarantor</w:t>
      </w:r>
    </w:p>
    <w:p>
      <w:pPr>
        <w:pStyle w:val="TextBody"/>
        <w:bidi w:val="0"/>
        <w:spacing w:before="0" w:after="720"/>
        <w:jc w:val="center"/>
        <w:rPr>
          <w:rFonts w:ascii="Times New Roman" w:hAnsi="Times New Roman"/>
          <w:color w:val="000000"/>
          <w:sz w:val="22"/>
        </w:rPr>
      </w:pPr>
      <w:r>
        <w:rPr>
          <w:rFonts w:ascii="Times New Roman" w:hAnsi="Times New Roman"/>
          <w:color w:val="000000"/>
          <w:sz w:val="22"/>
        </w:rPr>
        <w:t>and</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HSBC VENTURES USA INC.,</w:t>
      </w:r>
    </w:p>
    <w:p>
      <w:pPr>
        <w:pStyle w:val="TextBody"/>
        <w:pBdr>
          <w:bottom w:val="single" w:sz="4" w:space="31" w:color="000000"/>
        </w:pBdr>
        <w:bidi w:val="0"/>
        <w:spacing w:before="0" w:after="160"/>
        <w:jc w:val="center"/>
        <w:rPr>
          <w:rFonts w:ascii="Times New Roman" w:hAnsi="Times New Roman"/>
          <w:color w:val="000000"/>
          <w:sz w:val="22"/>
        </w:rPr>
      </w:pPr>
      <w:r>
        <w:rPr>
          <w:rFonts w:ascii="Times New Roman" w:hAnsi="Times New Roman"/>
          <w:color w:val="000000"/>
          <w:sz w:val="22"/>
        </w:rPr>
        <w:t>as Bank</w:t>
      </w:r>
    </w:p>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160"/>
        <w:ind w:left="0" w:right="0" w:firstLine="720"/>
        <w:jc w:val="both"/>
        <w:rPr>
          <w:rFonts w:ascii="Times New Roman" w:hAnsi="Times New Roman"/>
          <w:sz w:val="20"/>
        </w:rPr>
      </w:pPr>
      <w:r>
        <w:rPr>
          <w:rFonts w:ascii="Times New Roman" w:hAnsi="Times New Roman"/>
          <w:b/>
          <w:color w:val="000000"/>
          <w:sz w:val="22"/>
        </w:rPr>
        <w:t>LOAN AND SECURITY AGREEMENT</w:t>
      </w:r>
      <w:r>
        <w:rPr>
          <w:rFonts w:ascii="Times New Roman" w:hAnsi="Times New Roman"/>
          <w:color w:val="000000"/>
          <w:sz w:val="20"/>
        </w:rPr>
        <w:t xml:space="preserve"> </w:t>
      </w:r>
      <w:r>
        <w:rPr>
          <w:rFonts w:ascii="Times New Roman" w:hAnsi="Times New Roman"/>
          <w:color w:val="000000"/>
          <w:sz w:val="22"/>
        </w:rPr>
        <w:t xml:space="preserve">(this “Agreement”) dated as of June 25, 2026 (the “Effective Date”) by and among (a) </w:t>
      </w:r>
      <w:r>
        <w:rPr>
          <w:rFonts w:ascii="Times New Roman" w:hAnsi="Times New Roman"/>
          <w:b/>
          <w:color w:val="000000"/>
          <w:sz w:val="22"/>
        </w:rPr>
        <w:t>ALX ONCOLOGY INC.</w:t>
      </w:r>
      <w:r>
        <w:rPr>
          <w:rFonts w:ascii="Times New Roman" w:hAnsi="Times New Roman"/>
          <w:color w:val="000000"/>
          <w:sz w:val="22"/>
        </w:rPr>
        <w:t xml:space="preserve">, a Delaware corporation (“Borrower”), (b) (i) </w:t>
      </w:r>
      <w:r>
        <w:rPr>
          <w:rFonts w:ascii="Times New Roman" w:hAnsi="Times New Roman"/>
          <w:b/>
          <w:color w:val="000000"/>
          <w:sz w:val="22"/>
        </w:rPr>
        <w:t>ALX ONCOLOGY HOLDINGS INC.</w:t>
      </w:r>
      <w:r>
        <w:rPr>
          <w:rFonts w:ascii="Times New Roman" w:hAnsi="Times New Roman"/>
          <w:color w:val="000000"/>
          <w:sz w:val="22"/>
        </w:rPr>
        <w:t xml:space="preserve">, a Delaware corporation (“Parent Guarantor”) and (ii) </w:t>
      </w:r>
      <w:r>
        <w:rPr>
          <w:rFonts w:ascii="Times New Roman" w:hAnsi="Times New Roman"/>
          <w:b/>
          <w:color w:val="000000"/>
          <w:sz w:val="22"/>
        </w:rPr>
        <w:t>ALX ONCOLOGY LIMITED</w:t>
      </w:r>
      <w:r>
        <w:rPr>
          <w:rFonts w:ascii="Times New Roman" w:hAnsi="Times New Roman"/>
          <w:color w:val="000000"/>
          <w:sz w:val="22"/>
        </w:rPr>
        <w:t xml:space="preserve">, a private company limited by shares incorporated under the laws of Ireland with company registration number 58988 (“Irish Guarantor”) and (c) </w:t>
      </w:r>
      <w:r>
        <w:rPr>
          <w:rFonts w:ascii="Times New Roman" w:hAnsi="Times New Roman"/>
          <w:b/>
          <w:color w:val="000000"/>
          <w:sz w:val="22"/>
        </w:rPr>
        <w:t>HSBC VENTURES USA INC.</w:t>
      </w:r>
      <w:r>
        <w:rPr>
          <w:rFonts w:ascii="Times New Roman" w:hAnsi="Times New Roman"/>
          <w:color w:val="000000"/>
          <w:sz w:val="20"/>
        </w:rPr>
        <w:t xml:space="preserve"> </w:t>
      </w:r>
      <w:r>
        <w:rPr>
          <w:rFonts w:ascii="Times New Roman" w:hAnsi="Times New Roman"/>
          <w:color w:val="000000"/>
          <w:sz w:val="22"/>
        </w:rPr>
        <w:t>(“Bank”), and provides the terms on which Bank shall lend to Borrower and Borrower shall repay Bank. The parties agree as follows: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1</w:t>
      </w:r>
    </w:p>
    <w:p>
      <w:pPr>
        <w:pStyle w:val="TextBody"/>
        <w:bidi w:val="0"/>
        <w:spacing w:before="0" w:after="240"/>
        <w:jc w:val="both"/>
        <w:rPr/>
      </w:pPr>
      <w:r>
        <w:rPr>
          <w:rFonts w:ascii="Times New Roman" w:hAnsi="Times New Roman"/>
          <w:b/>
          <w:color w:val="000000"/>
          <w:sz w:val="22"/>
        </w:rPr>
        <w:t>Definitions</w:t>
      </w:r>
      <w:r>
        <w:rPr>
          <w:rFonts w:ascii="Times New Roman" w:hAnsi="Times New Roman"/>
          <w:color w:val="000000"/>
          <w:sz w:val="22"/>
        </w:rPr>
        <w: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1.1</w:t>
      </w:r>
    </w:p>
    <w:p>
      <w:pPr>
        <w:pStyle w:val="TextBody"/>
        <w:bidi w:val="0"/>
        <w:spacing w:before="0" w:after="240"/>
        <w:jc w:val="both"/>
        <w:rPr/>
      </w:pPr>
      <w:r>
        <w:rPr>
          <w:rFonts w:ascii="Times New Roman" w:hAnsi="Times New Roman"/>
          <w:color w:val="000000"/>
          <w:sz w:val="22"/>
          <w:u w:val="single"/>
        </w:rPr>
        <w:t>Definitions</w:t>
      </w:r>
      <w:r>
        <w:rPr>
          <w:rFonts w:ascii="Times New Roman" w:hAnsi="Times New Roman"/>
          <w:color w:val="000000"/>
          <w:sz w:val="22"/>
        </w:rPr>
        <w:t>. As used in this Agreement, the following capitalized terms have the following meanings:</w:t>
      </w:r>
    </w:p>
    <w:p>
      <w:pPr>
        <w:pStyle w:val="TextBody"/>
        <w:bidi w:val="0"/>
        <w:spacing w:before="0" w:after="160"/>
        <w:ind w:left="0" w:right="0" w:firstLine="720"/>
        <w:jc w:val="both"/>
        <w:rPr/>
      </w:pPr>
      <w:r>
        <w:rPr>
          <w:color w:val="000000"/>
        </w:rPr>
        <w:t>“</w:t>
      </w:r>
      <w:r>
        <w:rPr>
          <w:rFonts w:ascii="Times New Roman" w:hAnsi="Times New Roman"/>
          <w:b/>
          <w:color w:val="000000"/>
          <w:sz w:val="22"/>
        </w:rPr>
        <w:t>Account</w:t>
      </w:r>
      <w:r>
        <w:rPr>
          <w:rFonts w:ascii="Times New Roman" w:hAnsi="Times New Roman"/>
          <w:color w:val="000000"/>
          <w:sz w:val="20"/>
        </w:rPr>
        <w:t xml:space="preserve">” </w:t>
      </w:r>
      <w:r>
        <w:rPr>
          <w:rFonts w:ascii="Times New Roman" w:hAnsi="Times New Roman"/>
          <w:color w:val="000000"/>
          <w:sz w:val="22"/>
        </w:rPr>
        <w:t>is any “account” as defined in the Code with such additions to such term as may hereafter be made, and includes, without limitation, all accounts receivable and other sums owing to any Loan Party.</w:t>
      </w:r>
    </w:p>
    <w:p>
      <w:pPr>
        <w:pStyle w:val="TextBody"/>
        <w:bidi w:val="0"/>
        <w:spacing w:before="0" w:after="160"/>
        <w:ind w:left="0" w:right="0" w:firstLine="720"/>
        <w:jc w:val="both"/>
        <w:rPr/>
      </w:pPr>
      <w:r>
        <w:rPr>
          <w:color w:val="000000"/>
        </w:rPr>
        <w:t>“</w:t>
      </w:r>
      <w:r>
        <w:rPr>
          <w:rFonts w:ascii="Times New Roman" w:hAnsi="Times New Roman"/>
          <w:b/>
          <w:color w:val="000000"/>
          <w:sz w:val="22"/>
        </w:rPr>
        <w:t>Account Debtor</w:t>
      </w:r>
      <w:r>
        <w:rPr>
          <w:rFonts w:ascii="Times New Roman" w:hAnsi="Times New Roman"/>
          <w:color w:val="000000"/>
          <w:sz w:val="20"/>
        </w:rPr>
        <w:t xml:space="preserve">” </w:t>
      </w:r>
      <w:r>
        <w:rPr>
          <w:rFonts w:ascii="Times New Roman" w:hAnsi="Times New Roman"/>
          <w:color w:val="000000"/>
          <w:sz w:val="22"/>
        </w:rPr>
        <w:t>is any “account debtor” as defined in the Code with such additions to such term as may hereafter be made.</w:t>
      </w:r>
    </w:p>
    <w:p>
      <w:pPr>
        <w:pStyle w:val="TextBody"/>
        <w:bidi w:val="0"/>
        <w:spacing w:before="0" w:after="160"/>
        <w:ind w:left="0" w:right="0" w:firstLine="720"/>
        <w:jc w:val="both"/>
        <w:rPr/>
      </w:pPr>
      <w:r>
        <w:rPr>
          <w:color w:val="000000"/>
        </w:rPr>
        <w:t>“</w:t>
      </w:r>
      <w:r>
        <w:rPr>
          <w:rFonts w:ascii="Times New Roman" w:hAnsi="Times New Roman"/>
          <w:b/>
          <w:color w:val="000000"/>
          <w:sz w:val="22"/>
        </w:rPr>
        <w:t>Acquisition</w:t>
      </w:r>
      <w:r>
        <w:rPr>
          <w:rFonts w:ascii="Times New Roman" w:hAnsi="Times New Roman"/>
          <w:color w:val="000000"/>
          <w:sz w:val="20"/>
        </w:rPr>
        <w:t xml:space="preserve">” </w:t>
      </w:r>
      <w:r>
        <w:rPr>
          <w:rFonts w:ascii="Times New Roman" w:hAnsi="Times New Roman"/>
          <w:color w:val="000000"/>
          <w:sz w:val="22"/>
        </w:rPr>
        <w:t>is any transaction, or any series of related transactions, consummated on or after the Effective Date, by which any Loan Party or a Subsidiary (a) acquires any going business or all or substantially all of the assets of any Person, whether through purchase of assets, merger or otherwise or (b) directly or indirectly acquires (in one transaction or as the most recent transaction in a series of related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w:t>
      </w:r>
    </w:p>
    <w:p>
      <w:pPr>
        <w:pStyle w:val="TextBody"/>
        <w:bidi w:val="0"/>
        <w:spacing w:before="0" w:after="160"/>
        <w:ind w:left="0" w:right="0" w:firstLine="720"/>
        <w:jc w:val="both"/>
        <w:rPr/>
      </w:pPr>
      <w:r>
        <w:rPr>
          <w:color w:val="000000"/>
        </w:rPr>
        <w:t>“</w:t>
      </w:r>
      <w:r>
        <w:rPr>
          <w:rFonts w:ascii="Times New Roman" w:hAnsi="Times New Roman"/>
          <w:b/>
          <w:color w:val="000000"/>
          <w:sz w:val="22"/>
        </w:rPr>
        <w:t>Affected Financial Institution</w:t>
      </w:r>
      <w:r>
        <w:rPr>
          <w:rFonts w:ascii="Times New Roman" w:hAnsi="Times New Roman"/>
          <w:color w:val="000000"/>
          <w:sz w:val="20"/>
        </w:rPr>
        <w:t xml:space="preserve">” </w:t>
      </w:r>
      <w:r>
        <w:rPr>
          <w:rFonts w:ascii="Times New Roman" w:hAnsi="Times New Roman"/>
          <w:color w:val="000000"/>
          <w:sz w:val="22"/>
        </w:rPr>
        <w:t>is (a) any EEA Financial Institution or (b) any UK Financial Institution.</w:t>
      </w:r>
    </w:p>
    <w:p>
      <w:pPr>
        <w:pStyle w:val="TextBody"/>
        <w:bidi w:val="0"/>
        <w:spacing w:before="0" w:after="160"/>
        <w:ind w:left="0" w:right="0" w:firstLine="720"/>
        <w:jc w:val="both"/>
        <w:rPr/>
      </w:pPr>
      <w:r>
        <w:rPr>
          <w:color w:val="000000"/>
        </w:rPr>
        <w:t>“</w:t>
      </w:r>
      <w:r>
        <w:rPr>
          <w:rFonts w:ascii="Times New Roman" w:hAnsi="Times New Roman"/>
          <w:b/>
          <w:color w:val="000000"/>
          <w:sz w:val="22"/>
        </w:rPr>
        <w:t>Affiliate</w:t>
      </w:r>
      <w:r>
        <w:rPr>
          <w:rFonts w:ascii="Times New Roman" w:hAnsi="Times New Roman"/>
          <w:color w:val="000000"/>
          <w:sz w:val="20"/>
        </w:rPr>
        <w:t xml:space="preserve">” </w:t>
      </w:r>
      <w:r>
        <w:rPr>
          <w:rFonts w:ascii="Times New Roman" w:hAnsi="Times New Roman"/>
          <w:color w:val="000000"/>
          <w:sz w:val="22"/>
        </w:rPr>
        <w:t>is, with respect to any Person, each other Person that owns or controls directly or indirectly the Person, any Person that controls or is controlled by or is under common control with the Person. For purposes of this Agreement, in all cases HSBC Bank USA, N.A. shall be deemed to be an Affiliate of Bank.</w:t>
      </w:r>
    </w:p>
    <w:p>
      <w:pPr>
        <w:pStyle w:val="TextBody"/>
        <w:bidi w:val="0"/>
        <w:spacing w:before="0" w:after="160"/>
        <w:ind w:left="0" w:right="0" w:firstLine="720"/>
        <w:jc w:val="both"/>
        <w:rPr/>
      </w:pPr>
      <w:r>
        <w:rPr>
          <w:color w:val="000000"/>
        </w:rPr>
        <w:t>“</w:t>
      </w:r>
      <w:r>
        <w:rPr>
          <w:rFonts w:ascii="Times New Roman" w:hAnsi="Times New Roman"/>
          <w:b/>
          <w:color w:val="000000"/>
          <w:sz w:val="22"/>
        </w:rPr>
        <w:t>Agreement</w:t>
      </w:r>
      <w:r>
        <w:rPr>
          <w:rFonts w:ascii="Times New Roman" w:hAnsi="Times New Roman"/>
          <w:color w:val="000000"/>
          <w:sz w:val="20"/>
        </w:rPr>
        <w:t xml:space="preserve">” </w:t>
      </w:r>
      <w:r>
        <w:rPr>
          <w:rFonts w:ascii="Times New Roman" w:hAnsi="Times New Roman"/>
          <w:color w:val="000000"/>
          <w:sz w:val="22"/>
        </w:rPr>
        <w:t>is defined in the preamble hereof.</w:t>
      </w:r>
    </w:p>
    <w:p>
      <w:pPr>
        <w:pStyle w:val="TextBody"/>
        <w:bidi w:val="0"/>
        <w:spacing w:before="0" w:after="160"/>
        <w:ind w:left="0" w:right="0" w:firstLine="720"/>
        <w:jc w:val="both"/>
        <w:rPr/>
      </w:pPr>
      <w:r>
        <w:rPr>
          <w:color w:val="000000"/>
        </w:rPr>
        <w:t>“</w:t>
      </w:r>
      <w:r>
        <w:rPr>
          <w:rFonts w:ascii="Times New Roman" w:hAnsi="Times New Roman"/>
          <w:b/>
          <w:color w:val="000000"/>
          <w:sz w:val="22"/>
        </w:rPr>
        <w:t>Anti-Money Laundering Laws</w:t>
      </w:r>
      <w:r>
        <w:rPr>
          <w:rFonts w:ascii="Times New Roman" w:hAnsi="Times New Roman"/>
          <w:color w:val="000000"/>
          <w:sz w:val="20"/>
        </w:rPr>
        <w:t xml:space="preserve">” </w:t>
      </w:r>
      <w:r>
        <w:rPr>
          <w:rFonts w:ascii="Times New Roman" w:hAnsi="Times New Roman"/>
          <w:color w:val="000000"/>
          <w:sz w:val="22"/>
        </w:rPr>
        <w:t>means the PATRIOT Act; the Anti-Money Laundering Act of 2020; the U.S. Money Laundering Control Act of 1986; the U.S. Bank Secrecy Act; and the regulations and rules promulgated under each of the foregoing and related US Anti-Money Laundering and Combating the Financing of Terrorism laws, as amended from time to time; and corresponding laws of (a) the European Union designed to combat money laundering and terrorist financing and (b) jurisdictions in which the Loan Parties operate or in which the proceeds of the Credit Extensions will be used or from which repayments of the Obligations will be derived.</w:t>
      </w:r>
    </w:p>
    <w:p>
      <w:pPr>
        <w:pStyle w:val="TextBody"/>
        <w:bidi w:val="0"/>
        <w:spacing w:before="0" w:after="160"/>
        <w:ind w:left="0" w:right="0" w:firstLine="720"/>
        <w:jc w:val="both"/>
        <w:rPr/>
      </w:pPr>
      <w:r>
        <w:rPr>
          <w:color w:val="000000"/>
        </w:rPr>
        <w:t>“</w:t>
      </w:r>
      <w:r>
        <w:rPr>
          <w:rFonts w:ascii="Times New Roman" w:hAnsi="Times New Roman"/>
          <w:b/>
          <w:color w:val="000000"/>
          <w:sz w:val="22"/>
        </w:rPr>
        <w:t>Applicable Law</w:t>
      </w:r>
      <w:r>
        <w:rPr>
          <w:rFonts w:ascii="Times New Roman" w:hAnsi="Times New Roman"/>
          <w:color w:val="000000"/>
          <w:sz w:val="20"/>
        </w:rPr>
        <w:t xml:space="preserve">” </w:t>
      </w:r>
      <w:r>
        <w:rPr>
          <w:rFonts w:ascii="Times New Roman" w:hAnsi="Times New Roman"/>
          <w:color w:val="000000"/>
          <w:sz w:val="22"/>
        </w:rPr>
        <w:t>means all applicable provisions of constitutions, laws, statutes, ordinances, rules, treaties, regulations, permits, licenses, approvals, interpretations and orders of courts or Governmental Authorities and all orders and decrees of all courts and arbitrators.</w:t>
      </w:r>
    </w:p>
    <w:p>
      <w:pPr>
        <w:pStyle w:val="TextBody"/>
        <w:bidi w:val="0"/>
        <w:spacing w:before="0" w:after="160"/>
        <w:ind w:left="0" w:right="0" w:firstLine="720"/>
        <w:jc w:val="both"/>
        <w:rPr/>
      </w:pPr>
      <w:r>
        <w:rPr>
          <w:color w:val="000000"/>
        </w:rPr>
        <w:t>“</w:t>
      </w:r>
      <w:r>
        <w:rPr>
          <w:rFonts w:ascii="Times New Roman" w:hAnsi="Times New Roman"/>
          <w:b/>
          <w:color w:val="000000"/>
          <w:sz w:val="22"/>
        </w:rPr>
        <w:t>ASU</w:t>
      </w:r>
      <w:r>
        <w:rPr>
          <w:rFonts w:ascii="Times New Roman" w:hAnsi="Times New Roman"/>
          <w:color w:val="000000"/>
          <w:sz w:val="20"/>
        </w:rPr>
        <w:t xml:space="preserve">” </w:t>
      </w:r>
      <w:r>
        <w:rPr>
          <w:rFonts w:ascii="Times New Roman" w:hAnsi="Times New Roman"/>
          <w:color w:val="000000"/>
          <w:sz w:val="22"/>
        </w:rPr>
        <w:t>is defined in Section 1.3.</w:t>
      </w:r>
    </w:p>
    <w:p>
      <w:pPr>
        <w:pStyle w:val="TextBody"/>
        <w:bidi w:val="0"/>
        <w:spacing w:before="0" w:after="160"/>
        <w:ind w:left="0" w:right="0" w:firstLine="720"/>
        <w:jc w:val="both"/>
        <w:rPr/>
      </w:pPr>
      <w:r>
        <w:rPr>
          <w:color w:val="000000"/>
        </w:rPr>
        <w:t>“</w:t>
      </w:r>
      <w:r>
        <w:rPr>
          <w:rFonts w:ascii="Times New Roman" w:hAnsi="Times New Roman"/>
          <w:b/>
          <w:color w:val="000000"/>
          <w:sz w:val="22"/>
        </w:rPr>
        <w:t>Audited Financial Statements</w:t>
      </w:r>
      <w:r>
        <w:rPr>
          <w:rFonts w:ascii="Times New Roman" w:hAnsi="Times New Roman"/>
          <w:color w:val="000000"/>
          <w:sz w:val="20"/>
        </w:rPr>
        <w:t xml:space="preserve">” </w:t>
      </w:r>
      <w:r>
        <w:rPr>
          <w:rFonts w:ascii="Times New Roman" w:hAnsi="Times New Roman"/>
          <w:color w:val="000000"/>
          <w:sz w:val="22"/>
        </w:rPr>
        <w:t>are, as of any date, the most recent audited financial statements submitted to Bank pursuant to Section 6.2(d).</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160"/>
        <w:ind w:left="0" w:right="0" w:firstLine="720"/>
        <w:jc w:val="both"/>
        <w:rPr/>
      </w:pPr>
      <w:r>
        <w:rPr>
          <w:color w:val="000000"/>
        </w:rPr>
        <w:t>“</w:t>
      </w:r>
      <w:r>
        <w:rPr>
          <w:rFonts w:ascii="Times New Roman" w:hAnsi="Times New Roman"/>
          <w:b/>
          <w:color w:val="000000"/>
          <w:sz w:val="22"/>
        </w:rPr>
        <w:t>Authorized Signer</w:t>
      </w:r>
      <w:r>
        <w:rPr>
          <w:rFonts w:ascii="Times New Roman" w:hAnsi="Times New Roman"/>
          <w:color w:val="000000"/>
          <w:sz w:val="20"/>
        </w:rPr>
        <w:t xml:space="preserve">” </w:t>
      </w:r>
      <w:r>
        <w:rPr>
          <w:rFonts w:ascii="Times New Roman" w:hAnsi="Times New Roman"/>
          <w:color w:val="000000"/>
          <w:sz w:val="22"/>
        </w:rPr>
        <w:t>is any individual listed in any Loan Party’s Borrowing Resolution who is authorized to execute the Loan Documents, including any Credit Extension request, on behalf of such Loan Party.</w:t>
      </w:r>
    </w:p>
    <w:p>
      <w:pPr>
        <w:pStyle w:val="TextBody"/>
        <w:bidi w:val="0"/>
        <w:spacing w:before="0" w:after="160"/>
        <w:ind w:left="0" w:right="0" w:firstLine="720"/>
        <w:jc w:val="both"/>
        <w:rPr/>
      </w:pPr>
      <w:r>
        <w:rPr>
          <w:color w:val="000000"/>
        </w:rPr>
        <w:t>“</w:t>
      </w:r>
      <w:r>
        <w:rPr>
          <w:rFonts w:ascii="Times New Roman" w:hAnsi="Times New Roman"/>
          <w:b/>
          <w:color w:val="000000"/>
          <w:sz w:val="22"/>
        </w:rPr>
        <w:t>Bank</w:t>
      </w:r>
      <w:r>
        <w:rPr>
          <w:rFonts w:ascii="Times New Roman" w:hAnsi="Times New Roman"/>
          <w:color w:val="000000"/>
          <w:sz w:val="20"/>
        </w:rPr>
        <w:t xml:space="preserve">” </w:t>
      </w:r>
      <w:r>
        <w:rPr>
          <w:rFonts w:ascii="Times New Roman" w:hAnsi="Times New Roman"/>
          <w:color w:val="000000"/>
          <w:sz w:val="22"/>
        </w:rPr>
        <w:t>is defined in the preamble hereof.</w:t>
      </w:r>
    </w:p>
    <w:p>
      <w:pPr>
        <w:pStyle w:val="TextBody"/>
        <w:bidi w:val="0"/>
        <w:spacing w:before="0" w:after="160"/>
        <w:ind w:left="0" w:right="0" w:firstLine="720"/>
        <w:jc w:val="both"/>
        <w:rPr/>
      </w:pPr>
      <w:r>
        <w:rPr>
          <w:color w:val="000000"/>
        </w:rPr>
        <w:t>“</w:t>
      </w:r>
      <w:r>
        <w:rPr>
          <w:rFonts w:ascii="Times New Roman" w:hAnsi="Times New Roman"/>
          <w:b/>
          <w:color w:val="000000"/>
          <w:sz w:val="22"/>
        </w:rPr>
        <w:t>Bank Entities</w:t>
      </w:r>
      <w:r>
        <w:rPr>
          <w:rFonts w:ascii="Times New Roman" w:hAnsi="Times New Roman"/>
          <w:color w:val="000000"/>
          <w:sz w:val="20"/>
        </w:rPr>
        <w:t xml:space="preserve">” </w:t>
      </w:r>
      <w:r>
        <w:rPr>
          <w:rFonts w:ascii="Times New Roman" w:hAnsi="Times New Roman"/>
          <w:color w:val="000000"/>
          <w:sz w:val="22"/>
        </w:rPr>
        <w:t>is defined in Section 12.10.</w:t>
      </w:r>
    </w:p>
    <w:p>
      <w:pPr>
        <w:pStyle w:val="TextBody"/>
        <w:bidi w:val="0"/>
        <w:spacing w:before="0" w:after="160"/>
        <w:ind w:left="0" w:right="0" w:firstLine="720"/>
        <w:jc w:val="both"/>
        <w:rPr/>
      </w:pPr>
      <w:r>
        <w:rPr>
          <w:color w:val="000000"/>
        </w:rPr>
        <w:t>“</w:t>
      </w:r>
      <w:r>
        <w:rPr>
          <w:rFonts w:ascii="Times New Roman" w:hAnsi="Times New Roman"/>
          <w:b/>
          <w:color w:val="000000"/>
          <w:sz w:val="22"/>
        </w:rPr>
        <w:t>Bank Expenses</w:t>
      </w:r>
      <w:r>
        <w:rPr>
          <w:rFonts w:ascii="Times New Roman" w:hAnsi="Times New Roman"/>
          <w:color w:val="000000"/>
          <w:sz w:val="20"/>
        </w:rPr>
        <w:t xml:space="preserve">” </w:t>
      </w:r>
      <w:r>
        <w:rPr>
          <w:rFonts w:ascii="Times New Roman" w:hAnsi="Times New Roman"/>
          <w:color w:val="000000"/>
          <w:sz w:val="22"/>
        </w:rPr>
        <w:t>are all (a) reasonable and documented out-of-pocket expenses incurred by Bank (including the reasonable fees, charges and disbursements of counsel for Bank), and all fees and time charges and disbursements for attorneys who may be employees of Bank, in connection with the preparation, negotiation, execution, delivery, and administration of this Agreement and the other Loan Documents, or any amendment, modification or waiver of the provisions hereof or thereof (whether or not the transactions contemplated hereby or thereby shall be consummated), (b) reasonable and documented audit fees and related costs and expenses, and (c) out-of-pocket expenses incurred by Bank (including the fees, charges and disbursements of any counsel for Bank) and all fees and time charges for attorneys who may be employees of Bank, in connection with the enforcement or protection of its rights (i) in connection with this Agreement and the other Loan Documents (including without limitation, in connection with the enforcement of any judgment and in connection with any appeals), or (ii) in connection with the Credit Extensions made, including all such out-of-pocket expenses incurred, whether before or after a Default or Event of Default has occurred under any of the Loan Documents, relating to a workout, restructuring or other negotiations with any Loan Party respect of such Credit Extensions.</w:t>
      </w:r>
    </w:p>
    <w:p>
      <w:pPr>
        <w:pStyle w:val="TextBody"/>
        <w:bidi w:val="0"/>
        <w:spacing w:before="0" w:after="160"/>
        <w:ind w:left="0" w:right="0" w:firstLine="720"/>
        <w:jc w:val="both"/>
        <w:rPr/>
      </w:pPr>
      <w:r>
        <w:rPr>
          <w:color w:val="000000"/>
        </w:rPr>
        <w:t>“</w:t>
      </w:r>
      <w:r>
        <w:rPr>
          <w:rFonts w:ascii="Times New Roman" w:hAnsi="Times New Roman"/>
          <w:b/>
          <w:color w:val="000000"/>
          <w:sz w:val="22"/>
        </w:rPr>
        <w:t>Bank Services</w:t>
      </w:r>
      <w:r>
        <w:rPr>
          <w:rFonts w:ascii="Times New Roman" w:hAnsi="Times New Roman"/>
          <w:color w:val="000000"/>
          <w:sz w:val="20"/>
        </w:rPr>
        <w:t xml:space="preserve">” </w:t>
      </w:r>
      <w:r>
        <w:rPr>
          <w:rFonts w:ascii="Times New Roman" w:hAnsi="Times New Roman"/>
          <w:color w:val="000000"/>
          <w:sz w:val="22"/>
        </w:rPr>
        <w:t>are any Letters of Credit, deposit accounts, Cash Management Services, and foreign exchange services (including any FX Contracts) previously, now, or hereafter provided to any Loan Party or any of its respective Subsidiaries by Bank and/or any Affiliate of Bank, as any such products or services may be identified in any of Bank’s and/or Bank’s Affiliates’ various agreements and/or arrangements related thereto (each, a “</w:t>
      </w:r>
      <w:r>
        <w:rPr>
          <w:rFonts w:ascii="Times New Roman" w:hAnsi="Times New Roman"/>
          <w:b/>
          <w:color w:val="000000"/>
          <w:sz w:val="22"/>
        </w:rPr>
        <w:t>Bank Services Agreement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160"/>
        <w:ind w:left="0" w:right="0" w:firstLine="720"/>
        <w:jc w:val="both"/>
        <w:rPr/>
      </w:pPr>
      <w:r>
        <w:rPr>
          <w:color w:val="000000"/>
        </w:rPr>
        <w:t>“</w:t>
      </w:r>
      <w:r>
        <w:rPr>
          <w:rFonts w:ascii="Times New Roman" w:hAnsi="Times New Roman"/>
          <w:b/>
          <w:color w:val="000000"/>
          <w:sz w:val="22"/>
        </w:rPr>
        <w:t>Beneficial Ownership Certification</w:t>
      </w:r>
      <w:r>
        <w:rPr>
          <w:rFonts w:ascii="Times New Roman" w:hAnsi="Times New Roman"/>
          <w:color w:val="000000"/>
          <w:sz w:val="20"/>
        </w:rPr>
        <w:t xml:space="preserve">” </w:t>
      </w:r>
      <w:r>
        <w:rPr>
          <w:rFonts w:ascii="Times New Roman" w:hAnsi="Times New Roman"/>
          <w:color w:val="000000"/>
          <w:sz w:val="22"/>
        </w:rPr>
        <w:t>is a certification regarding beneficial ownership required by the Beneficial Ownership Regulation.</w:t>
      </w:r>
    </w:p>
    <w:p>
      <w:pPr>
        <w:pStyle w:val="TextBody"/>
        <w:bidi w:val="0"/>
        <w:spacing w:before="0" w:after="160"/>
        <w:ind w:left="0" w:right="0" w:firstLine="720"/>
        <w:jc w:val="both"/>
        <w:rPr/>
      </w:pPr>
      <w:r>
        <w:rPr>
          <w:color w:val="000000"/>
        </w:rPr>
        <w:t>“</w:t>
      </w:r>
      <w:r>
        <w:rPr>
          <w:rFonts w:ascii="Times New Roman" w:hAnsi="Times New Roman"/>
          <w:b/>
          <w:color w:val="000000"/>
          <w:sz w:val="22"/>
        </w:rPr>
        <w:t>Beneficial Ownership Regulation</w:t>
      </w:r>
      <w:r>
        <w:rPr>
          <w:rFonts w:ascii="Times New Roman" w:hAnsi="Times New Roman"/>
          <w:color w:val="000000"/>
          <w:sz w:val="20"/>
        </w:rPr>
        <w:t xml:space="preserve">” </w:t>
      </w:r>
      <w:r>
        <w:rPr>
          <w:rFonts w:ascii="Times New Roman" w:hAnsi="Times New Roman"/>
          <w:color w:val="000000"/>
          <w:sz w:val="22"/>
        </w:rPr>
        <w:t>is 31 C.F.R. § 1010.230.</w:t>
      </w:r>
    </w:p>
    <w:p>
      <w:pPr>
        <w:pStyle w:val="TextBody"/>
        <w:bidi w:val="0"/>
        <w:spacing w:before="0" w:after="160"/>
        <w:ind w:left="0" w:right="0" w:firstLine="720"/>
        <w:jc w:val="both"/>
        <w:rPr/>
      </w:pPr>
      <w:r>
        <w:rPr>
          <w:color w:val="000000"/>
        </w:rPr>
        <w:t>“</w:t>
      </w:r>
      <w:r>
        <w:rPr>
          <w:rFonts w:ascii="Times New Roman" w:hAnsi="Times New Roman"/>
          <w:b/>
          <w:color w:val="000000"/>
          <w:sz w:val="22"/>
        </w:rPr>
        <w:t>Board</w:t>
      </w:r>
      <w:r>
        <w:rPr>
          <w:rFonts w:ascii="Times New Roman" w:hAnsi="Times New Roman"/>
          <w:color w:val="000000"/>
          <w:sz w:val="20"/>
        </w:rPr>
        <w:t xml:space="preserve">” </w:t>
      </w:r>
      <w:r>
        <w:rPr>
          <w:rFonts w:ascii="Times New Roman" w:hAnsi="Times New Roman"/>
          <w:color w:val="000000"/>
          <w:sz w:val="22"/>
        </w:rPr>
        <w:t>is each Loan Party’s board of directors or equivalent governing body.</w:t>
      </w:r>
    </w:p>
    <w:p>
      <w:pPr>
        <w:pStyle w:val="TextBody"/>
        <w:bidi w:val="0"/>
        <w:spacing w:before="0" w:after="160"/>
        <w:ind w:left="0" w:right="0" w:firstLine="720"/>
        <w:jc w:val="both"/>
        <w:rPr/>
      </w:pPr>
      <w:r>
        <w:rPr>
          <w:color w:val="000000"/>
        </w:rPr>
        <w:t>“</w:t>
      </w:r>
      <w:r>
        <w:rPr>
          <w:rFonts w:ascii="Times New Roman" w:hAnsi="Times New Roman"/>
          <w:b/>
          <w:color w:val="000000"/>
          <w:sz w:val="22"/>
        </w:rPr>
        <w:t>Books</w:t>
      </w:r>
      <w:r>
        <w:rPr>
          <w:rFonts w:ascii="Times New Roman" w:hAnsi="Times New Roman"/>
          <w:color w:val="000000"/>
          <w:sz w:val="20"/>
        </w:rPr>
        <w:t xml:space="preserve">” </w:t>
      </w:r>
      <w:r>
        <w:rPr>
          <w:rFonts w:ascii="Times New Roman" w:hAnsi="Times New Roman"/>
          <w:color w:val="000000"/>
          <w:sz w:val="22"/>
        </w:rPr>
        <w:t>are all of the Loan Parties’ books and records including ledgers, federal and state tax returns, records regarding such Loan Party’s assets or liabilities, the Collateral, business operations or financial condition, and all computer programs or storage or any equipment containing such information.</w:t>
      </w:r>
    </w:p>
    <w:p>
      <w:pPr>
        <w:pStyle w:val="TextBody"/>
        <w:bidi w:val="0"/>
        <w:spacing w:before="0" w:after="160"/>
        <w:ind w:left="0" w:right="0" w:firstLine="720"/>
        <w:jc w:val="both"/>
        <w:rPr/>
      </w:pPr>
      <w:r>
        <w:rPr>
          <w:color w:val="000000"/>
        </w:rPr>
        <w:t>“</w:t>
      </w:r>
      <w:r>
        <w:rPr>
          <w:rFonts w:ascii="Times New Roman" w:hAnsi="Times New Roman"/>
          <w:b/>
          <w:color w:val="000000"/>
          <w:sz w:val="22"/>
        </w:rPr>
        <w:t>Borrower</w:t>
      </w:r>
      <w:r>
        <w:rPr>
          <w:rFonts w:ascii="Times New Roman" w:hAnsi="Times New Roman"/>
          <w:color w:val="000000"/>
          <w:sz w:val="20"/>
        </w:rPr>
        <w:t xml:space="preserve">” </w:t>
      </w:r>
      <w:r>
        <w:rPr>
          <w:rFonts w:ascii="Times New Roman" w:hAnsi="Times New Roman"/>
          <w:color w:val="000000"/>
          <w:sz w:val="22"/>
        </w:rPr>
        <w:t>is defined in the preamble hereof.</w:t>
      </w:r>
    </w:p>
    <w:p>
      <w:pPr>
        <w:pStyle w:val="TextBody"/>
        <w:bidi w:val="0"/>
        <w:spacing w:before="0" w:after="160"/>
        <w:ind w:left="0" w:right="0" w:firstLine="720"/>
        <w:jc w:val="both"/>
        <w:rPr/>
      </w:pPr>
      <w:r>
        <w:rPr>
          <w:color w:val="000000"/>
        </w:rPr>
        <w:t>“</w:t>
      </w:r>
      <w:r>
        <w:rPr>
          <w:rFonts w:ascii="Times New Roman" w:hAnsi="Times New Roman"/>
          <w:b/>
          <w:color w:val="000000"/>
          <w:sz w:val="22"/>
        </w:rPr>
        <w:t>Borrowing Resolutions</w:t>
      </w:r>
      <w:r>
        <w:rPr>
          <w:rFonts w:ascii="Times New Roman" w:hAnsi="Times New Roman"/>
          <w:color w:val="000000"/>
          <w:sz w:val="20"/>
        </w:rPr>
        <w:t xml:space="preserve">” </w:t>
      </w:r>
      <w:r>
        <w:rPr>
          <w:rFonts w:ascii="Times New Roman" w:hAnsi="Times New Roman"/>
          <w:color w:val="000000"/>
          <w:sz w:val="22"/>
        </w:rPr>
        <w:t>are, with respect to any Person, those resolutions adopted by such Person’s board of directors or equivalent governing body (and, if required under the terms of such Person’s Operating Documents, equityholders) and delivered by such Person to Bank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any Credit Extension request, on behalf of such Person, together with a sample of the true signature(s) of such Person(s), and (d) that Bank may conclusively rely on such</w:t>
      </w:r>
      <w:r>
        <w:rPr>
          <w:rFonts w:ascii="Times New Roman" w:hAnsi="Times New Roman"/>
          <w:color w:val="000000"/>
          <w:sz w:val="20"/>
        </w:rPr>
        <w:t xml:space="preserve">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certificate unless and until such Person shall have delivered to Bank a further certificate canceling or amending such prior certificate.</w:t>
      </w:r>
    </w:p>
    <w:p>
      <w:pPr>
        <w:pStyle w:val="TextBody"/>
        <w:bidi w:val="0"/>
        <w:spacing w:before="0" w:after="160"/>
        <w:ind w:left="0" w:right="0" w:firstLine="720"/>
        <w:jc w:val="both"/>
        <w:rPr/>
      </w:pPr>
      <w:r>
        <w:rPr>
          <w:color w:val="000000"/>
        </w:rPr>
        <w:t>“</w:t>
      </w:r>
      <w:r>
        <w:rPr>
          <w:rFonts w:ascii="Times New Roman" w:hAnsi="Times New Roman"/>
          <w:b/>
          <w:color w:val="000000"/>
          <w:sz w:val="22"/>
        </w:rPr>
        <w:t>Business Day</w:t>
      </w:r>
      <w:r>
        <w:rPr>
          <w:rFonts w:ascii="Times New Roman" w:hAnsi="Times New Roman"/>
          <w:color w:val="000000"/>
          <w:sz w:val="20"/>
        </w:rPr>
        <w:t xml:space="preserve">” </w:t>
      </w:r>
      <w:r>
        <w:rPr>
          <w:rFonts w:ascii="Times New Roman" w:hAnsi="Times New Roman"/>
          <w:color w:val="000000"/>
          <w:sz w:val="22"/>
        </w:rPr>
        <w:t>is any day that is not a Saturday, Sunday or a day on which Bank is closed, and if any determination of a “Business Day” shall relate to an FX Contract, the term “Business Day” shall mean a day on which dealings are carried on in the country of settlement of the Foreign Currency.</w:t>
      </w:r>
    </w:p>
    <w:p>
      <w:pPr>
        <w:pStyle w:val="TextBody"/>
        <w:bidi w:val="0"/>
        <w:spacing w:before="0" w:after="160"/>
        <w:ind w:left="0" w:right="0" w:firstLine="720"/>
        <w:jc w:val="both"/>
        <w:rPr/>
      </w:pPr>
      <w:r>
        <w:rPr>
          <w:color w:val="000000"/>
        </w:rPr>
        <w:t>“</w:t>
      </w:r>
      <w:r>
        <w:rPr>
          <w:rFonts w:ascii="Times New Roman" w:hAnsi="Times New Roman"/>
          <w:b/>
          <w:color w:val="000000"/>
          <w:sz w:val="22"/>
        </w:rPr>
        <w:t>Cash Equivalents</w:t>
      </w:r>
      <w:r>
        <w:rPr>
          <w:rFonts w:ascii="Times New Roman" w:hAnsi="Times New Roman"/>
          <w:color w:val="000000"/>
          <w:sz w:val="20"/>
        </w:rPr>
        <w:t xml:space="preserve">” </w:t>
      </w:r>
      <w:r>
        <w:rPr>
          <w:rFonts w:ascii="Times New Roman" w:hAnsi="Times New Roman"/>
          <w:color w:val="000000"/>
          <w:sz w:val="22"/>
        </w:rPr>
        <w:t>are (a) marketable direct obligations issued or unconditionally guaranteed by the United States or any agency or any State thereof having maturities of not more than one (1) year from the date of acquisition; (b) commercial paper maturing no more than one (1) year after its creation and rated at least A-2 by Standard &amp; Poor’s Financial Services LLC, a subsidiary of S&amp;P Global Inc., or at least P-2 by Moody’s Investors Service, Inc., and any of their respective successors; (c) any certificates of deposit (or time deposit represented by a certificate of deposit), overnight bank deposit or banker’s acceptance maturing no more than one (1) year after such time, or any overnight Federal funds transaction; and (d) money market accounts or mutual funds at least ninety-five percent (95.0%) of the assets of which constitute Cash Equivalents of the types described in clauses (a) through (c) of this definition.</w:t>
      </w:r>
    </w:p>
    <w:p>
      <w:pPr>
        <w:pStyle w:val="TextBody"/>
        <w:bidi w:val="0"/>
        <w:spacing w:before="0" w:after="160"/>
        <w:ind w:left="0" w:right="0" w:firstLine="720"/>
        <w:jc w:val="both"/>
        <w:rPr/>
      </w:pPr>
      <w:r>
        <w:rPr>
          <w:color w:val="000000"/>
        </w:rPr>
        <w:t>“</w:t>
      </w:r>
      <w:r>
        <w:rPr>
          <w:rFonts w:ascii="Times New Roman" w:hAnsi="Times New Roman"/>
          <w:b/>
          <w:color w:val="000000"/>
          <w:sz w:val="22"/>
        </w:rPr>
        <w:t>Cash Management Services</w:t>
      </w:r>
      <w:r>
        <w:rPr>
          <w:rFonts w:ascii="Times New Roman" w:hAnsi="Times New Roman"/>
          <w:color w:val="000000"/>
          <w:sz w:val="20"/>
        </w:rPr>
        <w:t xml:space="preserve">” </w:t>
      </w:r>
      <w:r>
        <w:rPr>
          <w:rFonts w:ascii="Times New Roman" w:hAnsi="Times New Roman"/>
          <w:color w:val="000000"/>
          <w:sz w:val="22"/>
        </w:rPr>
        <w:t>means any agreement, arrangement, or facility under which Bank or any Affiliate of Bank provides any of the following products or services to any of the Loan Parties: (a) cash management services for collections, treasury management services (including controlled disbursement, overdraft, automated clearing house fund transfer services, return items and interstate depository network services), any demand deposit, payroll, trust or operating account relationships, credit cards (including, without limitation, commercial credit cards, virtual cards, purchasing cards and business debit cards), non-card e-payables services, and other cash management services, including electronic funds transfer services, lockbox services, stop payment services and wire transfer services.</w:t>
      </w:r>
    </w:p>
    <w:p>
      <w:pPr>
        <w:pStyle w:val="TextBody"/>
        <w:bidi w:val="0"/>
        <w:spacing w:before="0" w:after="160"/>
        <w:ind w:left="0" w:right="0" w:firstLine="720"/>
        <w:jc w:val="both"/>
        <w:rPr/>
      </w:pPr>
      <w:r>
        <w:rPr>
          <w:color w:val="000000"/>
        </w:rPr>
        <w:t>“</w:t>
      </w:r>
      <w:r>
        <w:rPr>
          <w:rFonts w:ascii="Times New Roman" w:hAnsi="Times New Roman"/>
          <w:b/>
          <w:color w:val="000000"/>
          <w:sz w:val="22"/>
        </w:rPr>
        <w:t>Change in Control</w:t>
      </w:r>
      <w:r>
        <w:rPr>
          <w:rFonts w:ascii="Times New Roman" w:hAnsi="Times New Roman"/>
          <w:color w:val="000000"/>
          <w:sz w:val="20"/>
        </w:rPr>
        <w:t xml:space="preserve">” </w:t>
      </w:r>
      <w:r>
        <w:rPr>
          <w:rFonts w:ascii="Times New Roman" w:hAnsi="Times New Roman"/>
          <w:color w:val="000000"/>
          <w:sz w:val="22"/>
        </w:rPr>
        <w:t>means (a) at any time, any “person” or “group” (as such terms are used in Sections 13(d) and 14(d) of the Exchange Act) shall become, or obtain rights (whether by means of warrants, options or otherwise) to become, the “beneficial owner” (as defined in Rules 13(d)-3 and 13(d)-5 under the Exchange Act), directly or indirectly, of forty-nine percent (49.0%) or more of the ordinary voting power for the election of directors of Parent Guarantor (determined on a fully diluted basis) other than by the sale of Parent Guarantor’s equity securities in a public offering; (b) during any period of twelve (12) consecutive months, a majority of the members of the Board of Parent Guarantor cease to be composed of individuals (i) who were members of that Board on the first (1</w:t>
      </w:r>
      <w:r>
        <w:rPr>
          <w:rFonts w:ascii="Times New Roman" w:hAnsi="Times New Roman"/>
          <w:color w:val="000000"/>
          <w:sz w:val="15"/>
        </w:rPr>
        <w:t>st</w:t>
      </w:r>
      <w:r>
        <w:rPr>
          <w:rFonts w:ascii="Times New Roman" w:hAnsi="Times New Roman"/>
          <w:color w:val="000000"/>
          <w:sz w:val="22"/>
        </w:rPr>
        <w:t>) day of such period, (ii) whose election or nomination to that Board was approved by individuals referred to in clause (i) above constituting at the time of such election or nomination at least a majority of that Board or (iii) whose election or nomination to the Board was approved by individuals referred to in clauses (i) and (ii) above constituting at the time of such election or nomination at least a majority of that Board; or (c) except as permitted by Section 7.3 of this Agreement, at any time, any Loan Party shall cease to own and control, of record and beneficially, directly or indirectly, one hundred percent (100.0%) of each class of outstanding stock, partnership, membership, or other ownership interest or other equity securities of each Subsidiary of such Loan Party (other than director’s qualifying shares or other similar shares as required by Applicable Law) free and clear of all Liens (except Permitted Liens).</w:t>
      </w:r>
    </w:p>
    <w:p>
      <w:pPr>
        <w:pStyle w:val="TextBody"/>
        <w:bidi w:val="0"/>
        <w:spacing w:before="0" w:after="160"/>
        <w:ind w:left="0" w:right="0" w:firstLine="720"/>
        <w:jc w:val="both"/>
        <w:rPr/>
      </w:pPr>
      <w:r>
        <w:rPr>
          <w:color w:val="000000"/>
        </w:rPr>
        <w:t>“</w:t>
      </w:r>
      <w:r>
        <w:rPr>
          <w:rFonts w:ascii="Times New Roman" w:hAnsi="Times New Roman"/>
          <w:b/>
          <w:color w:val="000000"/>
          <w:sz w:val="22"/>
        </w:rPr>
        <w:t>Change in Law</w:t>
      </w:r>
      <w:r>
        <w:rPr>
          <w:rFonts w:ascii="Times New Roman" w:hAnsi="Times New Roman"/>
          <w:color w:val="000000"/>
          <w:sz w:val="20"/>
        </w:rPr>
        <w:t xml:space="preserve">” </w:t>
      </w:r>
      <w:r>
        <w:rPr>
          <w:rFonts w:ascii="Times New Roman" w:hAnsi="Times New Roman"/>
          <w:color w:val="000000"/>
          <w:sz w:val="22"/>
        </w:rPr>
        <w:t>is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(i) the Dodd-Frank Wall Street Reform and Consumer Protection Act and all requests, rules, guidelines or directives thereunder or issued in connection therewith and (ii) all requests, rules, guidelines or directives promulgated by Bank for International Settlements, the Basel Committee on Banking Supervision (or any successor or similar authority) or the United States or foreign regulatory</w:t>
      </w:r>
      <w:r>
        <w:rPr>
          <w:rFonts w:ascii="Times New Roman" w:hAnsi="Times New Roman"/>
          <w:color w:val="000000"/>
          <w:sz w:val="20"/>
        </w:rPr>
        <w:t xml:space="preserve">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authorities, in each case pursuant to Basel III, shall in each case be deemed to be a “Change in Law”, regardless of the date enacted, adopted or issued.</w:t>
      </w:r>
    </w:p>
    <w:p>
      <w:pPr>
        <w:pStyle w:val="TextBody"/>
        <w:bidi w:val="0"/>
        <w:spacing w:before="0" w:after="160"/>
        <w:ind w:left="0" w:right="0" w:firstLine="720"/>
        <w:jc w:val="both"/>
        <w:rPr/>
      </w:pPr>
      <w:r>
        <w:rPr>
          <w:color w:val="000000"/>
        </w:rPr>
        <w:t>“</w:t>
      </w:r>
      <w:r>
        <w:rPr>
          <w:rFonts w:ascii="Times New Roman" w:hAnsi="Times New Roman"/>
          <w:b/>
          <w:color w:val="000000"/>
          <w:sz w:val="22"/>
        </w:rPr>
        <w:t>Claims</w:t>
      </w:r>
      <w:r>
        <w:rPr>
          <w:rFonts w:ascii="Times New Roman" w:hAnsi="Times New Roman"/>
          <w:color w:val="000000"/>
          <w:sz w:val="20"/>
        </w:rPr>
        <w:t xml:space="preserve">” </w:t>
      </w:r>
      <w:r>
        <w:rPr>
          <w:rFonts w:ascii="Times New Roman" w:hAnsi="Times New Roman"/>
          <w:color w:val="000000"/>
          <w:sz w:val="22"/>
        </w:rPr>
        <w:t>is defined in Section 12.4.</w:t>
      </w:r>
    </w:p>
    <w:p>
      <w:pPr>
        <w:pStyle w:val="TextBody"/>
        <w:bidi w:val="0"/>
        <w:spacing w:before="0" w:after="160"/>
        <w:ind w:left="0" w:right="0" w:firstLine="720"/>
        <w:jc w:val="both"/>
        <w:rPr/>
      </w:pPr>
      <w:r>
        <w:rPr>
          <w:color w:val="000000"/>
        </w:rPr>
        <w:t>“</w:t>
      </w:r>
      <w:r>
        <w:rPr>
          <w:rFonts w:ascii="Times New Roman" w:hAnsi="Times New Roman"/>
          <w:b/>
          <w:color w:val="000000"/>
          <w:sz w:val="22"/>
        </w:rPr>
        <w:t>Code</w:t>
      </w:r>
      <w:r>
        <w:rPr>
          <w:rFonts w:ascii="Times New Roman" w:hAnsi="Times New Roman"/>
          <w:color w:val="000000"/>
          <w:sz w:val="20"/>
        </w:rPr>
        <w:t xml:space="preserve">” </w:t>
      </w:r>
      <w:r>
        <w:rPr>
          <w:rFonts w:ascii="Times New Roman" w:hAnsi="Times New Roman"/>
          <w:color w:val="000000"/>
          <w:sz w:val="22"/>
        </w:rPr>
        <w:t>is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r>
        <w:rPr>
          <w:rFonts w:ascii="Times New Roman" w:hAnsi="Times New Roman"/>
          <w:color w:val="000000"/>
          <w:sz w:val="20"/>
        </w:rPr>
        <w:t xml:space="preserve"> </w:t>
      </w:r>
    </w:p>
    <w:p>
      <w:pPr>
        <w:pStyle w:val="TextBody"/>
        <w:bidi w:val="0"/>
        <w:spacing w:before="0" w:after="160"/>
        <w:ind w:left="0" w:right="0" w:firstLine="720"/>
        <w:jc w:val="both"/>
        <w:rPr/>
      </w:pPr>
      <w:r>
        <w:rPr>
          <w:color w:val="000000"/>
        </w:rPr>
        <w:t>“</w:t>
      </w:r>
      <w:r>
        <w:rPr>
          <w:rFonts w:ascii="Times New Roman" w:hAnsi="Times New Roman"/>
          <w:b/>
          <w:color w:val="000000"/>
          <w:sz w:val="22"/>
        </w:rPr>
        <w:t>Collateral</w:t>
      </w:r>
      <w:r>
        <w:rPr>
          <w:rFonts w:ascii="Times New Roman" w:hAnsi="Times New Roman"/>
          <w:color w:val="000000"/>
          <w:sz w:val="20"/>
        </w:rPr>
        <w:t xml:space="preserve">” </w:t>
      </w:r>
      <w:r>
        <w:rPr>
          <w:rFonts w:ascii="Times New Roman" w:hAnsi="Times New Roman"/>
          <w:color w:val="000000"/>
          <w:sz w:val="22"/>
        </w:rPr>
        <w:t xml:space="preserve">is any and all properties, rights and assets of the Loan Parties described on </w:t>
      </w:r>
      <w:r>
        <w:rPr>
          <w:rFonts w:ascii="Times New Roman" w:hAnsi="Times New Roman"/>
          <w:color w:val="000000"/>
          <w:sz w:val="22"/>
          <w:u w:val="single"/>
        </w:rPr>
        <w:t>Exhibit A</w:t>
      </w:r>
      <w:r>
        <w:rPr>
          <w:rFonts w:ascii="Times New Roman" w:hAnsi="Times New Roman"/>
          <w:color w:val="000000"/>
          <w:sz w:val="22"/>
        </w:rPr>
        <w:t>.</w:t>
      </w:r>
    </w:p>
    <w:p>
      <w:pPr>
        <w:pStyle w:val="TextBody"/>
        <w:bidi w:val="0"/>
        <w:spacing w:before="0" w:after="160"/>
        <w:ind w:left="0" w:right="0" w:firstLine="720"/>
        <w:jc w:val="both"/>
        <w:rPr/>
      </w:pPr>
      <w:r>
        <w:rPr>
          <w:color w:val="000000"/>
        </w:rPr>
        <w:t>“</w:t>
      </w:r>
      <w:r>
        <w:rPr>
          <w:rFonts w:ascii="Times New Roman" w:hAnsi="Times New Roman"/>
          <w:b/>
          <w:color w:val="000000"/>
          <w:sz w:val="22"/>
        </w:rPr>
        <w:t>Collateral Account</w:t>
      </w:r>
      <w:r>
        <w:rPr>
          <w:rFonts w:ascii="Times New Roman" w:hAnsi="Times New Roman"/>
          <w:color w:val="000000"/>
          <w:sz w:val="20"/>
        </w:rPr>
        <w:t xml:space="preserve">” </w:t>
      </w:r>
      <w:r>
        <w:rPr>
          <w:rFonts w:ascii="Times New Roman" w:hAnsi="Times New Roman"/>
          <w:color w:val="000000"/>
          <w:sz w:val="22"/>
        </w:rPr>
        <w:t>is any Deposit Account, Securities Account, or Commodity Account.</w:t>
      </w:r>
    </w:p>
    <w:p>
      <w:pPr>
        <w:pStyle w:val="TextBody"/>
        <w:bidi w:val="0"/>
        <w:spacing w:before="0" w:after="160"/>
        <w:ind w:left="0" w:right="0" w:firstLine="720"/>
        <w:jc w:val="both"/>
        <w:rPr/>
      </w:pPr>
      <w:r>
        <w:rPr>
          <w:color w:val="000000"/>
        </w:rPr>
        <w:t>“</w:t>
      </w:r>
      <w:r>
        <w:rPr>
          <w:rFonts w:ascii="Times New Roman" w:hAnsi="Times New Roman"/>
          <w:b/>
          <w:color w:val="000000"/>
          <w:sz w:val="22"/>
        </w:rPr>
        <w:t>Commodity Account</w:t>
      </w:r>
      <w:r>
        <w:rPr>
          <w:rFonts w:ascii="Times New Roman" w:hAnsi="Times New Roman"/>
          <w:color w:val="000000"/>
          <w:sz w:val="20"/>
        </w:rPr>
        <w:t xml:space="preserve">” </w:t>
      </w:r>
      <w:r>
        <w:rPr>
          <w:rFonts w:ascii="Times New Roman" w:hAnsi="Times New Roman"/>
          <w:color w:val="000000"/>
          <w:sz w:val="22"/>
        </w:rPr>
        <w:t>is any “commodity account” as defined in the Code with such additions to such term as may hereafter be made.</w:t>
      </w:r>
    </w:p>
    <w:p>
      <w:pPr>
        <w:pStyle w:val="TextBody"/>
        <w:bidi w:val="0"/>
        <w:spacing w:before="0" w:after="160"/>
        <w:ind w:left="0" w:right="0" w:firstLine="720"/>
        <w:jc w:val="both"/>
        <w:rPr/>
      </w:pPr>
      <w:r>
        <w:rPr>
          <w:color w:val="000000"/>
        </w:rPr>
        <w:t>“</w:t>
      </w:r>
      <w:r>
        <w:rPr>
          <w:rFonts w:ascii="Times New Roman" w:hAnsi="Times New Roman"/>
          <w:b/>
          <w:color w:val="000000"/>
          <w:sz w:val="22"/>
        </w:rPr>
        <w:t>Compliance Certificate</w:t>
      </w:r>
      <w:r>
        <w:rPr>
          <w:rFonts w:ascii="Times New Roman" w:hAnsi="Times New Roman"/>
          <w:color w:val="000000"/>
          <w:sz w:val="20"/>
        </w:rPr>
        <w:t xml:space="preserve">” </w:t>
      </w:r>
      <w:r>
        <w:rPr>
          <w:rFonts w:ascii="Times New Roman" w:hAnsi="Times New Roman"/>
          <w:color w:val="000000"/>
          <w:sz w:val="22"/>
        </w:rPr>
        <w:t xml:space="preserve">is that certain certificate in the form attached hereto as </w:t>
      </w:r>
      <w:r>
        <w:rPr>
          <w:rFonts w:ascii="Times New Roman" w:hAnsi="Times New Roman"/>
          <w:color w:val="000000"/>
          <w:sz w:val="22"/>
          <w:u w:val="single"/>
        </w:rPr>
        <w:t>Exhibit B</w:t>
      </w:r>
      <w:r>
        <w:rPr>
          <w:rFonts w:ascii="Times New Roman" w:hAnsi="Times New Roman"/>
          <w:color w:val="000000"/>
          <w:sz w:val="22"/>
        </w:rPr>
        <w:t>.</w:t>
      </w:r>
    </w:p>
    <w:p>
      <w:pPr>
        <w:pStyle w:val="TextBody"/>
        <w:bidi w:val="0"/>
        <w:spacing w:before="0" w:after="160"/>
        <w:ind w:left="0" w:right="0" w:firstLine="720"/>
        <w:jc w:val="both"/>
        <w:rPr/>
      </w:pPr>
      <w:r>
        <w:rPr>
          <w:color w:val="000000"/>
        </w:rPr>
        <w:t>“</w:t>
      </w:r>
      <w:r>
        <w:rPr>
          <w:rFonts w:ascii="Times New Roman" w:hAnsi="Times New Roman"/>
          <w:b/>
          <w:color w:val="000000"/>
          <w:sz w:val="22"/>
        </w:rPr>
        <w:t>Control Agreement</w:t>
      </w:r>
      <w:r>
        <w:rPr>
          <w:rFonts w:ascii="Times New Roman" w:hAnsi="Times New Roman"/>
          <w:color w:val="000000"/>
          <w:sz w:val="20"/>
        </w:rPr>
        <w:t xml:space="preserve">” </w:t>
      </w:r>
      <w:r>
        <w:rPr>
          <w:rFonts w:ascii="Times New Roman" w:hAnsi="Times New Roman"/>
          <w:color w:val="000000"/>
          <w:sz w:val="22"/>
        </w:rPr>
        <w:t>is any control agreement entered into among the depository institution at which a Loan Party maintains a Deposit Account or the securities intermediary or commodity intermediary at which a Loan Party maintains a Securities Account or a Commodity Account, such Loan Party, and Bank pursuant to which Bank obtains control (within the meaning of the Code) over such Deposit Account, Securities Account, or Commodity Account.</w:t>
      </w:r>
    </w:p>
    <w:p>
      <w:pPr>
        <w:pStyle w:val="TextBody"/>
        <w:bidi w:val="0"/>
        <w:spacing w:before="0" w:after="160"/>
        <w:ind w:left="0" w:right="0" w:firstLine="720"/>
        <w:jc w:val="both"/>
        <w:rPr/>
      </w:pPr>
      <w:r>
        <w:rPr>
          <w:color w:val="000000"/>
        </w:rPr>
        <w:t>“</w:t>
      </w:r>
      <w:r>
        <w:rPr>
          <w:rFonts w:ascii="Times New Roman" w:hAnsi="Times New Roman"/>
          <w:b/>
          <w:color w:val="000000"/>
          <w:sz w:val="22"/>
        </w:rPr>
        <w:t>Copyrights</w:t>
      </w:r>
      <w:r>
        <w:rPr>
          <w:rFonts w:ascii="Times New Roman" w:hAnsi="Times New Roman"/>
          <w:color w:val="000000"/>
          <w:sz w:val="20"/>
        </w:rPr>
        <w:t xml:space="preserve">” </w:t>
      </w:r>
      <w:r>
        <w:rPr>
          <w:rFonts w:ascii="Times New Roman" w:hAnsi="Times New Roman"/>
          <w:color w:val="000000"/>
          <w:sz w:val="22"/>
        </w:rPr>
        <w:t>are any and all copyright rights, copyright applications, copyright registrations and like protections in each work of authorship and derivative work thereof, whether published or unpublished and whether or not the same also constitutes a trade secret.</w:t>
      </w:r>
    </w:p>
    <w:p>
      <w:pPr>
        <w:pStyle w:val="TextBody"/>
        <w:bidi w:val="0"/>
        <w:spacing w:before="0" w:after="160"/>
        <w:ind w:left="0" w:right="0" w:firstLine="720"/>
        <w:jc w:val="both"/>
        <w:rPr/>
      </w:pPr>
      <w:r>
        <w:rPr>
          <w:color w:val="000000"/>
        </w:rPr>
        <w:t>“</w:t>
      </w:r>
      <w:r>
        <w:rPr>
          <w:rFonts w:ascii="Times New Roman" w:hAnsi="Times New Roman"/>
          <w:b/>
          <w:color w:val="000000"/>
          <w:sz w:val="22"/>
        </w:rPr>
        <w:t>Credit Card Collateral Accounts</w:t>
      </w:r>
      <w:r>
        <w:rPr>
          <w:rFonts w:ascii="Times New Roman" w:hAnsi="Times New Roman"/>
          <w:color w:val="000000"/>
          <w:sz w:val="20"/>
        </w:rPr>
        <w:t xml:space="preserve">” </w:t>
      </w:r>
      <w:r>
        <w:rPr>
          <w:rFonts w:ascii="Times New Roman" w:hAnsi="Times New Roman"/>
          <w:color w:val="000000"/>
          <w:sz w:val="22"/>
        </w:rPr>
        <w:t>is defined in clause is defined in clause (m) of the definition of Permitted Liens.</w:t>
      </w:r>
      <w:r>
        <w:rPr>
          <w:rFonts w:ascii="Times New Roman" w:hAnsi="Times New Roman"/>
          <w:color w:val="000000"/>
          <w:sz w:val="20"/>
        </w:rPr>
        <w:t xml:space="preserve"> </w:t>
      </w:r>
    </w:p>
    <w:p>
      <w:pPr>
        <w:pStyle w:val="TextBody"/>
        <w:bidi w:val="0"/>
        <w:spacing w:before="0" w:after="160"/>
        <w:ind w:left="0" w:right="0" w:firstLine="720"/>
        <w:jc w:val="both"/>
        <w:rPr/>
      </w:pPr>
      <w:r>
        <w:rPr>
          <w:color w:val="000000"/>
        </w:rPr>
        <w:t>“</w:t>
      </w:r>
      <w:r>
        <w:rPr>
          <w:rFonts w:ascii="Times New Roman" w:hAnsi="Times New Roman"/>
          <w:b/>
          <w:color w:val="000000"/>
          <w:sz w:val="22"/>
        </w:rPr>
        <w:t>Credit Extension</w:t>
      </w:r>
      <w:r>
        <w:rPr>
          <w:rFonts w:ascii="Times New Roman" w:hAnsi="Times New Roman"/>
          <w:color w:val="000000"/>
          <w:sz w:val="20"/>
        </w:rPr>
        <w:t xml:space="preserve">” </w:t>
      </w:r>
      <w:r>
        <w:rPr>
          <w:rFonts w:ascii="Times New Roman" w:hAnsi="Times New Roman"/>
          <w:color w:val="000000"/>
          <w:sz w:val="22"/>
        </w:rPr>
        <w:t>is any Term Loan Advance or any other extension of credit under the Loan Documents by Bank and/or an Affiliate of Bank for Borrower’s benefit.</w:t>
      </w:r>
    </w:p>
    <w:p>
      <w:pPr>
        <w:pStyle w:val="TextBody"/>
        <w:bidi w:val="0"/>
        <w:spacing w:before="0" w:after="160"/>
        <w:ind w:left="0" w:right="0" w:firstLine="720"/>
        <w:jc w:val="both"/>
        <w:rPr/>
      </w:pPr>
      <w:r>
        <w:rPr>
          <w:color w:val="000000"/>
        </w:rPr>
        <w:t>“</w:t>
      </w:r>
      <w:r>
        <w:rPr>
          <w:rFonts w:ascii="Times New Roman" w:hAnsi="Times New Roman"/>
          <w:b/>
          <w:color w:val="000000"/>
          <w:sz w:val="22"/>
        </w:rPr>
        <w:t>Default</w:t>
      </w:r>
      <w:r>
        <w:rPr>
          <w:rFonts w:ascii="Times New Roman" w:hAnsi="Times New Roman"/>
          <w:color w:val="000000"/>
          <w:sz w:val="20"/>
        </w:rPr>
        <w:t xml:space="preserve">” </w:t>
      </w:r>
      <w:r>
        <w:rPr>
          <w:rFonts w:ascii="Times New Roman" w:hAnsi="Times New Roman"/>
          <w:color w:val="000000"/>
          <w:sz w:val="22"/>
        </w:rPr>
        <w:t>is any event which with notice or passage of time or both, would constitute an Event of Default.</w:t>
      </w:r>
    </w:p>
    <w:p>
      <w:pPr>
        <w:pStyle w:val="TextBody"/>
        <w:bidi w:val="0"/>
        <w:spacing w:before="0" w:after="160"/>
        <w:ind w:left="0" w:right="0" w:firstLine="720"/>
        <w:jc w:val="both"/>
        <w:rPr/>
      </w:pPr>
      <w:r>
        <w:rPr>
          <w:color w:val="000000"/>
        </w:rPr>
        <w:t>“</w:t>
      </w:r>
      <w:r>
        <w:rPr>
          <w:rFonts w:ascii="Times New Roman" w:hAnsi="Times New Roman"/>
          <w:b/>
          <w:color w:val="000000"/>
          <w:sz w:val="22"/>
        </w:rPr>
        <w:t>Default Rate</w:t>
      </w:r>
      <w:r>
        <w:rPr>
          <w:rFonts w:ascii="Times New Roman" w:hAnsi="Times New Roman"/>
          <w:color w:val="000000"/>
          <w:sz w:val="20"/>
        </w:rPr>
        <w:t xml:space="preserve">” </w:t>
      </w:r>
      <w:r>
        <w:rPr>
          <w:rFonts w:ascii="Times New Roman" w:hAnsi="Times New Roman"/>
          <w:color w:val="000000"/>
          <w:sz w:val="22"/>
        </w:rPr>
        <w:t>is defined in Section 2.3(b).</w:t>
      </w:r>
    </w:p>
    <w:p>
      <w:pPr>
        <w:pStyle w:val="TextBody"/>
        <w:bidi w:val="0"/>
        <w:spacing w:before="0" w:after="160"/>
        <w:ind w:left="0" w:right="0" w:firstLine="720"/>
        <w:jc w:val="both"/>
        <w:rPr/>
      </w:pPr>
      <w:r>
        <w:rPr>
          <w:color w:val="000000"/>
        </w:rPr>
        <w:t>“</w:t>
      </w:r>
      <w:r>
        <w:rPr>
          <w:rFonts w:ascii="Times New Roman" w:hAnsi="Times New Roman"/>
          <w:b/>
          <w:color w:val="000000"/>
          <w:sz w:val="22"/>
        </w:rPr>
        <w:t>Deposit Account</w:t>
      </w:r>
      <w:r>
        <w:rPr>
          <w:rFonts w:ascii="Times New Roman" w:hAnsi="Times New Roman"/>
          <w:color w:val="000000"/>
          <w:sz w:val="20"/>
        </w:rPr>
        <w:t xml:space="preserve">” </w:t>
      </w:r>
      <w:r>
        <w:rPr>
          <w:rFonts w:ascii="Times New Roman" w:hAnsi="Times New Roman"/>
          <w:color w:val="000000"/>
          <w:sz w:val="22"/>
        </w:rPr>
        <w:t>is any “deposit account” as defined in the Code with such additions to such term as may hereafter be made.</w:t>
      </w:r>
    </w:p>
    <w:p>
      <w:pPr>
        <w:pStyle w:val="TextBody"/>
        <w:bidi w:val="0"/>
        <w:spacing w:before="0" w:after="160"/>
        <w:ind w:left="0" w:right="0" w:firstLine="720"/>
        <w:jc w:val="both"/>
        <w:rPr/>
      </w:pPr>
      <w:r>
        <w:rPr>
          <w:color w:val="000000"/>
        </w:rPr>
        <w:t>“</w:t>
      </w:r>
      <w:r>
        <w:rPr>
          <w:rFonts w:ascii="Times New Roman" w:hAnsi="Times New Roman"/>
          <w:b/>
          <w:color w:val="000000"/>
          <w:sz w:val="22"/>
        </w:rPr>
        <w:t>Designated Deposit Account</w:t>
      </w:r>
      <w:r>
        <w:rPr>
          <w:rFonts w:ascii="Times New Roman" w:hAnsi="Times New Roman"/>
          <w:color w:val="000000"/>
          <w:sz w:val="20"/>
        </w:rPr>
        <w:t xml:space="preserve">” </w:t>
      </w:r>
      <w:r>
        <w:rPr>
          <w:rFonts w:ascii="Times New Roman" w:hAnsi="Times New Roman"/>
          <w:color w:val="000000"/>
          <w:sz w:val="22"/>
        </w:rPr>
        <w:t>is the account denominated in Dollars, account number ending 5776, maintained by Borrower with HSBC Bank USA, N.A.</w:t>
      </w:r>
    </w:p>
    <w:p>
      <w:pPr>
        <w:pStyle w:val="TextBody"/>
        <w:bidi w:val="0"/>
        <w:spacing w:before="0" w:after="160"/>
        <w:ind w:left="0" w:right="0" w:firstLine="720"/>
        <w:jc w:val="both"/>
        <w:rPr/>
      </w:pPr>
      <w:r>
        <w:rPr>
          <w:color w:val="000000"/>
        </w:rPr>
        <w:t>“</w:t>
      </w:r>
      <w:r>
        <w:rPr>
          <w:rFonts w:ascii="Times New Roman" w:hAnsi="Times New Roman"/>
          <w:b/>
          <w:color w:val="000000"/>
          <w:sz w:val="22"/>
        </w:rPr>
        <w:t>Division</w:t>
      </w:r>
      <w:r>
        <w:rPr>
          <w:rFonts w:ascii="Times New Roman" w:hAnsi="Times New Roman"/>
          <w:color w:val="000000"/>
          <w:sz w:val="20"/>
        </w:rPr>
        <w:t xml:space="preserve">” </w:t>
      </w:r>
      <w:r>
        <w:rPr>
          <w:rFonts w:ascii="Times New Roman" w:hAnsi="Times New Roman"/>
          <w:color w:val="000000"/>
          <w:sz w:val="22"/>
        </w:rPr>
        <w:t>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Section</w:t>
      </w:r>
      <w:r>
        <w:rPr>
          <w:rFonts w:ascii="Times New Roman" w:hAnsi="Times New Roman"/>
          <w:color w:val="000000"/>
          <w:sz w:val="20"/>
        </w:rPr>
        <w:t xml:space="preserve">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17-220 of the Delaware Revised Uniform Limited Partnership Act for limited partnerships formed under Delaware law, or any analogous action taken pursuant to any other Applicable Law with respect to any corporation, limited liability company, partnership or other entity.</w:t>
      </w:r>
    </w:p>
    <w:p>
      <w:pPr>
        <w:pStyle w:val="TextBody"/>
        <w:bidi w:val="0"/>
        <w:spacing w:before="0" w:after="160"/>
        <w:ind w:left="0" w:right="0" w:firstLine="720"/>
        <w:jc w:val="both"/>
        <w:rPr/>
      </w:pPr>
      <w:r>
        <w:rPr>
          <w:color w:val="000000"/>
        </w:rPr>
        <w:t>“</w:t>
      </w:r>
      <w:r>
        <w:rPr>
          <w:rFonts w:ascii="Times New Roman" w:hAnsi="Times New Roman"/>
          <w:b/>
          <w:color w:val="000000"/>
          <w:sz w:val="22"/>
        </w:rPr>
        <w:t>Dollars</w:t>
      </w:r>
      <w:r>
        <w:rPr>
          <w:rFonts w:ascii="Times New Roman" w:hAnsi="Times New Roman"/>
          <w:color w:val="000000"/>
          <w:sz w:val="22"/>
        </w:rPr>
        <w:t>,” “</w:t>
      </w:r>
      <w:r>
        <w:rPr>
          <w:rFonts w:ascii="Times New Roman" w:hAnsi="Times New Roman"/>
          <w:b/>
          <w:color w:val="000000"/>
          <w:sz w:val="22"/>
        </w:rPr>
        <w:t>dollars</w:t>
      </w:r>
      <w:r>
        <w:rPr>
          <w:rFonts w:ascii="Times New Roman" w:hAnsi="Times New Roman"/>
          <w:color w:val="000000"/>
          <w:sz w:val="20"/>
        </w:rPr>
        <w:t xml:space="preserve">” </w:t>
      </w:r>
      <w:r>
        <w:rPr>
          <w:rFonts w:ascii="Times New Roman" w:hAnsi="Times New Roman"/>
          <w:color w:val="000000"/>
          <w:sz w:val="22"/>
        </w:rPr>
        <w:t>or use of the sign “</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are only lawful money of the United States and not any other currency, regardless of whether that currency uses the “$” sign to denote its currency or may be readily converted into lawful money of the United States.</w:t>
      </w:r>
    </w:p>
    <w:p>
      <w:pPr>
        <w:pStyle w:val="TextBody"/>
        <w:bidi w:val="0"/>
        <w:spacing w:before="0" w:after="160"/>
        <w:ind w:left="0" w:right="0" w:firstLine="720"/>
        <w:jc w:val="both"/>
        <w:rPr/>
      </w:pPr>
      <w:r>
        <w:rPr>
          <w:color w:val="000000"/>
        </w:rPr>
        <w:t>“</w:t>
      </w:r>
      <w:r>
        <w:rPr>
          <w:rFonts w:ascii="Times New Roman" w:hAnsi="Times New Roman"/>
          <w:b/>
          <w:color w:val="000000"/>
          <w:sz w:val="22"/>
        </w:rPr>
        <w:t>Dollar Equivalent</w:t>
      </w:r>
      <w:r>
        <w:rPr>
          <w:rFonts w:ascii="Times New Roman" w:hAnsi="Times New Roman"/>
          <w:color w:val="000000"/>
          <w:sz w:val="20"/>
        </w:rPr>
        <w:t xml:space="preserve">” </w:t>
      </w:r>
      <w:r>
        <w:rPr>
          <w:rFonts w:ascii="Times New Roman" w:hAnsi="Times New Roman"/>
          <w:color w:val="000000"/>
          <w:sz w:val="22"/>
        </w:rPr>
        <w:t>is, at any time, (a) with respect to any amount denominated in Dollars, such amount, and (b) with respect to any amount denominated in a Foreign Currency, the equivalent amount therefor in Dollars as determined by Bank at such time on the basis of the then-prevailing rate of exchange in New York, New York, for sales of the Foreign Currency for transfer to the country issuing such Foreign Currency.</w:t>
      </w:r>
    </w:p>
    <w:p>
      <w:pPr>
        <w:pStyle w:val="TextBody"/>
        <w:bidi w:val="0"/>
        <w:spacing w:before="0" w:after="160"/>
        <w:ind w:left="0" w:right="0" w:firstLine="720"/>
        <w:jc w:val="both"/>
        <w:rPr/>
      </w:pPr>
      <w:r>
        <w:rPr>
          <w:color w:val="000000"/>
        </w:rPr>
        <w:t>“</w:t>
      </w:r>
      <w:r>
        <w:rPr>
          <w:rFonts w:ascii="Times New Roman" w:hAnsi="Times New Roman"/>
          <w:b/>
          <w:color w:val="000000"/>
          <w:sz w:val="22"/>
        </w:rPr>
        <w:t>Domestic Subsidiary</w:t>
      </w:r>
      <w:r>
        <w:rPr>
          <w:rFonts w:ascii="Times New Roman" w:hAnsi="Times New Roman"/>
          <w:color w:val="000000"/>
          <w:sz w:val="20"/>
        </w:rPr>
        <w:t xml:space="preserve">” </w:t>
      </w:r>
      <w:r>
        <w:rPr>
          <w:rFonts w:ascii="Times New Roman" w:hAnsi="Times New Roman"/>
          <w:color w:val="000000"/>
          <w:sz w:val="22"/>
        </w:rPr>
        <w:t>is a Subsidiary organized under the laws of the United States or any state or territory thereof or the District of Columbia other than (a) any Subsidiary all or substantially all of whose assets consist of equity securities of (or debt obligations owed or treated as owed by such) controlled foreign corporations (as defined in Section 957 of the IRC) and (b) any Subsidiary that is a direct or indirect Subsidiary of a Subsidiary that is a controlled foreign corporation (as defined in Section 957 of the IRC).</w:t>
      </w:r>
    </w:p>
    <w:p>
      <w:pPr>
        <w:pStyle w:val="TextBody"/>
        <w:bidi w:val="0"/>
        <w:spacing w:before="0" w:after="160"/>
        <w:ind w:left="0" w:right="0" w:firstLine="720"/>
        <w:jc w:val="both"/>
        <w:rPr/>
      </w:pPr>
      <w:r>
        <w:rPr>
          <w:color w:val="000000"/>
        </w:rPr>
        <w:t>“</w:t>
      </w:r>
      <w:r>
        <w:rPr>
          <w:rFonts w:ascii="Times New Roman" w:hAnsi="Times New Roman"/>
          <w:b/>
          <w:color w:val="000000"/>
          <w:sz w:val="22"/>
        </w:rPr>
        <w:t>Draw Period A</w:t>
      </w:r>
      <w:r>
        <w:rPr>
          <w:rFonts w:ascii="Times New Roman" w:hAnsi="Times New Roman"/>
          <w:color w:val="000000"/>
          <w:sz w:val="20"/>
        </w:rPr>
        <w:t xml:space="preserve">” </w:t>
      </w:r>
      <w:r>
        <w:rPr>
          <w:rFonts w:ascii="Times New Roman" w:hAnsi="Times New Roman"/>
          <w:color w:val="000000"/>
          <w:sz w:val="22"/>
        </w:rPr>
        <w:t>is the period of time commencing upon the Effective Date and continuing through the earlier to occur of (a) June 30, 2028 or (b) an Event of Default.</w:t>
      </w:r>
    </w:p>
    <w:p>
      <w:pPr>
        <w:pStyle w:val="TextBody"/>
        <w:bidi w:val="0"/>
        <w:spacing w:before="0" w:after="160"/>
        <w:ind w:left="0" w:right="0" w:firstLine="720"/>
        <w:jc w:val="both"/>
        <w:rPr/>
      </w:pPr>
      <w:r>
        <w:rPr>
          <w:color w:val="000000"/>
        </w:rPr>
        <w:t>“</w:t>
      </w:r>
      <w:r>
        <w:rPr>
          <w:rFonts w:ascii="Times New Roman" w:hAnsi="Times New Roman"/>
          <w:b/>
          <w:color w:val="000000"/>
          <w:sz w:val="22"/>
        </w:rPr>
        <w:t>Draw Period B</w:t>
      </w:r>
      <w:r>
        <w:rPr>
          <w:rFonts w:ascii="Times New Roman" w:hAnsi="Times New Roman"/>
          <w:color w:val="000000"/>
          <w:sz w:val="20"/>
        </w:rPr>
        <w:t xml:space="preserve">” </w:t>
      </w:r>
      <w:r>
        <w:rPr>
          <w:rFonts w:ascii="Times New Roman" w:hAnsi="Times New Roman"/>
          <w:color w:val="000000"/>
          <w:sz w:val="22"/>
        </w:rPr>
        <w:t>is the period of time commencing upon the occurrence of the Term B Milestone Event and continuing through the earlier to occur of (a) June 30, 2028 or (b) an Event of Default.</w:t>
      </w:r>
    </w:p>
    <w:p>
      <w:pPr>
        <w:pStyle w:val="TextBody"/>
        <w:bidi w:val="0"/>
        <w:spacing w:before="0" w:after="160"/>
        <w:ind w:left="0" w:right="0" w:firstLine="720"/>
        <w:jc w:val="both"/>
        <w:rPr/>
      </w:pPr>
      <w:r>
        <w:rPr>
          <w:color w:val="000000"/>
        </w:rPr>
        <w:t>“</w:t>
      </w:r>
      <w:r>
        <w:rPr>
          <w:rFonts w:ascii="Times New Roman" w:hAnsi="Times New Roman"/>
          <w:b/>
          <w:color w:val="000000"/>
          <w:sz w:val="22"/>
        </w:rPr>
        <w:t>Draw Period C</w:t>
      </w:r>
      <w:r>
        <w:rPr>
          <w:rFonts w:ascii="Times New Roman" w:hAnsi="Times New Roman"/>
          <w:color w:val="000000"/>
          <w:sz w:val="20"/>
        </w:rPr>
        <w:t xml:space="preserve">” </w:t>
      </w:r>
      <w:r>
        <w:rPr>
          <w:rFonts w:ascii="Times New Roman" w:hAnsi="Times New Roman"/>
          <w:color w:val="000000"/>
          <w:sz w:val="22"/>
        </w:rPr>
        <w:t>is the period of time commencing upon the occurrence of the Term C Milestone Event and continuing through the earlier to occur of (a) June 30, 2028 or (b) an Event of Default.</w:t>
      </w:r>
    </w:p>
    <w:p>
      <w:pPr>
        <w:pStyle w:val="TextBody"/>
        <w:bidi w:val="0"/>
        <w:spacing w:before="0" w:after="160"/>
        <w:ind w:left="0" w:right="0" w:firstLine="720"/>
        <w:jc w:val="both"/>
        <w:rPr/>
      </w:pPr>
      <w:r>
        <w:rPr>
          <w:color w:val="000000"/>
        </w:rPr>
        <w:t>“</w:t>
      </w:r>
      <w:r>
        <w:rPr>
          <w:rFonts w:ascii="Times New Roman" w:hAnsi="Times New Roman"/>
          <w:b/>
          <w:color w:val="000000"/>
          <w:sz w:val="22"/>
        </w:rPr>
        <w:t>EEA Financial Institution</w:t>
      </w:r>
      <w:r>
        <w:rPr>
          <w:rFonts w:ascii="Times New Roman" w:hAnsi="Times New Roman"/>
          <w:color w:val="000000"/>
          <w:sz w:val="20"/>
        </w:rPr>
        <w:t xml:space="preserve">” </w:t>
      </w:r>
      <w:r>
        <w:rPr>
          <w:rFonts w:ascii="Times New Roman" w:hAnsi="Times New Roman"/>
          <w:color w:val="000000"/>
          <w:sz w:val="22"/>
        </w:rPr>
        <w:t>is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160"/>
        <w:ind w:left="0" w:right="0" w:firstLine="720"/>
        <w:jc w:val="both"/>
        <w:rPr/>
      </w:pPr>
      <w:r>
        <w:rPr>
          <w:color w:val="000000"/>
        </w:rPr>
        <w:t>“</w:t>
      </w:r>
      <w:r>
        <w:rPr>
          <w:rFonts w:ascii="Times New Roman" w:hAnsi="Times New Roman"/>
          <w:b/>
          <w:color w:val="000000"/>
          <w:sz w:val="22"/>
        </w:rPr>
        <w:t>EEA Member Country</w:t>
      </w:r>
      <w:r>
        <w:rPr>
          <w:rFonts w:ascii="Times New Roman" w:hAnsi="Times New Roman"/>
          <w:color w:val="000000"/>
          <w:sz w:val="20"/>
        </w:rPr>
        <w:t xml:space="preserve">” </w:t>
      </w:r>
      <w:r>
        <w:rPr>
          <w:rFonts w:ascii="Times New Roman" w:hAnsi="Times New Roman"/>
          <w:color w:val="000000"/>
          <w:sz w:val="22"/>
        </w:rPr>
        <w:t>is any of the member states of the European Union, Iceland, Liechtenstein, and Norway.</w:t>
      </w:r>
    </w:p>
    <w:p>
      <w:pPr>
        <w:pStyle w:val="TextBody"/>
        <w:bidi w:val="0"/>
        <w:spacing w:before="0" w:after="160"/>
        <w:ind w:left="0" w:right="0" w:firstLine="720"/>
        <w:jc w:val="both"/>
        <w:rPr/>
      </w:pPr>
      <w:r>
        <w:rPr>
          <w:color w:val="000000"/>
        </w:rPr>
        <w:t>“</w:t>
      </w:r>
      <w:r>
        <w:rPr>
          <w:rFonts w:ascii="Times New Roman" w:hAnsi="Times New Roman"/>
          <w:b/>
          <w:color w:val="000000"/>
          <w:sz w:val="22"/>
        </w:rPr>
        <w:t>EEA Resolution Authority</w:t>
      </w:r>
      <w:r>
        <w:rPr>
          <w:rFonts w:ascii="Times New Roman" w:hAnsi="Times New Roman"/>
          <w:color w:val="000000"/>
          <w:sz w:val="20"/>
        </w:rPr>
        <w:t xml:space="preserve">” </w:t>
      </w:r>
      <w:r>
        <w:rPr>
          <w:rFonts w:ascii="Times New Roman" w:hAnsi="Times New Roman"/>
          <w:color w:val="000000"/>
          <w:sz w:val="22"/>
        </w:rPr>
        <w:t>is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160"/>
        <w:ind w:left="0" w:right="0" w:firstLine="720"/>
        <w:jc w:val="both"/>
        <w:rPr/>
      </w:pPr>
      <w:r>
        <w:rPr>
          <w:color w:val="000000"/>
        </w:rPr>
        <w:t>“</w:t>
      </w:r>
      <w:r>
        <w:rPr>
          <w:rFonts w:ascii="Times New Roman" w:hAnsi="Times New Roman"/>
          <w:b/>
          <w:color w:val="000000"/>
          <w:sz w:val="22"/>
        </w:rPr>
        <w:t>Effective Date</w:t>
      </w:r>
      <w:r>
        <w:rPr>
          <w:rFonts w:ascii="Times New Roman" w:hAnsi="Times New Roman"/>
          <w:color w:val="000000"/>
          <w:sz w:val="20"/>
        </w:rPr>
        <w:t xml:space="preserve">” </w:t>
      </w:r>
      <w:r>
        <w:rPr>
          <w:rFonts w:ascii="Times New Roman" w:hAnsi="Times New Roman"/>
          <w:color w:val="000000"/>
          <w:sz w:val="22"/>
        </w:rPr>
        <w:t>is defined in the preamble hereof.</w:t>
      </w:r>
    </w:p>
    <w:p>
      <w:pPr>
        <w:pStyle w:val="TextBody"/>
        <w:bidi w:val="0"/>
        <w:spacing w:before="0" w:after="160"/>
        <w:ind w:left="0" w:right="0" w:firstLine="720"/>
        <w:jc w:val="both"/>
        <w:rPr/>
      </w:pPr>
      <w:r>
        <w:rPr>
          <w:color w:val="000000"/>
        </w:rPr>
        <w:t>“</w:t>
      </w:r>
      <w:r>
        <w:rPr>
          <w:rFonts w:ascii="Times New Roman" w:hAnsi="Times New Roman"/>
          <w:b/>
          <w:color w:val="000000"/>
          <w:sz w:val="22"/>
        </w:rPr>
        <w:t>Equipment</w:t>
      </w:r>
      <w:r>
        <w:rPr>
          <w:rFonts w:ascii="Times New Roman" w:hAnsi="Times New Roman"/>
          <w:color w:val="000000"/>
          <w:sz w:val="20"/>
        </w:rPr>
        <w:t xml:space="preserve">” </w:t>
      </w:r>
      <w:r>
        <w:rPr>
          <w:rFonts w:ascii="Times New Roman" w:hAnsi="Times New Roman"/>
          <w:color w:val="000000"/>
          <w:sz w:val="22"/>
        </w:rPr>
        <w:t>is all “equipment” as defined in the Code with such additions to such term as may hereafter be made, and includes without limitation all machinery, fixtures, goods, vehicles (including motor vehicles and trailers), and any interest in any of the foregoing.</w:t>
      </w:r>
    </w:p>
    <w:p>
      <w:pPr>
        <w:pStyle w:val="TextBody"/>
        <w:bidi w:val="0"/>
        <w:spacing w:before="0" w:after="160"/>
        <w:ind w:left="0" w:right="0" w:firstLine="720"/>
        <w:jc w:val="both"/>
        <w:rPr/>
      </w:pPr>
      <w:r>
        <w:rPr>
          <w:color w:val="000000"/>
        </w:rPr>
        <w:t>“</w:t>
      </w:r>
      <w:r>
        <w:rPr>
          <w:rFonts w:ascii="Times New Roman" w:hAnsi="Times New Roman"/>
          <w:b/>
          <w:color w:val="000000"/>
          <w:sz w:val="22"/>
        </w:rPr>
        <w:t>ERISA</w:t>
      </w:r>
      <w:r>
        <w:rPr>
          <w:rFonts w:ascii="Times New Roman" w:hAnsi="Times New Roman"/>
          <w:color w:val="000000"/>
          <w:sz w:val="20"/>
        </w:rPr>
        <w:t xml:space="preserve">” </w:t>
      </w:r>
      <w:r>
        <w:rPr>
          <w:rFonts w:ascii="Times New Roman" w:hAnsi="Times New Roman"/>
          <w:color w:val="000000"/>
          <w:sz w:val="22"/>
        </w:rPr>
        <w:t>is the Employee Retirement Income Security Act of 1974, as amended.</w:t>
      </w:r>
    </w:p>
    <w:p>
      <w:pPr>
        <w:pStyle w:val="TextBody"/>
        <w:bidi w:val="0"/>
        <w:spacing w:before="0" w:after="160"/>
        <w:ind w:left="0" w:right="0" w:firstLine="720"/>
        <w:jc w:val="both"/>
        <w:rPr/>
      </w:pPr>
      <w:r>
        <w:rPr>
          <w:color w:val="000000"/>
        </w:rPr>
        <w:t>“</w:t>
      </w:r>
      <w:r>
        <w:rPr>
          <w:rFonts w:ascii="Times New Roman" w:hAnsi="Times New Roman"/>
          <w:b/>
          <w:color w:val="000000"/>
          <w:sz w:val="22"/>
        </w:rPr>
        <w:t>ERISA Affiliate</w:t>
      </w:r>
      <w:r>
        <w:rPr>
          <w:rFonts w:ascii="Times New Roman" w:hAnsi="Times New Roman"/>
          <w:color w:val="000000"/>
          <w:sz w:val="20"/>
        </w:rPr>
        <w:t xml:space="preserve">” </w:t>
      </w:r>
      <w:r>
        <w:rPr>
          <w:rFonts w:ascii="Times New Roman" w:hAnsi="Times New Roman"/>
          <w:color w:val="000000"/>
          <w:sz w:val="22"/>
        </w:rPr>
        <w:t>is any trade or business (whether or not incorporated) under common control with any Loan Party or Subsidiary thereof within the meaning of Section 414(b) or (c) of the Internal Revenue Code of 1986, as amended (and Sections 414(m) and (o) thereof for purposes of provisions relating to Section 412 thereof).</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160"/>
        <w:ind w:left="0" w:right="0" w:firstLine="720"/>
        <w:jc w:val="both"/>
        <w:rPr/>
      </w:pPr>
      <w:r>
        <w:rPr>
          <w:color w:val="000000"/>
        </w:rPr>
        <w:t>“</w:t>
      </w:r>
      <w:r>
        <w:rPr>
          <w:rFonts w:ascii="Times New Roman" w:hAnsi="Times New Roman"/>
          <w:b/>
          <w:color w:val="000000"/>
          <w:sz w:val="22"/>
        </w:rPr>
        <w:t>Event of Default</w:t>
      </w:r>
      <w:r>
        <w:rPr>
          <w:rFonts w:ascii="Times New Roman" w:hAnsi="Times New Roman"/>
          <w:color w:val="000000"/>
          <w:sz w:val="20"/>
        </w:rPr>
        <w:t xml:space="preserve">” </w:t>
      </w:r>
      <w:r>
        <w:rPr>
          <w:rFonts w:ascii="Times New Roman" w:hAnsi="Times New Roman"/>
          <w:color w:val="000000"/>
          <w:sz w:val="22"/>
        </w:rPr>
        <w:t>is defined in Section 8.</w:t>
      </w:r>
    </w:p>
    <w:p>
      <w:pPr>
        <w:pStyle w:val="TextBody"/>
        <w:bidi w:val="0"/>
        <w:spacing w:before="0" w:after="160"/>
        <w:ind w:left="0" w:right="0" w:firstLine="720"/>
        <w:jc w:val="both"/>
        <w:rPr/>
      </w:pPr>
      <w:r>
        <w:rPr>
          <w:color w:val="000000"/>
        </w:rPr>
        <w:t>“</w:t>
      </w:r>
      <w:r>
        <w:rPr>
          <w:rFonts w:ascii="Times New Roman" w:hAnsi="Times New Roman"/>
          <w:b/>
          <w:color w:val="000000"/>
          <w:sz w:val="22"/>
        </w:rPr>
        <w:t>Exchange Act</w:t>
      </w:r>
      <w:r>
        <w:rPr>
          <w:rFonts w:ascii="Times New Roman" w:hAnsi="Times New Roman"/>
          <w:color w:val="000000"/>
          <w:sz w:val="20"/>
        </w:rPr>
        <w:t xml:space="preserve">” </w:t>
      </w:r>
      <w:r>
        <w:rPr>
          <w:rFonts w:ascii="Times New Roman" w:hAnsi="Times New Roman"/>
          <w:color w:val="000000"/>
          <w:sz w:val="22"/>
        </w:rPr>
        <w:t>is the Securities Exchange Act of 1934, as amended.</w:t>
      </w:r>
    </w:p>
    <w:p>
      <w:pPr>
        <w:pStyle w:val="TextBody"/>
        <w:bidi w:val="0"/>
        <w:spacing w:before="0" w:after="160"/>
        <w:ind w:left="0" w:right="0" w:firstLine="720"/>
        <w:jc w:val="both"/>
        <w:rPr/>
      </w:pPr>
      <w:r>
        <w:rPr>
          <w:color w:val="000000"/>
        </w:rPr>
        <w:t>“</w:t>
      </w:r>
      <w:r>
        <w:rPr>
          <w:rFonts w:ascii="Times New Roman" w:hAnsi="Times New Roman"/>
          <w:b/>
          <w:color w:val="000000"/>
          <w:sz w:val="22"/>
        </w:rPr>
        <w:t>Excluded Accounts</w:t>
      </w:r>
      <w:r>
        <w:rPr>
          <w:rFonts w:ascii="Times New Roman" w:hAnsi="Times New Roman"/>
          <w:color w:val="000000"/>
          <w:sz w:val="20"/>
        </w:rPr>
        <w:t xml:space="preserve">” </w:t>
      </w:r>
      <w:r>
        <w:rPr>
          <w:rFonts w:ascii="Times New Roman" w:hAnsi="Times New Roman"/>
          <w:color w:val="000000"/>
          <w:sz w:val="22"/>
        </w:rPr>
        <w:t>is defined in Section 6.8(b).</w:t>
      </w:r>
    </w:p>
    <w:p>
      <w:pPr>
        <w:pStyle w:val="TextBody"/>
        <w:bidi w:val="0"/>
        <w:spacing w:before="0" w:after="160"/>
        <w:ind w:left="0" w:right="0" w:firstLine="720"/>
        <w:jc w:val="both"/>
        <w:rPr/>
      </w:pPr>
      <w:r>
        <w:rPr>
          <w:color w:val="000000"/>
        </w:rPr>
        <w:t>“</w:t>
      </w:r>
      <w:r>
        <w:rPr>
          <w:rFonts w:ascii="Times New Roman" w:hAnsi="Times New Roman"/>
          <w:b/>
          <w:color w:val="000000"/>
          <w:sz w:val="22"/>
        </w:rPr>
        <w:t>Excluded Taxes</w:t>
      </w:r>
      <w:r>
        <w:rPr>
          <w:rFonts w:ascii="Times New Roman" w:hAnsi="Times New Roman"/>
          <w:color w:val="000000"/>
          <w:sz w:val="20"/>
        </w:rPr>
        <w:t xml:space="preserve">” </w:t>
      </w:r>
      <w:r>
        <w:rPr>
          <w:rFonts w:ascii="Times New Roman" w:hAnsi="Times New Roman"/>
          <w:color w:val="000000"/>
          <w:sz w:val="22"/>
        </w:rPr>
        <w:t>means any of the following Taxes imposed on or with respect to Bank or required to be withheld or deducted from a payment to Bank: (a) Taxes imposed on or measured by net income (however denominated), franchise Taxes and branch profits Taxes, in each case (i) imposed by the United States or as a result of Bank being organized under the laws of, or having its principal office or its applicable lending office located in, the jurisdiction imposing such tax (or any political subdivision thereof), or (ii) that are Other Connection Taxes, (b) U.S. federal withholding Taxes imposed on amounts payable to or for the account of Bank with respect to an applicable interest in a Credit Extension pursuant to a law in effect on the date on which (i) Bank acquires such interest in the Credit Extensions or (ii) Bank changes its lending office, except in each case to the extent that, pursuant to Section 12.11, amounts with respect to such Taxes were payable either to Bank’s assignor immediately before Bank became a party hereto or to Bank immediately before it changed its lending office, (c) Taxes attributable to Bank’s failure to comply with Section 12.11(c), and (d) any withholding Taxes imposed under FATCA.</w:t>
      </w:r>
    </w:p>
    <w:p>
      <w:pPr>
        <w:pStyle w:val="TextBody"/>
        <w:bidi w:val="0"/>
        <w:spacing w:before="0" w:after="160"/>
        <w:ind w:left="0" w:right="0" w:firstLine="720"/>
        <w:jc w:val="both"/>
        <w:rPr/>
      </w:pPr>
      <w:r>
        <w:rPr>
          <w:color w:val="000000"/>
        </w:rPr>
        <w:t>“</w:t>
      </w:r>
      <w:r>
        <w:rPr>
          <w:rFonts w:ascii="Times New Roman" w:hAnsi="Times New Roman"/>
          <w:b/>
          <w:color w:val="000000"/>
          <w:sz w:val="22"/>
        </w:rPr>
        <w:t>FATCA</w:t>
      </w:r>
      <w:r>
        <w:rPr>
          <w:rFonts w:ascii="Times New Roman" w:hAnsi="Times New Roman"/>
          <w:color w:val="000000"/>
          <w:sz w:val="20"/>
        </w:rPr>
        <w:t xml:space="preserve">” </w:t>
      </w:r>
      <w:r>
        <w:rPr>
          <w:rFonts w:ascii="Times New Roman" w:hAnsi="Times New Roman"/>
          <w:color w:val="000000"/>
          <w:sz w:val="22"/>
        </w:rPr>
        <w:t>means Sections 1471 through 1474 of the IRC, as of the date of this Agreement (or any amended or successor version that is substantively comparable and not more onerous to comply with), any regulations or official interpretations thereof and any agreements entered into pursuant to Section 1471(b)(1) of the IRC, and any intergovernmental agreement, or provision of any treaty or convention entered into in connection with the implementation of such Sections of the IRC and any fiscal or regulatory legislation, rules or practices adopted pursuant to such intergovernmental agreement, or provision of any treaty or convention.</w:t>
      </w:r>
    </w:p>
    <w:p>
      <w:pPr>
        <w:pStyle w:val="TextBody"/>
        <w:bidi w:val="0"/>
        <w:spacing w:before="0" w:after="160"/>
        <w:ind w:left="0" w:right="0" w:firstLine="720"/>
        <w:jc w:val="both"/>
        <w:rPr/>
      </w:pPr>
      <w:r>
        <w:rPr>
          <w:color w:val="000000"/>
        </w:rPr>
        <w:t>“</w:t>
      </w:r>
      <w:r>
        <w:rPr>
          <w:rFonts w:ascii="Times New Roman" w:hAnsi="Times New Roman"/>
          <w:b/>
          <w:color w:val="000000"/>
          <w:sz w:val="22"/>
        </w:rPr>
        <w:t>FCPA</w:t>
      </w:r>
      <w:r>
        <w:rPr>
          <w:rFonts w:ascii="Times New Roman" w:hAnsi="Times New Roman"/>
          <w:color w:val="000000"/>
          <w:sz w:val="20"/>
        </w:rPr>
        <w:t xml:space="preserve">” </w:t>
      </w:r>
      <w:r>
        <w:rPr>
          <w:rFonts w:ascii="Times New Roman" w:hAnsi="Times New Roman"/>
          <w:color w:val="000000"/>
          <w:sz w:val="22"/>
        </w:rPr>
        <w:t>is defined in Section 5.13.</w:t>
      </w:r>
    </w:p>
    <w:p>
      <w:pPr>
        <w:pStyle w:val="TextBody"/>
        <w:bidi w:val="0"/>
        <w:spacing w:before="0" w:after="160"/>
        <w:ind w:left="0" w:right="0" w:firstLine="720"/>
        <w:jc w:val="both"/>
        <w:rPr/>
      </w:pPr>
      <w:r>
        <w:rPr>
          <w:color w:val="000000"/>
        </w:rPr>
        <w:t>“</w:t>
      </w:r>
      <w:r>
        <w:rPr>
          <w:rFonts w:ascii="Times New Roman" w:hAnsi="Times New Roman"/>
          <w:b/>
          <w:color w:val="000000"/>
          <w:sz w:val="22"/>
        </w:rPr>
        <w:t>Final Payment</w:t>
      </w:r>
      <w:r>
        <w:rPr>
          <w:rFonts w:ascii="Times New Roman" w:hAnsi="Times New Roman"/>
          <w:color w:val="000000"/>
          <w:sz w:val="20"/>
        </w:rPr>
        <w:t xml:space="preserve">” </w:t>
      </w:r>
      <w:r>
        <w:rPr>
          <w:rFonts w:ascii="Times New Roman" w:hAnsi="Times New Roman"/>
          <w:color w:val="000000"/>
          <w:sz w:val="22"/>
        </w:rPr>
        <w:t>is a payment (in addition to and not in substitution for the regular monthly payments of principal plus accrued interest) equal to the aggregate original principal amount of the Term Loan Advances extended by Bank to Borrower hereunder, multiplied by two percent (2.0%), which payment shall be fully earned as of the date hereof, but payment shall be deferred until the earliest to occur of (a) the Term Loan Maturity Date, (b) the payment in full of the Term Loan Advances, (c) as required by Section 2.2(d) or Section 2.2(e), or (d) the termination of this Agreement.</w:t>
      </w:r>
    </w:p>
    <w:p>
      <w:pPr>
        <w:pStyle w:val="TextBody"/>
        <w:bidi w:val="0"/>
        <w:spacing w:before="0" w:after="160"/>
        <w:ind w:left="0" w:right="0" w:firstLine="720"/>
        <w:jc w:val="both"/>
        <w:rPr/>
      </w:pPr>
      <w:r>
        <w:rPr>
          <w:color w:val="000000"/>
        </w:rPr>
        <w:t>“</w:t>
      </w:r>
      <w:r>
        <w:rPr>
          <w:rFonts w:ascii="Times New Roman" w:hAnsi="Times New Roman"/>
          <w:b/>
          <w:color w:val="000000"/>
          <w:sz w:val="22"/>
        </w:rPr>
        <w:t>Foreign Currency</w:t>
      </w:r>
      <w:r>
        <w:rPr>
          <w:rFonts w:ascii="Times New Roman" w:hAnsi="Times New Roman"/>
          <w:color w:val="000000"/>
          <w:sz w:val="20"/>
        </w:rPr>
        <w:t xml:space="preserve">” </w:t>
      </w:r>
      <w:r>
        <w:rPr>
          <w:rFonts w:ascii="Times New Roman" w:hAnsi="Times New Roman"/>
          <w:color w:val="000000"/>
          <w:sz w:val="22"/>
        </w:rPr>
        <w:t>is lawful money of a country other than the United States.</w:t>
      </w:r>
    </w:p>
    <w:p>
      <w:pPr>
        <w:pStyle w:val="TextBody"/>
        <w:bidi w:val="0"/>
        <w:spacing w:before="0" w:after="160"/>
        <w:ind w:left="0" w:right="0" w:firstLine="720"/>
        <w:jc w:val="both"/>
        <w:rPr/>
      </w:pPr>
      <w:r>
        <w:rPr>
          <w:color w:val="000000"/>
        </w:rPr>
        <w:t>“</w:t>
      </w:r>
      <w:r>
        <w:rPr>
          <w:rFonts w:ascii="Times New Roman" w:hAnsi="Times New Roman"/>
          <w:b/>
          <w:color w:val="000000"/>
          <w:sz w:val="22"/>
        </w:rPr>
        <w:t>Foreign Subsidiary</w:t>
      </w:r>
      <w:r>
        <w:rPr>
          <w:rFonts w:ascii="Times New Roman" w:hAnsi="Times New Roman"/>
          <w:color w:val="000000"/>
          <w:sz w:val="20"/>
        </w:rPr>
        <w:t xml:space="preserve">” </w:t>
      </w:r>
      <w:r>
        <w:rPr>
          <w:rFonts w:ascii="Times New Roman" w:hAnsi="Times New Roman"/>
          <w:color w:val="000000"/>
          <w:sz w:val="22"/>
        </w:rPr>
        <w:t>is any Subsidiary which is not a Domestic Subsidiary.</w:t>
      </w:r>
    </w:p>
    <w:p>
      <w:pPr>
        <w:pStyle w:val="TextBody"/>
        <w:bidi w:val="0"/>
        <w:spacing w:before="0" w:after="160"/>
        <w:ind w:left="0" w:right="0" w:firstLine="720"/>
        <w:jc w:val="both"/>
        <w:rPr/>
      </w:pPr>
      <w:r>
        <w:rPr>
          <w:color w:val="000000"/>
        </w:rPr>
        <w:t>“</w:t>
      </w:r>
      <w:r>
        <w:rPr>
          <w:rFonts w:ascii="Times New Roman" w:hAnsi="Times New Roman"/>
          <w:b/>
          <w:color w:val="000000"/>
          <w:sz w:val="22"/>
        </w:rPr>
        <w:t>Funding Date</w:t>
      </w:r>
      <w:r>
        <w:rPr>
          <w:rFonts w:ascii="Times New Roman" w:hAnsi="Times New Roman"/>
          <w:color w:val="000000"/>
          <w:sz w:val="20"/>
        </w:rPr>
        <w:t xml:space="preserve">” </w:t>
      </w:r>
      <w:r>
        <w:rPr>
          <w:rFonts w:ascii="Times New Roman" w:hAnsi="Times New Roman"/>
          <w:color w:val="000000"/>
          <w:sz w:val="22"/>
        </w:rPr>
        <w:t>is any date on which a Credit Extension is made to or for the account of Borrower which shall be a Business Day.</w:t>
      </w:r>
    </w:p>
    <w:p>
      <w:pPr>
        <w:pStyle w:val="TextBody"/>
        <w:bidi w:val="0"/>
        <w:spacing w:before="0" w:after="160"/>
        <w:ind w:left="0" w:right="0" w:firstLine="720"/>
        <w:jc w:val="both"/>
        <w:rPr/>
      </w:pPr>
      <w:r>
        <w:rPr>
          <w:color w:val="000000"/>
        </w:rPr>
        <w:t>“</w:t>
      </w:r>
      <w:r>
        <w:rPr>
          <w:rFonts w:ascii="Times New Roman" w:hAnsi="Times New Roman"/>
          <w:b/>
          <w:color w:val="000000"/>
          <w:sz w:val="22"/>
        </w:rPr>
        <w:t>FX Contract</w:t>
      </w:r>
      <w:r>
        <w:rPr>
          <w:rFonts w:ascii="Times New Roman" w:hAnsi="Times New Roman"/>
          <w:color w:val="000000"/>
          <w:sz w:val="20"/>
        </w:rPr>
        <w:t xml:space="preserve">” </w:t>
      </w:r>
      <w:r>
        <w:rPr>
          <w:rFonts w:ascii="Times New Roman" w:hAnsi="Times New Roman"/>
          <w:color w:val="000000"/>
          <w:sz w:val="22"/>
        </w:rPr>
        <w:t>is any foreign exchange contract by and between a Loan Party and Bank and/or any Affiliate of Bank under which such Loan Party commits to purchase from or sell to Bank and/or any Affiliate of Bank a specific amount of Foreign Currency on a specified date.</w:t>
      </w:r>
    </w:p>
    <w:p>
      <w:pPr>
        <w:pStyle w:val="TextBody"/>
        <w:bidi w:val="0"/>
        <w:spacing w:before="0" w:after="160"/>
        <w:ind w:left="0" w:right="0" w:firstLine="720"/>
        <w:jc w:val="both"/>
        <w:rPr/>
      </w:pPr>
      <w:r>
        <w:rPr>
          <w:color w:val="000000"/>
        </w:rPr>
        <w:t>“</w:t>
      </w:r>
      <w:r>
        <w:rPr>
          <w:rFonts w:ascii="Times New Roman" w:hAnsi="Times New Roman"/>
          <w:b/>
          <w:color w:val="000000"/>
          <w:sz w:val="22"/>
        </w:rPr>
        <w:t>GAAP</w:t>
      </w:r>
      <w:r>
        <w:rPr>
          <w:rFonts w:ascii="Times New Roman" w:hAnsi="Times New Roman"/>
          <w:color w:val="000000"/>
          <w:sz w:val="20"/>
        </w:rPr>
        <w:t xml:space="preserve">” </w:t>
      </w:r>
      <w:r>
        <w:rPr>
          <w:rFonts w:ascii="Times New Roman" w:hAnsi="Times New Roman"/>
          <w:color w:val="000000"/>
          <w:sz w:val="22"/>
        </w:rPr>
        <w:t>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pStyle w:val="TextBody"/>
        <w:bidi w:val="0"/>
        <w:spacing w:before="0" w:after="160"/>
        <w:ind w:left="0" w:right="0" w:firstLine="720"/>
        <w:jc w:val="both"/>
        <w:rPr/>
      </w:pPr>
      <w:r>
        <w:rPr>
          <w:color w:val="000000"/>
        </w:rPr>
        <w:t>“</w:t>
      </w:r>
      <w:r>
        <w:rPr>
          <w:rFonts w:ascii="Times New Roman" w:hAnsi="Times New Roman"/>
          <w:b/>
          <w:color w:val="000000"/>
          <w:sz w:val="22"/>
        </w:rPr>
        <w:t>General Intangibles</w:t>
      </w:r>
      <w:r>
        <w:rPr>
          <w:rFonts w:ascii="Times New Roman" w:hAnsi="Times New Roman"/>
          <w:color w:val="000000"/>
          <w:sz w:val="20"/>
        </w:rPr>
        <w:t xml:space="preserve">” </w:t>
      </w:r>
      <w:r>
        <w:rPr>
          <w:rFonts w:ascii="Times New Roman" w:hAnsi="Times New Roman"/>
          <w:color w:val="000000"/>
          <w:sz w:val="22"/>
        </w:rPr>
        <w:t>is all “general intangibles” as defined in the Code in effect on the date hereof with such additions to such term as may hereafter be made, and includes without limitation, all</w:t>
      </w:r>
      <w:r>
        <w:rPr>
          <w:rFonts w:ascii="Times New Roman" w:hAnsi="Times New Roman"/>
          <w:color w:val="000000"/>
          <w:sz w:val="20"/>
        </w:rPr>
        <w:t xml:space="preserve">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Intellectual Property, all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pStyle w:val="TextBody"/>
        <w:bidi w:val="0"/>
        <w:spacing w:before="0" w:after="160"/>
        <w:ind w:left="0" w:right="0" w:firstLine="720"/>
        <w:jc w:val="both"/>
        <w:rPr/>
      </w:pPr>
      <w:r>
        <w:rPr>
          <w:color w:val="000000"/>
        </w:rPr>
        <w:t>“</w:t>
      </w:r>
      <w:r>
        <w:rPr>
          <w:rFonts w:ascii="Times New Roman" w:hAnsi="Times New Roman"/>
          <w:b/>
          <w:color w:val="000000"/>
          <w:sz w:val="22"/>
        </w:rPr>
        <w:t>Governmental Approval</w:t>
      </w:r>
      <w:r>
        <w:rPr>
          <w:rFonts w:ascii="Times New Roman" w:hAnsi="Times New Roman"/>
          <w:color w:val="000000"/>
          <w:sz w:val="20"/>
        </w:rPr>
        <w:t xml:space="preserve">” </w:t>
      </w:r>
      <w:r>
        <w:rPr>
          <w:rFonts w:ascii="Times New Roman" w:hAnsi="Times New Roman"/>
          <w:color w:val="000000"/>
          <w:sz w:val="22"/>
        </w:rPr>
        <w:t>is any consent, authorization, approval, order, license, franchise, permit, certificate, accreditation, registration, filing or notice, of, issued by, from or to, or other act by or in respect of, any Governmental Authority, including, without limitation, Healthcare Permits.</w:t>
      </w:r>
    </w:p>
    <w:p>
      <w:pPr>
        <w:pStyle w:val="TextBody"/>
        <w:bidi w:val="0"/>
        <w:spacing w:before="0" w:after="160"/>
        <w:ind w:left="0" w:right="0" w:firstLine="720"/>
        <w:jc w:val="both"/>
        <w:rPr/>
      </w:pPr>
      <w:r>
        <w:rPr>
          <w:color w:val="000000"/>
        </w:rPr>
        <w:t>“</w:t>
      </w:r>
      <w:r>
        <w:rPr>
          <w:rFonts w:ascii="Times New Roman" w:hAnsi="Times New Roman"/>
          <w:b/>
          <w:color w:val="000000"/>
          <w:sz w:val="22"/>
        </w:rPr>
        <w:t>Governmental Authority</w:t>
      </w:r>
      <w:r>
        <w:rPr>
          <w:rFonts w:ascii="Times New Roman" w:hAnsi="Times New Roman"/>
          <w:color w:val="000000"/>
          <w:sz w:val="20"/>
        </w:rPr>
        <w:t xml:space="preserve">” </w:t>
      </w:r>
      <w:r>
        <w:rPr>
          <w:rFonts w:ascii="Times New Roman" w:hAnsi="Times New Roman"/>
          <w:color w:val="000000"/>
          <w:sz w:val="22"/>
        </w:rPr>
        <w:t>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pStyle w:val="TextBody"/>
        <w:bidi w:val="0"/>
        <w:spacing w:before="0" w:after="160"/>
        <w:ind w:left="0" w:right="0" w:firstLine="720"/>
        <w:jc w:val="both"/>
        <w:rPr/>
      </w:pPr>
      <w:r>
        <w:rPr>
          <w:color w:val="000000"/>
        </w:rPr>
        <w:t>“</w:t>
      </w:r>
      <w:r>
        <w:rPr>
          <w:rFonts w:ascii="Times New Roman" w:hAnsi="Times New Roman"/>
          <w:b/>
          <w:color w:val="000000"/>
          <w:sz w:val="22"/>
        </w:rPr>
        <w:t>Guarantee Agreement</w:t>
      </w:r>
      <w:r>
        <w:rPr>
          <w:rFonts w:ascii="Times New Roman" w:hAnsi="Times New Roman"/>
          <w:color w:val="000000"/>
          <w:sz w:val="20"/>
        </w:rPr>
        <w:t xml:space="preserve">” </w:t>
      </w:r>
      <w:r>
        <w:rPr>
          <w:rFonts w:ascii="Times New Roman" w:hAnsi="Times New Roman"/>
          <w:color w:val="000000"/>
          <w:sz w:val="22"/>
        </w:rPr>
        <w:t>is (a) that certain Guaranty by Parent Guarantor in favor of Bank dated as of the Effective Date, (b) that certain Guaranty by Irish Guarantor in favor of Bank dated as of the Effective Date, and (c) each agreement entered into by a Guarantor providing for the guaranty of the Obligations, in each case, in form and substance satisfactory to Bank.</w:t>
      </w:r>
    </w:p>
    <w:p>
      <w:pPr>
        <w:pStyle w:val="TextBody"/>
        <w:bidi w:val="0"/>
        <w:spacing w:before="0" w:after="160"/>
        <w:ind w:left="0" w:right="0" w:firstLine="720"/>
        <w:jc w:val="both"/>
        <w:rPr/>
      </w:pPr>
      <w:r>
        <w:rPr>
          <w:color w:val="000000"/>
        </w:rPr>
        <w:t>“</w:t>
      </w:r>
      <w:r>
        <w:rPr>
          <w:rFonts w:ascii="Times New Roman" w:hAnsi="Times New Roman"/>
          <w:b/>
          <w:color w:val="000000"/>
          <w:sz w:val="22"/>
        </w:rPr>
        <w:t>Guarantor</w:t>
      </w:r>
      <w:r>
        <w:rPr>
          <w:rFonts w:ascii="Times New Roman" w:hAnsi="Times New Roman"/>
          <w:color w:val="000000"/>
          <w:sz w:val="20"/>
        </w:rPr>
        <w:t xml:space="preserve">” </w:t>
      </w:r>
      <w:r>
        <w:rPr>
          <w:rFonts w:ascii="Times New Roman" w:hAnsi="Times New Roman"/>
          <w:color w:val="000000"/>
          <w:sz w:val="22"/>
        </w:rPr>
        <w:t>is, jointly and severally, individually and collectively, (a) Parent Guarantor, (b) Irish Guarantor and (c) each other Subsidiary and other Person who guarantees the Obligations pursuant to a Guarantee Agreement.</w:t>
      </w:r>
    </w:p>
    <w:p>
      <w:pPr>
        <w:pStyle w:val="TextBody"/>
        <w:bidi w:val="0"/>
        <w:spacing w:before="0" w:after="160"/>
        <w:ind w:left="0" w:right="0" w:firstLine="720"/>
        <w:jc w:val="both"/>
        <w:rPr/>
      </w:pPr>
      <w:r>
        <w:rPr>
          <w:color w:val="000000"/>
        </w:rPr>
        <w:t>“</w:t>
      </w:r>
      <w:r>
        <w:rPr>
          <w:rFonts w:ascii="Times New Roman" w:hAnsi="Times New Roman"/>
          <w:b/>
          <w:color w:val="000000"/>
          <w:sz w:val="22"/>
        </w:rPr>
        <w:t>Healthcare Laws</w:t>
      </w:r>
      <w:r>
        <w:rPr>
          <w:rFonts w:ascii="Times New Roman" w:hAnsi="Times New Roman"/>
          <w:color w:val="000000"/>
          <w:sz w:val="20"/>
        </w:rPr>
        <w:t xml:space="preserve">” </w:t>
      </w:r>
      <w:r>
        <w:rPr>
          <w:rFonts w:ascii="Times New Roman" w:hAnsi="Times New Roman"/>
          <w:color w:val="000000"/>
          <w:sz w:val="22"/>
        </w:rPr>
        <w:t>means all applicable laws relating to the operation or management of hospitalist practices, the provision of hospitalist services, proper billing and collection practices relating to the payment for healthcare services, insurance law (including law related to payment for “no-fault” claims) and workers compensation law as they relate to the provision of, and billing and payment for, healthcare services, patient healthcare, patient healthcare information, patient abuse, the quality and adequacy of rehabilitative care, rate setting, equipment, personnel, operating policies, fee splitting, including, without limitation, (a) all federal and state fraud and abuse laws, including, without limitation, the federal Anti-Kickback Statute (42 U.S.C. §1320a-7b(b)), the Stark Law (42 U.S.C. §1395nn), the civil False Claims Act (31 U.S.C. §3729 et seq.), the administrative False Claims Law (42 U.S.C. § 1320a-7b(a)), the Anti-Inducement Law (42 U.S.C. § 1320a-7a(a)(5)), the exclusion laws (42 U.S.C. § 1320a-7); (b) the Health Insurance Portability and Accountability Act of 1996, as amended by the Health Information Technology for Economic and Clinical Health Act of 2009; (c) the Medicare Regulations and Medicaid (Title XIX of the Social Security Act); (d) quality, safety and accreditation standards and requirements of all applicable state laws or regulatory bodies; (e) all laws, policies, procedures, requirements and regulations pursuant to which Healthcare Permits are issued; (f) any laws, regulations or administrative guidance with respect to fee splitting by healthcare professionals and the corporate practice of medicine in any jurisdiction in which any Borrower or any Guarantor operates; and (g) any and all comparable state or local laws and other applicable health care laws, regulations, manual provisions, policies and administrative guidance, each of (a) through (g) as may be amended from time to time and the regulations promulgated pursuant to each such law.</w:t>
      </w:r>
    </w:p>
    <w:p>
      <w:pPr>
        <w:pStyle w:val="TextBody"/>
        <w:bidi w:val="0"/>
        <w:spacing w:before="0" w:after="240"/>
        <w:ind w:left="0" w:right="0" w:firstLine="720"/>
        <w:jc w:val="both"/>
        <w:rPr/>
      </w:pPr>
      <w:r>
        <w:rPr>
          <w:color w:val="000000"/>
        </w:rPr>
        <w:t>“</w:t>
      </w:r>
      <w:r>
        <w:rPr>
          <w:rFonts w:ascii="Times New Roman" w:hAnsi="Times New Roman"/>
          <w:b/>
          <w:color w:val="000000"/>
          <w:sz w:val="22"/>
        </w:rPr>
        <w:t>Healthcare Permit</w:t>
      </w:r>
      <w:r>
        <w:rPr>
          <w:rFonts w:ascii="Times New Roman" w:hAnsi="Times New Roman"/>
          <w:color w:val="000000"/>
          <w:sz w:val="20"/>
        </w:rPr>
        <w:t xml:space="preserve">” </w:t>
      </w:r>
      <w:r>
        <w:rPr>
          <w:rFonts w:ascii="Times New Roman" w:hAnsi="Times New Roman"/>
          <w:color w:val="000000"/>
          <w:sz w:val="22"/>
        </w:rPr>
        <w:t>means, with respect to any Person, a permit issued or required under Healthcare Laws applicable to the business of Borrower or any Guarantor, or necessary in the testing, possession, manufacture, ownership, warehousing, marketing, promoting, sale, labeling, furnishing, distribution or delivery of goods or services under Healthcare Laws applicable to the business of Borrower or any Guarantor.</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ind w:left="0" w:right="0" w:firstLine="720"/>
        <w:jc w:val="left"/>
        <w:rPr/>
      </w:pPr>
      <w:r>
        <w:rPr>
          <w:color w:val="000000"/>
        </w:rPr>
        <w:t>“</w:t>
      </w:r>
      <w:r>
        <w:rPr>
          <w:rFonts w:ascii="Times New Roman" w:hAnsi="Times New Roman"/>
          <w:b/>
          <w:color w:val="000000"/>
          <w:sz w:val="22"/>
        </w:rPr>
        <w:t>HIPAA</w:t>
      </w:r>
      <w:r>
        <w:rPr>
          <w:rFonts w:ascii="Times New Roman" w:hAnsi="Times New Roman"/>
          <w:color w:val="000000"/>
          <w:sz w:val="20"/>
        </w:rPr>
        <w:t xml:space="preserve">” </w:t>
      </w:r>
      <w:r>
        <w:rPr>
          <w:rFonts w:ascii="Times New Roman" w:hAnsi="Times New Roman"/>
          <w:color w:val="000000"/>
          <w:sz w:val="22"/>
        </w:rPr>
        <w:t>means, collectively, the Health Insurance Portability and Accountability Act of 1996, as amended by the Health Information Technology for Economic Clinical Health (HITECH) Act and the implementing regulations thereto.</w:t>
      </w:r>
    </w:p>
    <w:p>
      <w:pPr>
        <w:pStyle w:val="TextBody"/>
        <w:bidi w:val="0"/>
        <w:spacing w:before="0" w:after="160"/>
        <w:ind w:left="0" w:right="0" w:firstLine="720"/>
        <w:jc w:val="both"/>
        <w:rPr/>
      </w:pPr>
      <w:r>
        <w:rPr>
          <w:color w:val="000000"/>
        </w:rPr>
        <w:t>“</w:t>
      </w:r>
      <w:r>
        <w:rPr>
          <w:rFonts w:ascii="Times New Roman" w:hAnsi="Times New Roman"/>
          <w:b/>
          <w:color w:val="000000"/>
          <w:sz w:val="22"/>
        </w:rPr>
        <w:t>Indebtedness</w:t>
      </w:r>
      <w:r>
        <w:rPr>
          <w:rFonts w:ascii="Times New Roman" w:hAnsi="Times New Roman"/>
          <w:color w:val="000000"/>
          <w:sz w:val="20"/>
        </w:rPr>
        <w:t xml:space="preserve">” </w:t>
      </w:r>
      <w:r>
        <w:rPr>
          <w:rFonts w:ascii="Times New Roman" w:hAnsi="Times New Roman"/>
          <w:color w:val="000000"/>
          <w:sz w:val="22"/>
        </w:rPr>
        <w:t>is, as to any Person at a particular time, without duplication, all of the following, whether or not included as indebtedness or liabilities in accordance with GAAP:</w:t>
      </w:r>
    </w:p>
    <w:p>
      <w:pPr>
        <w:pStyle w:val="TextBody"/>
        <w:bidi w:val="0"/>
        <w:spacing w:before="0" w:after="160"/>
        <w:ind w:left="0" w:right="0" w:firstLine="2160"/>
        <w:jc w:val="both"/>
        <w:rPr>
          <w:rFonts w:ascii="Times New Roman" w:hAnsi="Times New Roman"/>
          <w:color w:val="000000"/>
          <w:sz w:val="22"/>
        </w:rPr>
      </w:pPr>
      <w:r>
        <w:rPr>
          <w:rFonts w:ascii="Times New Roman" w:hAnsi="Times New Roman"/>
          <w:color w:val="000000"/>
          <w:sz w:val="22"/>
        </w:rPr>
        <w:t>(a) all obligations of such Person for borrowed money and all obligations of such Person evidenced by bonds, debentures, notes, loan agreements or other similar instruments;</w:t>
      </w:r>
    </w:p>
    <w:p>
      <w:pPr>
        <w:pStyle w:val="TextBody"/>
        <w:bidi w:val="0"/>
        <w:spacing w:before="0" w:after="160"/>
        <w:ind w:left="0" w:right="0" w:firstLine="2160"/>
        <w:jc w:val="both"/>
        <w:rPr>
          <w:rFonts w:ascii="Times New Roman" w:hAnsi="Times New Roman"/>
          <w:color w:val="000000"/>
          <w:sz w:val="22"/>
        </w:rPr>
      </w:pPr>
      <w:r>
        <w:rPr>
          <w:rFonts w:ascii="Times New Roman" w:hAnsi="Times New Roman"/>
          <w:color w:val="000000"/>
          <w:sz w:val="22"/>
        </w:rPr>
        <w:t>(b) all direct or contingent obligations of such Person arising under letters of credit (including standby and commercial), bankers’ acceptances, guaranties, surety bonds and similar instruments;</w:t>
      </w:r>
    </w:p>
    <w:p>
      <w:pPr>
        <w:pStyle w:val="TextBody"/>
        <w:bidi w:val="0"/>
        <w:spacing w:before="0" w:after="160"/>
        <w:ind w:left="0" w:right="0" w:firstLine="2160"/>
        <w:jc w:val="both"/>
        <w:rPr>
          <w:rFonts w:ascii="Times New Roman" w:hAnsi="Times New Roman"/>
          <w:color w:val="000000"/>
          <w:sz w:val="22"/>
        </w:rPr>
      </w:pPr>
      <w:r>
        <w:rPr>
          <w:rFonts w:ascii="Times New Roman" w:hAnsi="Times New Roman"/>
          <w:color w:val="000000"/>
          <w:sz w:val="22"/>
        </w:rPr>
        <w:t>(c) all obligations of such Person in respect of the deferred purchase price of property or services (other than trade accounts payable in the ordinary course of business);</w:t>
      </w:r>
    </w:p>
    <w:p>
      <w:pPr>
        <w:pStyle w:val="TextBody"/>
        <w:bidi w:val="0"/>
        <w:spacing w:before="0" w:after="160"/>
        <w:ind w:left="0" w:right="0" w:firstLine="2160"/>
        <w:jc w:val="both"/>
        <w:rPr>
          <w:rFonts w:ascii="Times New Roman" w:hAnsi="Times New Roman"/>
          <w:color w:val="000000"/>
          <w:sz w:val="22"/>
        </w:rPr>
      </w:pPr>
      <w:r>
        <w:rPr>
          <w:rFonts w:ascii="Times New Roman" w:hAnsi="Times New Roman"/>
          <w:color w:val="000000"/>
          <w:sz w:val="22"/>
        </w:rPr>
        <w:t>(d) all obligations of such Person under conditional sale or other title retention agreements relating to property acquired by such Person, including, but not limited to, indebtedness secured by (or for which the holder of such indebtedness has an existing right, contingent or otherwise, to be secured by) a Lien on property owned, acquired or being purchased by such Person (including indebtedness arising under conditional sales or other title retention agreements), whether or not such indebtedness shall have been assumed by such Person or is limited in recourse;</w:t>
      </w:r>
    </w:p>
    <w:p>
      <w:pPr>
        <w:pStyle w:val="TextBody"/>
        <w:bidi w:val="0"/>
        <w:spacing w:before="0" w:after="160"/>
        <w:ind w:left="0" w:right="0" w:firstLine="2160"/>
        <w:jc w:val="both"/>
        <w:rPr>
          <w:rFonts w:ascii="Times New Roman" w:hAnsi="Times New Roman"/>
          <w:color w:val="000000"/>
          <w:sz w:val="22"/>
        </w:rPr>
      </w:pPr>
      <w:r>
        <w:rPr>
          <w:rFonts w:ascii="Times New Roman" w:hAnsi="Times New Roman"/>
          <w:color w:val="000000"/>
          <w:sz w:val="22"/>
        </w:rPr>
        <w:t>(e) all capital lease obligations of such Person; and</w:t>
      </w:r>
    </w:p>
    <w:p>
      <w:pPr>
        <w:pStyle w:val="TextBody"/>
        <w:bidi w:val="0"/>
        <w:spacing w:before="0" w:after="160"/>
        <w:ind w:left="0" w:right="0" w:firstLine="2160"/>
        <w:jc w:val="both"/>
        <w:rPr>
          <w:rFonts w:ascii="Times New Roman" w:hAnsi="Times New Roman"/>
          <w:color w:val="000000"/>
          <w:sz w:val="22"/>
        </w:rPr>
      </w:pPr>
      <w:r>
        <w:rPr>
          <w:rFonts w:ascii="Times New Roman" w:hAnsi="Times New Roman"/>
          <w:color w:val="000000"/>
          <w:sz w:val="22"/>
        </w:rPr>
        <w:t>(f) all guarantees of such Person in respect of any of the foregoing.</w:t>
      </w:r>
    </w:p>
    <w:p>
      <w:pPr>
        <w:pStyle w:val="TextBody"/>
        <w:bidi w:val="0"/>
        <w:spacing w:before="0" w:after="160"/>
        <w:ind w:left="0" w:right="0" w:firstLine="720"/>
        <w:jc w:val="both"/>
        <w:rPr/>
      </w:pPr>
      <w:r>
        <w:rPr>
          <w:color w:val="000000"/>
        </w:rPr>
        <w:t>“</w:t>
      </w:r>
      <w:r>
        <w:rPr>
          <w:rFonts w:ascii="Times New Roman" w:hAnsi="Times New Roman"/>
          <w:b/>
          <w:color w:val="000000"/>
          <w:sz w:val="22"/>
        </w:rPr>
        <w:t>Indemnified Person</w:t>
      </w:r>
      <w:r>
        <w:rPr>
          <w:rFonts w:ascii="Times New Roman" w:hAnsi="Times New Roman"/>
          <w:color w:val="000000"/>
          <w:sz w:val="20"/>
        </w:rPr>
        <w:t xml:space="preserve">” </w:t>
      </w:r>
      <w:r>
        <w:rPr>
          <w:rFonts w:ascii="Times New Roman" w:hAnsi="Times New Roman"/>
          <w:color w:val="000000"/>
          <w:sz w:val="22"/>
        </w:rPr>
        <w:t>is defined in Section 12.4.</w:t>
      </w:r>
    </w:p>
    <w:p>
      <w:pPr>
        <w:pStyle w:val="TextBody"/>
        <w:bidi w:val="0"/>
        <w:spacing w:before="0" w:after="160"/>
        <w:ind w:left="0" w:right="0" w:firstLine="720"/>
        <w:jc w:val="both"/>
        <w:rPr/>
      </w:pPr>
      <w:r>
        <w:rPr>
          <w:color w:val="000000"/>
        </w:rPr>
        <w:t>“</w:t>
      </w:r>
      <w:r>
        <w:rPr>
          <w:rFonts w:ascii="Times New Roman" w:hAnsi="Times New Roman"/>
          <w:b/>
          <w:color w:val="000000"/>
          <w:sz w:val="22"/>
        </w:rPr>
        <w:t>Indemnified Tax</w:t>
      </w:r>
      <w:r>
        <w:rPr>
          <w:rFonts w:ascii="Times New Roman" w:hAnsi="Times New Roman"/>
          <w:color w:val="000000"/>
          <w:sz w:val="20"/>
        </w:rPr>
        <w:t xml:space="preserve">” </w:t>
      </w:r>
      <w:r>
        <w:rPr>
          <w:rFonts w:ascii="Times New Roman" w:hAnsi="Times New Roman"/>
          <w:color w:val="000000"/>
          <w:sz w:val="22"/>
        </w:rPr>
        <w:t>is defined in Section 12.11(a).</w:t>
      </w:r>
    </w:p>
    <w:p>
      <w:pPr>
        <w:pStyle w:val="TextBody"/>
        <w:bidi w:val="0"/>
        <w:spacing w:before="0" w:after="160"/>
        <w:ind w:left="0" w:right="0" w:firstLine="720"/>
        <w:jc w:val="both"/>
        <w:rPr/>
      </w:pPr>
      <w:r>
        <w:rPr>
          <w:color w:val="000000"/>
        </w:rPr>
        <w:t>“</w:t>
      </w:r>
      <w:r>
        <w:rPr>
          <w:rFonts w:ascii="Times New Roman" w:hAnsi="Times New Roman"/>
          <w:b/>
          <w:color w:val="000000"/>
          <w:sz w:val="22"/>
        </w:rPr>
        <w:t>Initial Term A Loan Advance</w:t>
      </w:r>
      <w:r>
        <w:rPr>
          <w:rFonts w:ascii="Times New Roman" w:hAnsi="Times New Roman"/>
          <w:color w:val="000000"/>
          <w:sz w:val="20"/>
        </w:rPr>
        <w:t xml:space="preserve">” </w:t>
      </w:r>
      <w:r>
        <w:rPr>
          <w:rFonts w:ascii="Times New Roman" w:hAnsi="Times New Roman"/>
          <w:color w:val="000000"/>
          <w:sz w:val="22"/>
        </w:rPr>
        <w:t>is defined in Section 2.2(a).</w:t>
      </w:r>
      <w:r>
        <w:rPr>
          <w:rFonts w:ascii="Times New Roman" w:hAnsi="Times New Roman"/>
          <w:color w:val="000000"/>
          <w:sz w:val="20"/>
        </w:rPr>
        <w:t xml:space="preserve"> </w:t>
      </w:r>
    </w:p>
    <w:p>
      <w:pPr>
        <w:pStyle w:val="TextBody"/>
        <w:bidi w:val="0"/>
        <w:spacing w:before="0" w:after="160"/>
        <w:ind w:left="0" w:right="0" w:firstLine="720"/>
        <w:jc w:val="both"/>
        <w:rPr/>
      </w:pPr>
      <w:r>
        <w:rPr>
          <w:color w:val="000000"/>
        </w:rPr>
        <w:t>“</w:t>
      </w:r>
      <w:r>
        <w:rPr>
          <w:rFonts w:ascii="Times New Roman" w:hAnsi="Times New Roman"/>
          <w:b/>
          <w:color w:val="000000"/>
          <w:sz w:val="22"/>
        </w:rPr>
        <w:t>Insolvency Proceeding</w:t>
      </w:r>
      <w:r>
        <w:rPr>
          <w:rFonts w:ascii="Times New Roman" w:hAnsi="Times New Roman"/>
          <w:color w:val="000000"/>
          <w:sz w:val="20"/>
        </w:rPr>
        <w:t xml:space="preserve">” </w:t>
      </w:r>
      <w:r>
        <w:rPr>
          <w:rFonts w:ascii="Times New Roman" w:hAnsi="Times New Roman"/>
          <w:color w:val="000000"/>
          <w:sz w:val="22"/>
        </w:rPr>
        <w:t>is any proceeding by or against any Person under the United States Bankruptcy Code, or any other bankruptcy or insolvency law, including assignments for the benefit of creditors, compositions, extensions generally with its creditors, examinership, rescue proceedings, or proceedings seeking reorganization, arrangement, or other relief.</w:t>
      </w:r>
    </w:p>
    <w:p>
      <w:pPr>
        <w:pStyle w:val="TextBody"/>
        <w:bidi w:val="0"/>
        <w:spacing w:before="0" w:after="160"/>
        <w:ind w:left="0" w:right="0" w:firstLine="720"/>
        <w:jc w:val="both"/>
        <w:rPr/>
      </w:pPr>
      <w:r>
        <w:rPr>
          <w:color w:val="000000"/>
        </w:rPr>
        <w:t>“</w:t>
      </w:r>
      <w:r>
        <w:rPr>
          <w:rFonts w:ascii="Times New Roman" w:hAnsi="Times New Roman"/>
          <w:b/>
          <w:color w:val="000000"/>
          <w:sz w:val="22"/>
        </w:rPr>
        <w:t>Intellectual Property</w:t>
      </w:r>
      <w:r>
        <w:rPr>
          <w:rFonts w:ascii="Times New Roman" w:hAnsi="Times New Roman"/>
          <w:color w:val="000000"/>
          <w:sz w:val="20"/>
        </w:rPr>
        <w:t xml:space="preserve">” </w:t>
      </w:r>
      <w:r>
        <w:rPr>
          <w:rFonts w:ascii="Times New Roman" w:hAnsi="Times New Roman"/>
          <w:color w:val="000000"/>
          <w:sz w:val="22"/>
        </w:rPr>
        <w:t>is, with respect to any Person, all of such Person’s right, title, and interest in and to the following:</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its Copyrights, Trademarks and Patents;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and all trade secrets and trade secret rights, including, without limitation, any rights to unpatented inventions, know-how and operating manuals;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and all source code and domain names;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and all design rights which may be available to such Person;</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amendments, renewals and extensions of any of the Copyrights, Trademarks or Patents.</w:t>
      </w:r>
    </w:p>
    <w:p>
      <w:pPr>
        <w:pStyle w:val="TextBody"/>
        <w:bidi w:val="0"/>
        <w:spacing w:before="0" w:after="160"/>
        <w:ind w:left="0" w:right="0" w:firstLine="720"/>
        <w:jc w:val="both"/>
        <w:rPr/>
      </w:pPr>
      <w:r>
        <w:rPr>
          <w:color w:val="000000"/>
        </w:rPr>
        <w:t>“</w:t>
      </w:r>
      <w:r>
        <w:rPr>
          <w:rFonts w:ascii="Times New Roman" w:hAnsi="Times New Roman"/>
          <w:b/>
          <w:color w:val="000000"/>
          <w:sz w:val="22"/>
        </w:rPr>
        <w:t>Interest Only Extension Event</w:t>
      </w:r>
      <w:r>
        <w:rPr>
          <w:rFonts w:ascii="Times New Roman" w:hAnsi="Times New Roman"/>
          <w:color w:val="000000"/>
          <w:sz w:val="20"/>
        </w:rPr>
        <w:t xml:space="preserve">” </w:t>
      </w:r>
      <w:r>
        <w:rPr>
          <w:rFonts w:ascii="Times New Roman" w:hAnsi="Times New Roman"/>
          <w:color w:val="000000"/>
          <w:sz w:val="22"/>
        </w:rPr>
        <w:t>occurs if and when (if ever) Borrower has provided Bank with evidence, satisfactory to Bank in its sole and absolute discretion, on or prior to June 30, 2028, that (a) the Term B Milestone Event has occurred and (b) Parent Guarantor has received, after the Effective Date, but on or prior to June 30, 2028, unrestricted and unencumbered net cash proceeds from the issuance and sale by Parent Guarantor of its equity securities to investors reasonably satisfactory to Bank (it being agreed that investors in a public offering shall be deemed reasonably satisfactory to Bank), in an aggregate amount of at least One Hundred Fifty Million Dollars ($150,000,000.00).</w:t>
      </w:r>
      <w:r>
        <w:rPr>
          <w:rFonts w:ascii="Times New Roman" w:hAnsi="Times New Roman"/>
          <w:color w:val="000000"/>
          <w:sz w:val="20"/>
        </w:rPr>
        <w:t xml:space="preserve"> </w:t>
      </w:r>
    </w:p>
    <w:p>
      <w:pPr>
        <w:pStyle w:val="TextBody"/>
        <w:bidi w:val="0"/>
        <w:spacing w:before="0" w:after="160"/>
        <w:ind w:left="0" w:right="0" w:firstLine="720"/>
        <w:jc w:val="both"/>
        <w:rPr/>
      </w:pPr>
      <w:r>
        <w:rPr>
          <w:color w:val="000000"/>
        </w:rPr>
        <w:t>“</w:t>
      </w:r>
      <w:r>
        <w:rPr>
          <w:rFonts w:ascii="Times New Roman" w:hAnsi="Times New Roman"/>
          <w:b/>
          <w:color w:val="000000"/>
          <w:sz w:val="22"/>
        </w:rPr>
        <w:t>Inventory</w:t>
      </w:r>
      <w:r>
        <w:rPr>
          <w:rFonts w:ascii="Times New Roman" w:hAnsi="Times New Roman"/>
          <w:color w:val="000000"/>
          <w:sz w:val="20"/>
        </w:rPr>
        <w:t xml:space="preserve">” </w:t>
      </w:r>
      <w:r>
        <w:rPr>
          <w:rFonts w:ascii="Times New Roman" w:hAnsi="Times New Roman"/>
          <w:color w:val="000000"/>
          <w:sz w:val="22"/>
        </w:rPr>
        <w:t>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any Loan Party’s custody or possession or in transit and including any returned goods and any documents of title representing any of the above.</w:t>
      </w:r>
    </w:p>
    <w:p>
      <w:pPr>
        <w:pStyle w:val="TextBody"/>
        <w:bidi w:val="0"/>
        <w:spacing w:before="0" w:after="160"/>
        <w:ind w:left="0" w:right="0" w:firstLine="720"/>
        <w:jc w:val="both"/>
        <w:rPr/>
      </w:pPr>
      <w:r>
        <w:rPr>
          <w:color w:val="000000"/>
        </w:rPr>
        <w:t>“</w:t>
      </w:r>
      <w:r>
        <w:rPr>
          <w:rFonts w:ascii="Times New Roman" w:hAnsi="Times New Roman"/>
          <w:b/>
          <w:color w:val="000000"/>
          <w:sz w:val="22"/>
        </w:rPr>
        <w:t>Investment</w:t>
      </w:r>
      <w:r>
        <w:rPr>
          <w:rFonts w:ascii="Times New Roman" w:hAnsi="Times New Roman"/>
          <w:color w:val="000000"/>
          <w:sz w:val="20"/>
        </w:rPr>
        <w:t xml:space="preserve">” </w:t>
      </w:r>
      <w:r>
        <w:rPr>
          <w:rFonts w:ascii="Times New Roman" w:hAnsi="Times New Roman"/>
          <w:color w:val="000000"/>
          <w:sz w:val="22"/>
        </w:rPr>
        <w:t>is any beneficial ownership interest in any Person (including stock, partnership interest or other securities), and any loan, advance or capital contribution to any Person.</w:t>
      </w:r>
    </w:p>
    <w:p>
      <w:pPr>
        <w:pStyle w:val="TextBody"/>
        <w:bidi w:val="0"/>
        <w:spacing w:before="0" w:after="160"/>
        <w:ind w:left="0" w:right="0" w:firstLine="720"/>
        <w:jc w:val="both"/>
        <w:rPr/>
      </w:pPr>
      <w:r>
        <w:rPr>
          <w:color w:val="000000"/>
        </w:rPr>
        <w:t>“</w:t>
      </w:r>
      <w:r>
        <w:rPr>
          <w:rFonts w:ascii="Times New Roman" w:hAnsi="Times New Roman"/>
          <w:b/>
          <w:color w:val="000000"/>
          <w:sz w:val="22"/>
        </w:rPr>
        <w:t>IRC</w:t>
      </w:r>
      <w:r>
        <w:rPr>
          <w:rFonts w:ascii="Times New Roman" w:hAnsi="Times New Roman"/>
          <w:color w:val="000000"/>
          <w:sz w:val="20"/>
        </w:rPr>
        <w:t xml:space="preserve">” </w:t>
      </w:r>
      <w:r>
        <w:rPr>
          <w:rFonts w:ascii="Times New Roman" w:hAnsi="Times New Roman"/>
          <w:color w:val="000000"/>
          <w:sz w:val="22"/>
        </w:rPr>
        <w:t>means the U.S. Internal Revenue Code of 1986, as amended.</w:t>
      </w:r>
    </w:p>
    <w:p>
      <w:pPr>
        <w:pStyle w:val="TextBody"/>
        <w:bidi w:val="0"/>
        <w:spacing w:before="0" w:after="160"/>
        <w:ind w:left="0" w:right="0" w:firstLine="720"/>
        <w:jc w:val="both"/>
        <w:rPr/>
      </w:pPr>
      <w:r>
        <w:rPr>
          <w:color w:val="000000"/>
        </w:rPr>
        <w:t>“</w:t>
      </w:r>
      <w:r>
        <w:rPr>
          <w:rFonts w:ascii="Times New Roman" w:hAnsi="Times New Roman"/>
          <w:b/>
          <w:color w:val="000000"/>
          <w:sz w:val="22"/>
        </w:rPr>
        <w:t>Irish Account Transition Period</w:t>
      </w:r>
      <w:r>
        <w:rPr>
          <w:rFonts w:ascii="Times New Roman" w:hAnsi="Times New Roman"/>
          <w:color w:val="000000"/>
          <w:sz w:val="20"/>
        </w:rPr>
        <w:t xml:space="preserve">” </w:t>
      </w:r>
      <w:r>
        <w:rPr>
          <w:rFonts w:ascii="Times New Roman" w:hAnsi="Times New Roman"/>
          <w:color w:val="000000"/>
          <w:sz w:val="22"/>
        </w:rPr>
        <w:t>is the period of time commencing upon the Effective Date and continuing through the earlier to occur of (a) June 25, 2028 or (b) an Event of Default.</w:t>
      </w:r>
    </w:p>
    <w:p>
      <w:pPr>
        <w:pStyle w:val="TextBody"/>
        <w:bidi w:val="0"/>
        <w:spacing w:before="0" w:after="160"/>
        <w:ind w:left="0" w:right="0" w:firstLine="720"/>
        <w:jc w:val="both"/>
        <w:rPr/>
      </w:pPr>
      <w:r>
        <w:rPr>
          <w:color w:val="000000"/>
        </w:rPr>
        <w:t>“</w:t>
      </w:r>
      <w:r>
        <w:rPr>
          <w:rFonts w:ascii="Times New Roman" w:hAnsi="Times New Roman"/>
          <w:b/>
          <w:color w:val="000000"/>
          <w:sz w:val="22"/>
        </w:rPr>
        <w:t>Irish Companies Act</w:t>
      </w:r>
      <w:r>
        <w:rPr>
          <w:rFonts w:ascii="Times New Roman" w:hAnsi="Times New Roman"/>
          <w:color w:val="000000"/>
          <w:sz w:val="20"/>
        </w:rPr>
        <w:t xml:space="preserve">” </w:t>
      </w:r>
      <w:r>
        <w:rPr>
          <w:rFonts w:ascii="Times New Roman" w:hAnsi="Times New Roman"/>
          <w:color w:val="000000"/>
          <w:sz w:val="22"/>
        </w:rPr>
        <w:t>means the Companies Act 2014 of Ireland, as amended.</w:t>
      </w:r>
    </w:p>
    <w:p>
      <w:pPr>
        <w:pStyle w:val="TextBody"/>
        <w:bidi w:val="0"/>
        <w:spacing w:before="0" w:after="160"/>
        <w:ind w:left="0" w:right="0" w:firstLine="720"/>
        <w:jc w:val="both"/>
        <w:rPr/>
      </w:pPr>
      <w:r>
        <w:rPr>
          <w:color w:val="000000"/>
        </w:rPr>
        <w:t>“</w:t>
      </w:r>
      <w:r>
        <w:rPr>
          <w:rFonts w:ascii="Times New Roman" w:hAnsi="Times New Roman"/>
          <w:b/>
          <w:color w:val="000000"/>
          <w:sz w:val="22"/>
        </w:rPr>
        <w:t>Irish Debenture</w:t>
      </w:r>
      <w:r>
        <w:rPr>
          <w:rFonts w:ascii="Times New Roman" w:hAnsi="Times New Roman"/>
          <w:color w:val="000000"/>
          <w:sz w:val="20"/>
        </w:rPr>
        <w:t xml:space="preserve">” </w:t>
      </w:r>
      <w:r>
        <w:rPr>
          <w:rFonts w:ascii="Times New Roman" w:hAnsi="Times New Roman"/>
          <w:color w:val="000000"/>
          <w:sz w:val="22"/>
        </w:rPr>
        <w:t>means the Irish law governed debenture dated on or about the date of this Agreement between (1) the Irish Guarantor and (2) the Bank.</w:t>
      </w:r>
    </w:p>
    <w:p>
      <w:pPr>
        <w:pStyle w:val="TextBody"/>
        <w:bidi w:val="0"/>
        <w:spacing w:before="0" w:after="160"/>
        <w:ind w:left="0" w:right="0" w:firstLine="720"/>
        <w:jc w:val="both"/>
        <w:rPr/>
      </w:pPr>
      <w:r>
        <w:rPr>
          <w:color w:val="000000"/>
        </w:rPr>
        <w:t>“</w:t>
      </w:r>
      <w:r>
        <w:rPr>
          <w:rFonts w:ascii="Times New Roman" w:hAnsi="Times New Roman"/>
          <w:b/>
          <w:color w:val="000000"/>
          <w:sz w:val="22"/>
        </w:rPr>
        <w:t>Irish Guarantor</w:t>
      </w:r>
      <w:r>
        <w:rPr>
          <w:rFonts w:ascii="Times New Roman" w:hAnsi="Times New Roman"/>
          <w:color w:val="000000"/>
          <w:sz w:val="20"/>
        </w:rPr>
        <w:t xml:space="preserve">” </w:t>
      </w:r>
      <w:r>
        <w:rPr>
          <w:rFonts w:ascii="Times New Roman" w:hAnsi="Times New Roman"/>
          <w:color w:val="000000"/>
          <w:sz w:val="22"/>
        </w:rPr>
        <w:t>is defined in the preamble hereof.</w:t>
      </w:r>
    </w:p>
    <w:p>
      <w:pPr>
        <w:pStyle w:val="TextBody"/>
        <w:bidi w:val="0"/>
        <w:spacing w:before="0" w:after="160"/>
        <w:ind w:left="0" w:right="0" w:firstLine="720"/>
        <w:jc w:val="both"/>
        <w:rPr/>
      </w:pPr>
      <w:r>
        <w:rPr>
          <w:color w:val="000000"/>
        </w:rPr>
        <w:t>“</w:t>
      </w:r>
      <w:r>
        <w:rPr>
          <w:rFonts w:ascii="Times New Roman" w:hAnsi="Times New Roman"/>
          <w:b/>
          <w:color w:val="000000"/>
          <w:sz w:val="22"/>
        </w:rPr>
        <w:t>Irish Guarantor Account</w:t>
      </w:r>
      <w:r>
        <w:rPr>
          <w:rFonts w:ascii="Times New Roman" w:hAnsi="Times New Roman"/>
          <w:color w:val="000000"/>
          <w:sz w:val="20"/>
        </w:rPr>
        <w:t xml:space="preserve">” </w:t>
      </w:r>
      <w:r>
        <w:rPr>
          <w:rFonts w:ascii="Times New Roman" w:hAnsi="Times New Roman"/>
          <w:color w:val="000000"/>
          <w:sz w:val="22"/>
        </w:rPr>
        <w:t>is defined in Section 6.8(b).</w:t>
      </w:r>
    </w:p>
    <w:p>
      <w:pPr>
        <w:pStyle w:val="TextBody"/>
        <w:bidi w:val="0"/>
        <w:spacing w:before="0" w:after="160"/>
        <w:ind w:left="0" w:right="0" w:firstLine="720"/>
        <w:jc w:val="both"/>
        <w:rPr/>
      </w:pPr>
      <w:r>
        <w:rPr>
          <w:color w:val="000000"/>
        </w:rPr>
        <w:t>“</w:t>
      </w:r>
      <w:r>
        <w:rPr>
          <w:rFonts w:ascii="Times New Roman" w:hAnsi="Times New Roman"/>
          <w:b/>
          <w:color w:val="000000"/>
          <w:sz w:val="22"/>
        </w:rPr>
        <w:t>Irish Loan Parties</w:t>
      </w:r>
      <w:r>
        <w:rPr>
          <w:rFonts w:ascii="Times New Roman" w:hAnsi="Times New Roman"/>
          <w:color w:val="000000"/>
          <w:sz w:val="20"/>
        </w:rPr>
        <w:t xml:space="preserve">” </w:t>
      </w:r>
      <w:r>
        <w:rPr>
          <w:rFonts w:ascii="Times New Roman" w:hAnsi="Times New Roman"/>
          <w:color w:val="000000"/>
          <w:sz w:val="22"/>
        </w:rPr>
        <w:t>means together the Irish Guarantor and any other Loan Party incorporated in Ireland and “</w:t>
      </w:r>
      <w:r>
        <w:rPr>
          <w:rFonts w:ascii="Times New Roman" w:hAnsi="Times New Roman"/>
          <w:b/>
          <w:color w:val="000000"/>
          <w:sz w:val="22"/>
        </w:rPr>
        <w:t>Irish Loan Party</w:t>
      </w:r>
      <w:r>
        <w:rPr>
          <w:rFonts w:ascii="Times New Roman" w:hAnsi="Times New Roman"/>
          <w:color w:val="000000"/>
          <w:sz w:val="20"/>
        </w:rPr>
        <w:t xml:space="preserve">” </w:t>
      </w:r>
      <w:r>
        <w:rPr>
          <w:rFonts w:ascii="Times New Roman" w:hAnsi="Times New Roman"/>
          <w:color w:val="000000"/>
          <w:sz w:val="22"/>
        </w:rPr>
        <w:t>means any one of them as the context requires.</w:t>
      </w:r>
    </w:p>
    <w:p>
      <w:pPr>
        <w:pStyle w:val="TextBody"/>
        <w:bidi w:val="0"/>
        <w:spacing w:before="0" w:after="160"/>
        <w:ind w:left="0" w:right="0" w:firstLine="720"/>
        <w:jc w:val="both"/>
        <w:rPr/>
      </w:pPr>
      <w:r>
        <w:rPr>
          <w:color w:val="000000"/>
        </w:rPr>
        <w:t>“</w:t>
      </w:r>
      <w:r>
        <w:rPr>
          <w:rFonts w:ascii="Times New Roman" w:hAnsi="Times New Roman"/>
          <w:b/>
          <w:color w:val="000000"/>
          <w:sz w:val="22"/>
        </w:rPr>
        <w:t>Irish Security Documents</w:t>
      </w:r>
      <w:r>
        <w:rPr>
          <w:rFonts w:ascii="Times New Roman" w:hAnsi="Times New Roman"/>
          <w:color w:val="000000"/>
          <w:sz w:val="20"/>
        </w:rPr>
        <w:t xml:space="preserve">” </w:t>
      </w:r>
      <w:r>
        <w:rPr>
          <w:rFonts w:ascii="Times New Roman" w:hAnsi="Times New Roman"/>
          <w:color w:val="000000"/>
          <w:sz w:val="22"/>
        </w:rPr>
        <w:t>means together the Irish Debenture and the Irish Share Charge and any other documents designated as such by the Borrower and the Bank.</w:t>
      </w:r>
    </w:p>
    <w:p>
      <w:pPr>
        <w:pStyle w:val="TextBody"/>
        <w:bidi w:val="0"/>
        <w:spacing w:before="0" w:after="160"/>
        <w:ind w:left="0" w:right="0" w:firstLine="720"/>
        <w:jc w:val="both"/>
        <w:rPr/>
      </w:pPr>
      <w:r>
        <w:rPr>
          <w:color w:val="000000"/>
        </w:rPr>
        <w:t>“</w:t>
      </w:r>
      <w:r>
        <w:rPr>
          <w:rFonts w:ascii="Times New Roman" w:hAnsi="Times New Roman"/>
          <w:b/>
          <w:color w:val="000000"/>
          <w:sz w:val="22"/>
        </w:rPr>
        <w:t>Irish Share Charge</w:t>
      </w:r>
      <w:r>
        <w:rPr>
          <w:rFonts w:ascii="Times New Roman" w:hAnsi="Times New Roman"/>
          <w:color w:val="000000"/>
          <w:sz w:val="20"/>
        </w:rPr>
        <w:t xml:space="preserve">” </w:t>
      </w:r>
      <w:r>
        <w:rPr>
          <w:rFonts w:ascii="Times New Roman" w:hAnsi="Times New Roman"/>
          <w:color w:val="000000"/>
          <w:sz w:val="22"/>
        </w:rPr>
        <w:t>means the Irish law governed charge over shares dated on or about the date of this Agreement between (1) the Parent Guarantor and (2) the Bank in respect of the entire issued share capital of the Irish Guarantor.</w:t>
      </w:r>
    </w:p>
    <w:p>
      <w:pPr>
        <w:pStyle w:val="TextBody"/>
        <w:bidi w:val="0"/>
        <w:spacing w:before="0" w:after="160"/>
        <w:ind w:left="0" w:right="0" w:firstLine="720"/>
        <w:jc w:val="both"/>
        <w:rPr/>
      </w:pPr>
      <w:r>
        <w:rPr>
          <w:color w:val="000000"/>
        </w:rPr>
        <w:t>“</w:t>
      </w:r>
      <w:r>
        <w:rPr>
          <w:rFonts w:ascii="Times New Roman" w:hAnsi="Times New Roman"/>
          <w:b/>
          <w:color w:val="000000"/>
          <w:sz w:val="22"/>
        </w:rPr>
        <w:t>Key Person</w:t>
      </w:r>
      <w:r>
        <w:rPr>
          <w:rFonts w:ascii="Times New Roman" w:hAnsi="Times New Roman"/>
          <w:color w:val="000000"/>
          <w:sz w:val="20"/>
        </w:rPr>
        <w:t xml:space="preserve">” </w:t>
      </w:r>
      <w:r>
        <w:rPr>
          <w:rFonts w:ascii="Times New Roman" w:hAnsi="Times New Roman"/>
          <w:color w:val="000000"/>
          <w:sz w:val="22"/>
        </w:rPr>
        <w:t>is Parent Guarantor’s chief executive officer, who is Jason Lettmann as of the Effective Date.</w:t>
      </w:r>
    </w:p>
    <w:p>
      <w:pPr>
        <w:pStyle w:val="TextBody"/>
        <w:bidi w:val="0"/>
        <w:spacing w:before="0" w:after="160"/>
        <w:ind w:left="0" w:right="0" w:firstLine="720"/>
        <w:jc w:val="both"/>
        <w:rPr/>
      </w:pPr>
      <w:r>
        <w:rPr>
          <w:color w:val="000000"/>
        </w:rPr>
        <w:t>“</w:t>
      </w:r>
      <w:r>
        <w:rPr>
          <w:rFonts w:ascii="Times New Roman" w:hAnsi="Times New Roman"/>
          <w:b/>
          <w:color w:val="000000"/>
          <w:sz w:val="22"/>
        </w:rPr>
        <w:t>LC Collateral Accounts</w:t>
      </w:r>
      <w:r>
        <w:rPr>
          <w:rFonts w:ascii="Times New Roman" w:hAnsi="Times New Roman"/>
          <w:color w:val="000000"/>
          <w:sz w:val="20"/>
        </w:rPr>
        <w:t xml:space="preserve">” </w:t>
      </w:r>
      <w:r>
        <w:rPr>
          <w:rFonts w:ascii="Times New Roman" w:hAnsi="Times New Roman"/>
          <w:color w:val="000000"/>
          <w:sz w:val="22"/>
        </w:rPr>
        <w:t>is defined in clause is defined in clause (n) of the definition of Permitted Liens.</w:t>
      </w:r>
      <w:r>
        <w:rPr>
          <w:rFonts w:ascii="Times New Roman" w:hAnsi="Times New Roman"/>
          <w:color w:val="000000"/>
          <w:sz w:val="20"/>
        </w:rPr>
        <w:t xml:space="preserve"> </w:t>
      </w:r>
    </w:p>
    <w:p>
      <w:pPr>
        <w:pStyle w:val="TextBody"/>
        <w:bidi w:val="0"/>
        <w:spacing w:before="0" w:after="160"/>
        <w:ind w:left="0" w:right="0" w:firstLine="720"/>
        <w:jc w:val="both"/>
        <w:rPr/>
      </w:pPr>
      <w:r>
        <w:rPr>
          <w:color w:val="000000"/>
        </w:rPr>
        <w:t>“</w:t>
      </w:r>
      <w:r>
        <w:rPr>
          <w:rFonts w:ascii="Times New Roman" w:hAnsi="Times New Roman"/>
          <w:b/>
          <w:color w:val="000000"/>
          <w:sz w:val="22"/>
        </w:rPr>
        <w:t>Letter of Credit</w:t>
      </w:r>
      <w:r>
        <w:rPr>
          <w:rFonts w:ascii="Times New Roman" w:hAnsi="Times New Roman"/>
          <w:color w:val="000000"/>
          <w:sz w:val="20"/>
        </w:rPr>
        <w:t xml:space="preserve">” </w:t>
      </w:r>
      <w:r>
        <w:rPr>
          <w:rFonts w:ascii="Times New Roman" w:hAnsi="Times New Roman"/>
          <w:color w:val="000000"/>
          <w:sz w:val="22"/>
        </w:rPr>
        <w:t>is a standby or commercial letter of credit issued by Bank and/or any Affiliate of Bank upon request of Borrower based upon an application, guarantee, indemnity, or similar agreement on the part of Bank and/or any Affiliate of Bank.</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160"/>
        <w:ind w:left="0" w:right="0" w:firstLine="720"/>
        <w:jc w:val="both"/>
        <w:rPr/>
      </w:pPr>
      <w:r>
        <w:rPr>
          <w:color w:val="000000"/>
        </w:rPr>
        <w:t>“</w:t>
      </w:r>
      <w:r>
        <w:rPr>
          <w:rFonts w:ascii="Times New Roman" w:hAnsi="Times New Roman"/>
          <w:b/>
          <w:color w:val="000000"/>
          <w:sz w:val="22"/>
        </w:rPr>
        <w:t>Lien</w:t>
      </w:r>
      <w:r>
        <w:rPr>
          <w:rFonts w:ascii="Times New Roman" w:hAnsi="Times New Roman"/>
          <w:color w:val="000000"/>
          <w:sz w:val="20"/>
        </w:rPr>
        <w:t xml:space="preserve">” </w:t>
      </w:r>
      <w:r>
        <w:rPr>
          <w:rFonts w:ascii="Times New Roman" w:hAnsi="Times New Roman"/>
          <w:color w:val="000000"/>
          <w:sz w:val="22"/>
        </w:rPr>
        <w:t>is a claim, mortgage, deed of trust, levy, charge, pledge, security interest or other encumbrance of any kind, whether voluntarily incurred or arising by operation of law or otherwise against any property.</w:t>
      </w:r>
    </w:p>
    <w:p>
      <w:pPr>
        <w:pStyle w:val="TextBody"/>
        <w:bidi w:val="0"/>
        <w:spacing w:before="0" w:after="160"/>
        <w:ind w:left="0" w:right="0" w:firstLine="720"/>
        <w:jc w:val="both"/>
        <w:rPr/>
      </w:pPr>
      <w:r>
        <w:rPr>
          <w:color w:val="000000"/>
        </w:rPr>
        <w:t>“</w:t>
      </w:r>
      <w:r>
        <w:rPr>
          <w:rFonts w:ascii="Times New Roman" w:hAnsi="Times New Roman"/>
          <w:b/>
          <w:color w:val="000000"/>
          <w:sz w:val="22"/>
        </w:rPr>
        <w:t>Loan Documents</w:t>
      </w:r>
      <w:r>
        <w:rPr>
          <w:rFonts w:ascii="Times New Roman" w:hAnsi="Times New Roman"/>
          <w:color w:val="000000"/>
          <w:sz w:val="20"/>
        </w:rPr>
        <w:t xml:space="preserve">” </w:t>
      </w:r>
      <w:r>
        <w:rPr>
          <w:rFonts w:ascii="Times New Roman" w:hAnsi="Times New Roman"/>
          <w:color w:val="000000"/>
          <w:sz w:val="22"/>
        </w:rPr>
        <w:t>are, collectively, this Agreement and any schedules, exhibits, certificates, notices, and any other documents related to this Agreement, including each Guarantee Agreement, the Irish Security Documents, any subordination agreement, any Control Agreement, any Bank Services Agreement, any pledge agreement, notes or guaranties executed by any Loan Party or any Subsidiary of a Loan Party and any other present or future agreement by any Loan Party or any Subsidiary of a Loan Party with or for the benefit of Bank and/or any Affiliate of Bank in connection with this Agreement and/or Bank Services, all as amended, restated, supplemented, or otherwise modified from time to time.</w:t>
      </w:r>
    </w:p>
    <w:p>
      <w:pPr>
        <w:pStyle w:val="TextBody"/>
        <w:bidi w:val="0"/>
        <w:spacing w:before="0" w:after="160"/>
        <w:ind w:left="0" w:right="0" w:firstLine="720"/>
        <w:jc w:val="both"/>
        <w:rPr/>
      </w:pPr>
      <w:r>
        <w:rPr>
          <w:color w:val="000000"/>
        </w:rPr>
        <w:t>“</w:t>
      </w:r>
      <w:r>
        <w:rPr>
          <w:rFonts w:ascii="Times New Roman" w:hAnsi="Times New Roman"/>
          <w:b/>
          <w:color w:val="000000"/>
          <w:sz w:val="22"/>
        </w:rPr>
        <w:t>Loan Parties</w:t>
      </w:r>
      <w:r>
        <w:rPr>
          <w:rFonts w:ascii="Times New Roman" w:hAnsi="Times New Roman"/>
          <w:color w:val="000000"/>
          <w:sz w:val="20"/>
        </w:rPr>
        <w:t xml:space="preserve">” </w:t>
      </w:r>
      <w:r>
        <w:rPr>
          <w:rFonts w:ascii="Times New Roman" w:hAnsi="Times New Roman"/>
          <w:color w:val="000000"/>
          <w:sz w:val="22"/>
        </w:rPr>
        <w:t>are Borrower and the Guarantors.</w:t>
      </w:r>
    </w:p>
    <w:p>
      <w:pPr>
        <w:pStyle w:val="TextBody"/>
        <w:bidi w:val="0"/>
        <w:spacing w:before="0" w:after="160"/>
        <w:ind w:left="0" w:right="0" w:firstLine="720"/>
        <w:jc w:val="both"/>
        <w:rPr/>
      </w:pPr>
      <w:r>
        <w:rPr>
          <w:color w:val="000000"/>
        </w:rPr>
        <w:t>“</w:t>
      </w:r>
      <w:r>
        <w:rPr>
          <w:rFonts w:ascii="Times New Roman" w:hAnsi="Times New Roman"/>
          <w:b/>
          <w:color w:val="000000"/>
          <w:sz w:val="22"/>
        </w:rPr>
        <w:t>Material Adverse Change</w:t>
      </w:r>
      <w:r>
        <w:rPr>
          <w:rFonts w:ascii="Times New Roman" w:hAnsi="Times New Roman"/>
          <w:color w:val="000000"/>
          <w:sz w:val="20"/>
        </w:rPr>
        <w:t xml:space="preserve">” </w:t>
      </w:r>
      <w:r>
        <w:rPr>
          <w:rFonts w:ascii="Times New Roman" w:hAnsi="Times New Roman"/>
          <w:color w:val="000000"/>
          <w:sz w:val="22"/>
        </w:rPr>
        <w:t>is (a) a material impairment in the perfection or priority of Bank’s Lien in the Collateral or in the value of such Collateral; (b) a material adverse change in the business, assets, operations, properties, or financial condition of the Loan Parties and their Subsidiaries, taken as a whole; (c) a material adverse change in the ability of the Loan Parties, collectively to pay or perform their Obligations; or (d) a material adverse change in the validity or enforceability of any of the Loan Documents and the rights and remedies of Bank thereunder.</w:t>
      </w:r>
    </w:p>
    <w:p>
      <w:pPr>
        <w:pStyle w:val="TextBody"/>
        <w:bidi w:val="0"/>
        <w:spacing w:before="0" w:after="160"/>
        <w:ind w:left="0" w:right="0" w:firstLine="720"/>
        <w:jc w:val="both"/>
        <w:rPr/>
      </w:pPr>
      <w:r>
        <w:rPr>
          <w:color w:val="000000"/>
        </w:rPr>
        <w:t>“</w:t>
      </w:r>
      <w:r>
        <w:rPr>
          <w:rFonts w:ascii="Times New Roman" w:hAnsi="Times New Roman"/>
          <w:b/>
          <w:color w:val="000000"/>
          <w:sz w:val="22"/>
        </w:rPr>
        <w:t>Obligations</w:t>
      </w:r>
      <w:r>
        <w:rPr>
          <w:rFonts w:ascii="Times New Roman" w:hAnsi="Times New Roman"/>
          <w:color w:val="000000"/>
          <w:sz w:val="20"/>
        </w:rPr>
        <w:t xml:space="preserve">” </w:t>
      </w:r>
      <w:r>
        <w:rPr>
          <w:rFonts w:ascii="Times New Roman" w:hAnsi="Times New Roman"/>
          <w:color w:val="000000"/>
          <w:sz w:val="22"/>
        </w:rPr>
        <w:t>are the Loan Parties’ obligations to pay when due any debts, principal, interest, fees, the Final Payment, the Prepayment Premium, Bank Expenses, and other amounts any Loan Party owes Bank or any Affiliate of Bank now or later, whether under this Agreement, the other Loan Documents, any Bank Services Agreement or otherwise, including, without limitation other Bank Services, if any, and including interest accruing after Insolvency Proceedings begin and debts, liabilities, or obligations of any Loan Party assigned to Bank, and to perform any Loan Party’s duties under the Loan Documents.</w:t>
      </w:r>
      <w:r>
        <w:rPr>
          <w:rFonts w:ascii="Times New Roman" w:hAnsi="Times New Roman"/>
          <w:color w:val="000000"/>
          <w:sz w:val="20"/>
        </w:rPr>
        <w:t xml:space="preserve"> </w:t>
      </w:r>
    </w:p>
    <w:p>
      <w:pPr>
        <w:pStyle w:val="TextBody"/>
        <w:bidi w:val="0"/>
        <w:spacing w:before="0" w:after="160"/>
        <w:ind w:left="0" w:right="0" w:firstLine="720"/>
        <w:jc w:val="both"/>
        <w:rPr/>
      </w:pPr>
      <w:r>
        <w:rPr>
          <w:color w:val="000000"/>
        </w:rPr>
        <w:t>“</w:t>
      </w:r>
      <w:r>
        <w:rPr>
          <w:rFonts w:ascii="Times New Roman" w:hAnsi="Times New Roman"/>
          <w:b/>
          <w:color w:val="000000"/>
          <w:sz w:val="22"/>
        </w:rPr>
        <w:t>Operating Documents</w:t>
      </w:r>
      <w:r>
        <w:rPr>
          <w:rFonts w:ascii="Times New Roman" w:hAnsi="Times New Roman"/>
          <w:color w:val="000000"/>
          <w:sz w:val="20"/>
        </w:rPr>
        <w:t xml:space="preserve">” </w:t>
      </w:r>
      <w:r>
        <w:rPr>
          <w:rFonts w:ascii="Times New Roman" w:hAnsi="Times New Roman"/>
          <w:color w:val="000000"/>
          <w:sz w:val="22"/>
        </w:rPr>
        <w:t>are, for any Person, such Person’s formation documents, and, (a) if such Person is a corporation, its bylaws in current form, (b) if such Person is a limited liability company, its limited liability company agreement (or similar agreement), (c) if such Person is a partnership, its partnership agreement (or similar agreement), and (d) if such Person is an Irish Loan Party, its certificate of incorporation and constitutional documents, each of the foregoing with all current amendments or modifications thereto.</w:t>
      </w:r>
    </w:p>
    <w:p>
      <w:pPr>
        <w:pStyle w:val="TextBody"/>
        <w:bidi w:val="0"/>
        <w:spacing w:before="0" w:after="160"/>
        <w:ind w:left="0" w:right="0" w:firstLine="720"/>
        <w:jc w:val="both"/>
        <w:rPr/>
      </w:pPr>
      <w:r>
        <w:rPr>
          <w:color w:val="000000"/>
        </w:rPr>
        <w:t>“</w:t>
      </w:r>
      <w:r>
        <w:rPr>
          <w:rFonts w:ascii="Times New Roman" w:hAnsi="Times New Roman"/>
          <w:b/>
          <w:color w:val="000000"/>
          <w:sz w:val="22"/>
        </w:rPr>
        <w:t>Other Connection Taxes</w:t>
      </w:r>
      <w:r>
        <w:rPr>
          <w:rFonts w:ascii="Times New Roman" w:hAnsi="Times New Roman"/>
          <w:color w:val="000000"/>
          <w:sz w:val="20"/>
        </w:rPr>
        <w:t xml:space="preserve">” </w:t>
      </w:r>
      <w:r>
        <w:rPr>
          <w:rFonts w:ascii="Times New Roman" w:hAnsi="Times New Roman"/>
          <w:color w:val="000000"/>
          <w:sz w:val="22"/>
        </w:rPr>
        <w:t>means, with respect to Bank, Taxes imposed as a result of a present or former connection between Bank and the jurisdiction imposing such tax (other than connections arising from Bank having executed, delivered, become a party to, performed its obligations under, received payments under, received or perfected a security interest under, or engaged in any other transaction pursuant to or enforced any Loan Document, or sold or assigned an interest in any Loan Document).</w:t>
      </w:r>
    </w:p>
    <w:p>
      <w:pPr>
        <w:pStyle w:val="TextBody"/>
        <w:bidi w:val="0"/>
        <w:spacing w:before="0" w:after="160"/>
        <w:ind w:left="0" w:right="0" w:firstLine="720"/>
        <w:jc w:val="both"/>
        <w:rPr/>
      </w:pPr>
      <w:r>
        <w:rPr>
          <w:color w:val="000000"/>
        </w:rPr>
        <w:t>“</w:t>
      </w:r>
      <w:r>
        <w:rPr>
          <w:rFonts w:ascii="Times New Roman" w:hAnsi="Times New Roman"/>
          <w:b/>
          <w:color w:val="000000"/>
          <w:sz w:val="22"/>
        </w:rPr>
        <w:t>Other Taxes</w:t>
      </w:r>
      <w:r>
        <w:rPr>
          <w:rFonts w:ascii="Times New Roman" w:hAnsi="Times New Roman"/>
          <w:color w:val="000000"/>
          <w:sz w:val="20"/>
        </w:rPr>
        <w:t xml:space="preserve">” </w:t>
      </w:r>
      <w:r>
        <w:rPr>
          <w:rFonts w:ascii="Times New Roman" w:hAnsi="Times New Roman"/>
          <w:color w:val="000000"/>
          <w:sz w:val="22"/>
        </w:rPr>
        <w:t>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pStyle w:val="TextBody"/>
        <w:bidi w:val="0"/>
        <w:spacing w:before="0" w:after="160"/>
        <w:ind w:left="0" w:right="0" w:firstLine="720"/>
        <w:jc w:val="both"/>
        <w:rPr/>
      </w:pPr>
      <w:r>
        <w:rPr>
          <w:color w:val="000000"/>
        </w:rPr>
        <w:t>“</w:t>
      </w:r>
      <w:r>
        <w:rPr>
          <w:rFonts w:ascii="Times New Roman" w:hAnsi="Times New Roman"/>
          <w:b/>
          <w:color w:val="000000"/>
          <w:sz w:val="22"/>
        </w:rPr>
        <w:t>Oxford</w:t>
      </w:r>
      <w:r>
        <w:rPr>
          <w:rFonts w:ascii="Times New Roman" w:hAnsi="Times New Roman"/>
          <w:color w:val="000000"/>
          <w:sz w:val="20"/>
        </w:rPr>
        <w:t xml:space="preserve">” </w:t>
      </w:r>
      <w:r>
        <w:rPr>
          <w:rFonts w:ascii="Times New Roman" w:hAnsi="Times New Roman"/>
          <w:color w:val="000000"/>
          <w:sz w:val="22"/>
        </w:rPr>
        <w:t>is defined in the definition of Oxford-SVB Loan Agreement.</w:t>
      </w:r>
    </w:p>
    <w:p>
      <w:pPr>
        <w:pStyle w:val="TextBody"/>
        <w:bidi w:val="0"/>
        <w:spacing w:before="0" w:after="160"/>
        <w:ind w:left="0" w:right="0" w:firstLine="720"/>
        <w:jc w:val="both"/>
        <w:rPr/>
      </w:pPr>
      <w:r>
        <w:rPr>
          <w:color w:val="000000"/>
        </w:rPr>
        <w:t>“</w:t>
      </w:r>
      <w:r>
        <w:rPr>
          <w:rFonts w:ascii="Times New Roman" w:hAnsi="Times New Roman"/>
          <w:b/>
          <w:color w:val="000000"/>
          <w:sz w:val="22"/>
        </w:rPr>
        <w:t>Oxford-SVB Obligations</w:t>
      </w:r>
      <w:r>
        <w:rPr>
          <w:rFonts w:ascii="Times New Roman" w:hAnsi="Times New Roman"/>
          <w:color w:val="000000"/>
          <w:sz w:val="20"/>
        </w:rPr>
        <w:t xml:space="preserve">” </w:t>
      </w:r>
      <w:r>
        <w:rPr>
          <w:rFonts w:ascii="Times New Roman" w:hAnsi="Times New Roman"/>
          <w:color w:val="000000"/>
          <w:sz w:val="22"/>
        </w:rPr>
        <w:t>means the Loan Parties’ existing obligations under the Oxford-SVB Loan Agreement.</w:t>
      </w:r>
      <w:r>
        <w:rPr>
          <w:rFonts w:ascii="Times New Roman" w:hAnsi="Times New Roman"/>
          <w:color w:val="000000"/>
          <w:sz w:val="20"/>
        </w:rPr>
        <w:t xml:space="preserve"> </w:t>
      </w:r>
    </w:p>
    <w:p>
      <w:pPr>
        <w:pStyle w:val="TextBody"/>
        <w:bidi w:val="0"/>
        <w:spacing w:before="0" w:after="160"/>
        <w:ind w:left="0" w:right="0" w:firstLine="720"/>
        <w:jc w:val="both"/>
        <w:rPr/>
      </w:pPr>
      <w:r>
        <w:rPr>
          <w:color w:val="000000"/>
        </w:rPr>
        <w:t>“</w:t>
      </w:r>
      <w:r>
        <w:rPr>
          <w:rFonts w:ascii="Times New Roman" w:hAnsi="Times New Roman"/>
          <w:b/>
          <w:color w:val="000000"/>
          <w:sz w:val="22"/>
        </w:rPr>
        <w:t>Oxford-SVB Loan Agreement</w:t>
      </w:r>
      <w:r>
        <w:rPr>
          <w:rFonts w:ascii="Times New Roman" w:hAnsi="Times New Roman"/>
          <w:color w:val="000000"/>
          <w:sz w:val="20"/>
        </w:rPr>
        <w:t xml:space="preserve">” </w:t>
      </w:r>
      <w:r>
        <w:rPr>
          <w:rFonts w:ascii="Times New Roman" w:hAnsi="Times New Roman"/>
          <w:color w:val="000000"/>
          <w:sz w:val="22"/>
        </w:rPr>
        <w:t>means that certain Loan and Security Agreement dated as of October 27, 2022 by and among the Loan Parties, Oxford Finance LLC (“Oxford”), as collateral agent, the</w:t>
      </w:r>
      <w:r>
        <w:rPr>
          <w:rFonts w:ascii="Times New Roman" w:hAnsi="Times New Roman"/>
          <w:color w:val="000000"/>
          <w:sz w:val="20"/>
        </w:rPr>
        <w:t xml:space="preserve">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160"/>
        <w:jc w:val="both"/>
        <w:rPr>
          <w:rFonts w:ascii="Times New Roman" w:hAnsi="Times New Roman"/>
          <w:sz w:val="20"/>
        </w:rPr>
      </w:pPr>
      <w:r>
        <w:rPr>
          <w:rFonts w:ascii="Times New Roman" w:hAnsi="Times New Roman"/>
          <w:color w:val="000000"/>
          <w:sz w:val="22"/>
        </w:rPr>
        <w:t>lenders listed on Schedule 1.1 thereto or otherwise a party thereto from time to time including Oxford in its capacity as a lender, Oxford Finance Credit Fund II LP and Silicon Valley Bank, a division of First-Citizens Bank &amp; Trust Company, as amended.</w:t>
      </w:r>
      <w:r>
        <w:rPr>
          <w:rFonts w:ascii="Times New Roman" w:hAnsi="Times New Roman"/>
          <w:color w:val="000000"/>
          <w:sz w:val="20"/>
        </w:rPr>
        <w:t xml:space="preserve"> </w:t>
      </w:r>
    </w:p>
    <w:p>
      <w:pPr>
        <w:pStyle w:val="TextBody"/>
        <w:bidi w:val="0"/>
        <w:spacing w:before="0" w:after="160"/>
        <w:ind w:left="0" w:right="0" w:firstLine="720"/>
        <w:jc w:val="both"/>
        <w:rPr/>
      </w:pPr>
      <w:r>
        <w:rPr>
          <w:color w:val="000000"/>
        </w:rPr>
        <w:t>“</w:t>
      </w:r>
      <w:r>
        <w:rPr>
          <w:rFonts w:ascii="Times New Roman" w:hAnsi="Times New Roman"/>
          <w:b/>
          <w:color w:val="000000"/>
          <w:sz w:val="22"/>
        </w:rPr>
        <w:t>Parent Guarantor</w:t>
      </w:r>
      <w:r>
        <w:rPr>
          <w:rFonts w:ascii="Times New Roman" w:hAnsi="Times New Roman"/>
          <w:color w:val="000000"/>
          <w:sz w:val="20"/>
        </w:rPr>
        <w:t xml:space="preserve">” </w:t>
      </w:r>
      <w:r>
        <w:rPr>
          <w:rFonts w:ascii="Times New Roman" w:hAnsi="Times New Roman"/>
          <w:color w:val="000000"/>
          <w:sz w:val="22"/>
        </w:rPr>
        <w:t>is defined in the preamble hereof.</w:t>
      </w:r>
    </w:p>
    <w:p>
      <w:pPr>
        <w:pStyle w:val="TextBody"/>
        <w:bidi w:val="0"/>
        <w:spacing w:before="0" w:after="160"/>
        <w:ind w:left="0" w:right="0" w:firstLine="720"/>
        <w:jc w:val="both"/>
        <w:rPr/>
      </w:pPr>
      <w:r>
        <w:rPr>
          <w:color w:val="000000"/>
        </w:rPr>
        <w:t>“</w:t>
      </w:r>
      <w:r>
        <w:rPr>
          <w:rFonts w:ascii="Times New Roman" w:hAnsi="Times New Roman"/>
          <w:b/>
          <w:color w:val="000000"/>
          <w:sz w:val="22"/>
        </w:rPr>
        <w:t>Participant Register</w:t>
      </w:r>
      <w:r>
        <w:rPr>
          <w:rFonts w:ascii="Times New Roman" w:hAnsi="Times New Roman"/>
          <w:color w:val="000000"/>
          <w:sz w:val="20"/>
        </w:rPr>
        <w:t xml:space="preserve">” </w:t>
      </w:r>
      <w:r>
        <w:rPr>
          <w:rFonts w:ascii="Times New Roman" w:hAnsi="Times New Roman"/>
          <w:color w:val="000000"/>
          <w:sz w:val="22"/>
        </w:rPr>
        <w:t>is defined in Section 12.3.</w:t>
      </w:r>
    </w:p>
    <w:p>
      <w:pPr>
        <w:pStyle w:val="TextBody"/>
        <w:bidi w:val="0"/>
        <w:spacing w:before="0" w:after="160"/>
        <w:ind w:left="0" w:right="0" w:firstLine="720"/>
        <w:jc w:val="both"/>
        <w:rPr/>
      </w:pPr>
      <w:r>
        <w:rPr>
          <w:color w:val="000000"/>
        </w:rPr>
        <w:t>“</w:t>
      </w:r>
      <w:r>
        <w:rPr>
          <w:rFonts w:ascii="Times New Roman" w:hAnsi="Times New Roman"/>
          <w:b/>
          <w:color w:val="000000"/>
          <w:sz w:val="22"/>
        </w:rPr>
        <w:t>Patents</w:t>
      </w:r>
      <w:r>
        <w:rPr>
          <w:rFonts w:ascii="Times New Roman" w:hAnsi="Times New Roman"/>
          <w:color w:val="000000"/>
          <w:sz w:val="20"/>
        </w:rPr>
        <w:t xml:space="preserve">” </w:t>
      </w:r>
      <w:r>
        <w:rPr>
          <w:rFonts w:ascii="Times New Roman" w:hAnsi="Times New Roman"/>
          <w:color w:val="000000"/>
          <w:sz w:val="22"/>
        </w:rPr>
        <w:t>are all patents, patent applications and like protections including without limitation improvements, divisions, continuations, renewals, reissues, extensions and continuations-in-part of the same.</w:t>
      </w:r>
    </w:p>
    <w:p>
      <w:pPr>
        <w:pStyle w:val="TextBody"/>
        <w:bidi w:val="0"/>
        <w:spacing w:before="0" w:after="160"/>
        <w:ind w:left="0" w:right="0" w:firstLine="720"/>
        <w:jc w:val="both"/>
        <w:rPr/>
      </w:pPr>
      <w:r>
        <w:rPr>
          <w:color w:val="000000"/>
        </w:rPr>
        <w:t>“</w:t>
      </w:r>
      <w:r>
        <w:rPr>
          <w:rFonts w:ascii="Times New Roman" w:hAnsi="Times New Roman"/>
          <w:b/>
          <w:color w:val="000000"/>
          <w:sz w:val="22"/>
        </w:rPr>
        <w:t>Patriot Act</w:t>
      </w:r>
      <w:r>
        <w:rPr>
          <w:rFonts w:ascii="Times New Roman" w:hAnsi="Times New Roman"/>
          <w:color w:val="000000"/>
          <w:sz w:val="20"/>
        </w:rPr>
        <w:t xml:space="preserve">” </w:t>
      </w:r>
      <w:r>
        <w:rPr>
          <w:rFonts w:ascii="Times New Roman" w:hAnsi="Times New Roman"/>
          <w:color w:val="000000"/>
          <w:sz w:val="22"/>
        </w:rPr>
        <w:t>is the USA Patriot Act (Title III of Pub. L. 107-56 (signed into law October 26, 2001)).</w:t>
      </w:r>
    </w:p>
    <w:p>
      <w:pPr>
        <w:pStyle w:val="TextBody"/>
        <w:bidi w:val="0"/>
        <w:spacing w:before="0" w:after="160"/>
        <w:ind w:left="0" w:right="0" w:firstLine="720"/>
        <w:jc w:val="both"/>
        <w:rPr/>
      </w:pPr>
      <w:r>
        <w:rPr>
          <w:color w:val="000000"/>
        </w:rPr>
        <w:t>“</w:t>
      </w:r>
      <w:r>
        <w:rPr>
          <w:rFonts w:ascii="Times New Roman" w:hAnsi="Times New Roman"/>
          <w:b/>
          <w:color w:val="000000"/>
          <w:sz w:val="22"/>
        </w:rPr>
        <w:t>Payment Date</w:t>
      </w:r>
      <w:r>
        <w:rPr>
          <w:rFonts w:ascii="Times New Roman" w:hAnsi="Times New Roman"/>
          <w:color w:val="000000"/>
          <w:sz w:val="20"/>
        </w:rPr>
        <w:t xml:space="preserve">” </w:t>
      </w:r>
      <w:r>
        <w:rPr>
          <w:rFonts w:ascii="Times New Roman" w:hAnsi="Times New Roman"/>
          <w:color w:val="000000"/>
          <w:sz w:val="22"/>
        </w:rPr>
        <w:t>is the first (1st) calendar day of each month.</w:t>
      </w:r>
    </w:p>
    <w:p>
      <w:pPr>
        <w:pStyle w:val="TextBody"/>
        <w:bidi w:val="0"/>
        <w:spacing w:before="0" w:after="160"/>
        <w:ind w:left="0" w:right="0" w:firstLine="720"/>
        <w:jc w:val="both"/>
        <w:rPr/>
      </w:pPr>
      <w:r>
        <w:rPr>
          <w:color w:val="000000"/>
        </w:rPr>
        <w:t>“</w:t>
      </w:r>
      <w:r>
        <w:rPr>
          <w:rFonts w:ascii="Times New Roman" w:hAnsi="Times New Roman"/>
          <w:b/>
          <w:color w:val="000000"/>
          <w:sz w:val="22"/>
        </w:rPr>
        <w:t>Perfection Certificate</w:t>
      </w:r>
      <w:r>
        <w:rPr>
          <w:rFonts w:ascii="Times New Roman" w:hAnsi="Times New Roman"/>
          <w:color w:val="000000"/>
          <w:sz w:val="20"/>
        </w:rPr>
        <w:t xml:space="preserve">” </w:t>
      </w:r>
      <w:r>
        <w:rPr>
          <w:rFonts w:ascii="Times New Roman" w:hAnsi="Times New Roman"/>
          <w:color w:val="000000"/>
          <w:sz w:val="22"/>
        </w:rPr>
        <w:t>is defined in Section 5.1.</w:t>
      </w:r>
    </w:p>
    <w:p>
      <w:pPr>
        <w:pStyle w:val="TextBody"/>
        <w:bidi w:val="0"/>
        <w:spacing w:before="0" w:after="160"/>
        <w:ind w:left="0" w:right="0" w:firstLine="720"/>
        <w:jc w:val="both"/>
        <w:rPr/>
      </w:pPr>
      <w:r>
        <w:rPr>
          <w:color w:val="000000"/>
        </w:rPr>
        <w:t>“</w:t>
      </w:r>
      <w:r>
        <w:rPr>
          <w:rFonts w:ascii="Times New Roman" w:hAnsi="Times New Roman"/>
          <w:b/>
          <w:color w:val="000000"/>
          <w:sz w:val="22"/>
        </w:rPr>
        <w:t>Permitted Acquisition</w:t>
      </w:r>
      <w:r>
        <w:rPr>
          <w:rFonts w:ascii="Times New Roman" w:hAnsi="Times New Roman"/>
          <w:color w:val="000000"/>
          <w:sz w:val="20"/>
        </w:rPr>
        <w:t xml:space="preserve">” </w:t>
      </w:r>
      <w:r>
        <w:rPr>
          <w:rFonts w:ascii="Times New Roman" w:hAnsi="Times New Roman"/>
          <w:color w:val="000000"/>
          <w:sz w:val="22"/>
        </w:rPr>
        <w:t>means a transaction whereby a Loan Party acquires all or substantially all of the equity interests or property of another Person, which satisfies each of the following conditions:</w:t>
      </w:r>
      <w:r>
        <w:rPr>
          <w:rFonts w:ascii="Times New Roman" w:hAnsi="Times New Roman"/>
          <w:color w:val="000000"/>
          <w:sz w:val="20"/>
        </w:rPr>
        <w:t xml:space="preserve">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transaction shall only involve an entity formed, and assets located, in the United States, Canada or the United Kingdom, and the party or parties being acquired is in the same or a substantially similar line of business as the Loan Parties;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Event of Default has occurred and is continuing or would exist immediately after giving effect to the transaction and Bank has received satisfactory evidence that the Loan Parties are in compliance with all terms and conditions of this Agreement (and that they will be in compliance immediately after giving effect to the transaction);</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acquisition is approved by the board of directors (or equivalent control group) of all parties to the transaction;</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total aggregate cash consideration (including any earnout payments) to be paid by the Loan Parties and their Subsidiaries in connection therewith in all of the contemplated transactions does not exceed Five Million Dollars ($5,000,000.00) in the aggregate in any fiscal year;</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provides Bank (i) written notice of the transaction at least fifteen (15) days before the closing of such transaction, and (ii) copies of the acquisition agreement and other material documents relative to the contemplated transaction and such other financial information, financial analysis, documentation or other information relating to such transaction as Bank shall reasonably request at least ten (10) days before the closing of such transaction;</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Loan Party is a surviving legal entity after completion of the contemplated transaction;</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contemplated transaction is consensual and non-hostile;</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Indebtedness will be incurred, assumed, or would exist with respect to the Loan Parties and their Subsidiaries as a result of the contemplated transaction, other than Permitted Indebtedness, and no Liens will be incurred, assumed, or would exist with respect to the assets of the Loan Parties and their Subsidiaries as a result of the contemplated transaction, other than Permitted Liens;</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Subsidiary of a Loan Party acquired in the contemplated transaction shall, within thirty (30) days of the consummation of the transaction, become a co-borrower or guarantor (as determined by Bank in its sole discretion) pursuant to Section 6.11 hereof, together with such appropriate financing statements and/or Control Agreements, all in form and substance satisfactory to Bank (including being sufficient to grant Bank a first priority Lien in and to the assets of such Subsidiary);</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acquisition and the company being acquired are each accretive in all respects; and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(q)</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shall have delivered to Bank, at least five (5) Business Days prior to the date on which any such acquisition is to be consummated (or such later date as is agreed by Bank in its sole discretion), a certificate of a Responsible Officer of Borrower, in form and substance reasonably satisfactory to Bank, certifying that all of the requirements set forth in this definition have been satisfied or will be satisfied on or prior to the consummation of such purchase or other acquisition.</w:t>
      </w:r>
    </w:p>
    <w:p>
      <w:pPr>
        <w:pStyle w:val="TextBody"/>
        <w:bidi w:val="0"/>
        <w:spacing w:before="0" w:after="160"/>
        <w:ind w:left="0" w:right="0" w:firstLine="720"/>
        <w:jc w:val="both"/>
        <w:rPr/>
      </w:pPr>
      <w:r>
        <w:rPr>
          <w:color w:val="000000"/>
        </w:rPr>
        <w:t>“</w:t>
      </w:r>
      <w:r>
        <w:rPr>
          <w:rFonts w:ascii="Times New Roman" w:hAnsi="Times New Roman"/>
          <w:b/>
          <w:color w:val="000000"/>
          <w:sz w:val="22"/>
        </w:rPr>
        <w:t>Permitted Indebtedness</w:t>
      </w:r>
      <w:r>
        <w:rPr>
          <w:rFonts w:ascii="Times New Roman" w:hAnsi="Times New Roman"/>
          <w:color w:val="000000"/>
          <w:sz w:val="20"/>
        </w:rPr>
        <w:t xml:space="preserve">” </w:t>
      </w:r>
      <w:r>
        <w:rPr>
          <w:rFonts w:ascii="Times New Roman" w:hAnsi="Times New Roman"/>
          <w:color w:val="000000"/>
          <w:sz w:val="22"/>
        </w:rPr>
        <w:t>is: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Loan Parties’ Indebtedness to Bank and/or any Affiliate of Bank under this Agreement, the other Loan Documents and any Bank Services Agreement;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Indebtedness existing on the Effective Date and shown on the Perfection Certificate;</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Subordinated Debt;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(u)</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unsecured Indebtedness to trade creditors incurred in the ordinary course of business;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Indebtedness incurred as a result of endorsing negotiable instruments received in the ordinary course of business;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Indebtedness secured by Liens permitted under clause (c) of the definition of “Permitted Liens” hereunder;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Indebtedness consisting of intercompany journal entries made in connection with cost sharing or transfer pricing transactions, provided that all such transactions are cashless;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Indebtedness constituting Permitted Investments;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(z)</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Indebtedness incurred in connection with workers’ compensation claims, health, disability or other employee benefits or property, casualty or liability insurance, pursuant to reimbursement or indemnification obligations, to the extent incurred in the ordinary course of business;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Indebtedness arising from the financing of insurance premiums in the ordinary course of business, provided such financing arrangement has been approved by Bank in writing;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extensions, refinancings, modifications, amendments and restatements of any item of Permitted Indebtedness (a) through (i) above, provided that the principal amount thereof is not increased; it is not secured by a Lien on any additional assets, the obligors remain the same, and the terms thereof are not otherwise modified to impose more burdensome terms upon Borrower or the applicable Subsidiary, as the case may be;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(cc)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unsecured Indebtedness in connection with the Loan Parties’ business credit cards maintained with financial institutions other than Bank and Bank’s Affiliates in an aggregate amount not to exceed Three Hundred Thousand Dollars ($300,000.00) at any time (the “Permitted Unsecured Credit Cards”);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(dd)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Indebtedness in connection with the Loan Parties’ secured business credit cards maintained with Silicon Valley Bank, a division of First-Citizens Bank &amp; Trust Company in an aggregate amount not to exceed Two Hundred Thousand Dollars ($200,000.00) at any time (the “Permitted Secured Credit Cards”);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Indebtedness in connection with the Loan Parties’ letters of credit maintained with financial institutions other than Bank and Bank’s Affiliates in an aggregate amount not to exceed Seven Hundred Fifty Thousand Dollars ($750,000.00) at any time (the “Permitted Letters of Credit”); and</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(ff)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other unsecured Indebtedness not otherwise permitted by Section 7.4 (specifically excluding any Indebtedness with respect to business credit cards and letters of credit) in an aggregate amount not to exceed Five Hundred Thousand Dollars ($500,000.00) at any time.</w:t>
      </w:r>
    </w:p>
    <w:p>
      <w:pPr>
        <w:pStyle w:val="TextBody"/>
        <w:bidi w:val="0"/>
        <w:spacing w:before="0" w:after="160"/>
        <w:ind w:left="0" w:right="0" w:firstLine="720"/>
        <w:jc w:val="both"/>
        <w:rPr/>
      </w:pPr>
      <w:r>
        <w:rPr>
          <w:color w:val="000000"/>
        </w:rPr>
        <w:t>“</w:t>
      </w:r>
      <w:r>
        <w:rPr>
          <w:rFonts w:ascii="Times New Roman" w:hAnsi="Times New Roman"/>
          <w:b/>
          <w:color w:val="000000"/>
          <w:sz w:val="22"/>
        </w:rPr>
        <w:t>Permitted Investments</w:t>
      </w:r>
      <w:r>
        <w:rPr>
          <w:rFonts w:ascii="Times New Roman" w:hAnsi="Times New Roman"/>
          <w:color w:val="000000"/>
          <w:sz w:val="20"/>
        </w:rPr>
        <w:t xml:space="preserve">” </w:t>
      </w:r>
      <w:r>
        <w:rPr>
          <w:rFonts w:ascii="Times New Roman" w:hAnsi="Times New Roman"/>
          <w:color w:val="000000"/>
          <w:sz w:val="22"/>
        </w:rPr>
        <w:t>are:</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(gg)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Investments (including, without limitation, Subsidiaries) existing on the Effective Date and shown on the Perfection Certificate;</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(hh)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Investments consisting of Cash Equivalents and (ii) any Investments permitted by Parent Guarantor’s investment policy, as amended from time to time, provided that such investment policy (and any such amendment thereto) has been approved in writing by Bank for purposes of this Agreement (it being acknowledged and agreed that Parent Guarantor’s investment policy as in effect on the Effective Date is approved by Bank);</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Investments consisting of the endorsement of negotiable instruments for deposit or collection or similar transactions in the ordinary course of the Loan Parties;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(jj)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Investments consisting of Deposit Accounts or Securities Accounts; provided that Bank has a perfected security interest therein to the extent required by Section 6.8;</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(kk)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Investments consisting of (i) travel advances and employee relocation loans and other employee loans and advances in the ordinary course of business, and (ii) loans to employees, officers, directors, partners, managers and members relating to the purchase of equity securities of Borrower or its Subsidiaries pursuant to employee equity purchase plans or similar agreements approved by the Board;</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(ll)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Investments (including debt obligations) received in connection with the bankruptcy or reorganization of customers or suppliers and in settlement of delinquent obligations of, and other disputes with, customers or suppliers arising in the ordinary course of business;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(mm)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Investments consisting of intercompany receivables, corresponding to amounts in clause (g) of the definition of Permitted Indebtedness, consisting of intercompany journal entries made in connection with cost sharing or transfer pricing transactions, provided that all such transactions are cashless;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(nn)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Investments accepted in connection with Transfers permitted by Section 7.1;</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(oo)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Investments consisting of notes receivable of, or prepaid royalties and other credit extensions, to customers and suppliers who are not Affiliates, in the ordinary course of business; provided that this paragraph (i) shall not apply to Investments of a Loan Party in any Subsidiary;</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(pp)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Investments by (i) a Borrower or secured Guarantor in another Borrower or secured Guarantor, (ii) a Subsidiary that is not a Loan Party in a Borrower or secured Guarantor or another Subsidiary that is not a Loan Party and (iii) by a Borrower or secured Guarantor in Subsidiaries that are not Loan Parties for the ordinary, necessary and current operating expenses of such Subsidiaries in an aggregate amount (for all such Investments in such Subsidiaries measured together) not to exceed Five Hundred Thousand Dollars ($500,000.00) for any fiscal year, so long as (A) an Event of Default does not exist at the time of any such Investment and would not exist after giving effect to any such Investment and (B) the Loan Parties and their Subsidiaries are at all times in compliance with the terms of Section 6.8 hereof;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(qq)</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non-cash Investments in joint ventures or strategic alliances in the ordinary course of the Loan Parties’ business consisting of the non-exclusive licensing of technology, the development of technology or the providing of technical support;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(rr)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Investments consisting of Permitted Acquisitions; and</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other Investments not otherwise permitted under Section 7.7, in an aggregate amount not to exceed Two Hundred Fifty Thousand Dollars ($250,000.00) in any fiscal year.</w:t>
      </w:r>
    </w:p>
    <w:p>
      <w:pPr>
        <w:pStyle w:val="TextBody"/>
        <w:bidi w:val="0"/>
        <w:spacing w:before="0" w:after="160"/>
        <w:ind w:left="0" w:right="0" w:firstLine="720"/>
        <w:jc w:val="both"/>
        <w:rPr/>
      </w:pPr>
      <w:r>
        <w:rPr>
          <w:color w:val="000000"/>
        </w:rPr>
        <w:t>“</w:t>
      </w:r>
      <w:r>
        <w:rPr>
          <w:rFonts w:ascii="Times New Roman" w:hAnsi="Times New Roman"/>
          <w:b/>
          <w:color w:val="000000"/>
          <w:sz w:val="22"/>
        </w:rPr>
        <w:t>Permitted Letters of Credit</w:t>
      </w:r>
      <w:r>
        <w:rPr>
          <w:rFonts w:ascii="Times New Roman" w:hAnsi="Times New Roman"/>
          <w:color w:val="000000"/>
          <w:sz w:val="20"/>
        </w:rPr>
        <w:t xml:space="preserve">” </w:t>
      </w:r>
      <w:r>
        <w:rPr>
          <w:rFonts w:ascii="Times New Roman" w:hAnsi="Times New Roman"/>
          <w:color w:val="000000"/>
          <w:sz w:val="22"/>
        </w:rPr>
        <w:t>is defined in clause is defined in clause (n) of the definition of Permitted Indebtedness.</w:t>
      </w:r>
      <w:r>
        <w:rPr>
          <w:rFonts w:ascii="Times New Roman" w:hAnsi="Times New Roman"/>
          <w:color w:val="000000"/>
          <w:sz w:val="20"/>
        </w:rPr>
        <w:t xml:space="preserve"> </w:t>
      </w:r>
    </w:p>
    <w:p>
      <w:pPr>
        <w:pStyle w:val="TextBody"/>
        <w:bidi w:val="0"/>
        <w:spacing w:before="0" w:after="160"/>
        <w:ind w:left="0" w:right="0" w:firstLine="720"/>
        <w:jc w:val="both"/>
        <w:rPr/>
      </w:pPr>
      <w:r>
        <w:rPr>
          <w:color w:val="000000"/>
        </w:rPr>
        <w:t>“</w:t>
      </w:r>
      <w:r>
        <w:rPr>
          <w:rFonts w:ascii="Times New Roman" w:hAnsi="Times New Roman"/>
          <w:b/>
          <w:color w:val="000000"/>
          <w:sz w:val="22"/>
        </w:rPr>
        <w:t>Permitted Liens</w:t>
      </w:r>
      <w:r>
        <w:rPr>
          <w:rFonts w:ascii="Times New Roman" w:hAnsi="Times New Roman"/>
          <w:color w:val="000000"/>
          <w:sz w:val="20"/>
        </w:rPr>
        <w:t xml:space="preserve">” </w:t>
      </w:r>
      <w:r>
        <w:rPr>
          <w:rFonts w:ascii="Times New Roman" w:hAnsi="Times New Roman"/>
          <w:color w:val="000000"/>
          <w:sz w:val="22"/>
        </w:rPr>
        <w:t>are:</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(tt)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existing on the Effective Date and shown on the Perfection Certificate or arising under this Agreement and the other Loan Documents and any Bank Services Agreement;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(uu)</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for taxes, fees, assessments or other government charges or levies, either (i) not due or thereafter payable without any interest or penalty or (ii) being contested in good faith and for which such Loan Party maintains adequate reserves on the Books, provided that no notice of any such Lien has been filed or recorded under the IRC, and the Treasury Regulations adopted thereunder;</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(vv)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securing capital leases and purchase money Liens on Equipment acquired or held by Borrower or a Subsidiary incurred for financing the acquisition of such Equipment securing no more than Two Hundred Fifty Thousand Dollars ($250,000.00) in the aggregate amount outstanding;</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(ww)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of carriers, warehousemen, landlords, mechanics, suppliers, or other Persons that are possessory in nature arising in the ordinary course of business so long as (i) such Liens attach only to Inventory, and (ii) secure liabilities in the aggregate amount not to exceed Two Hundred Fifty Thousand Dollars ($250,000.00) which are not delinquent or remain payable without penalty or which are being contested in good faith and by appropriate proceedings which proceedings have the effect of preventing the forfeiture or sale of the property subject thereto;</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(xx)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to secure payment of workers’ compensation, employment insurance, old-age pensions, social security and other like obligations incurred in the ordinary course of business (other than Liens imposed pursuant to ERISA);</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(yy)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incurred in the extension, renewal or refinancing of the Indebtedness secured by Liens described in clauses (a) and (c) above, but any extension, renewal or replacement Lien must be limited to the property encumbered by the existing Lien and the principal amount of the Indebtedness secured thereby may not increase;</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(zz)</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Bank a security interest therein and do not interfere with the ordinary conduct of the business;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(aaa)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non-exclusive licenses of Intellectual Property and other licenses of Intellectual Property that is not material to the business of Borrower or its Subsidiaries, in each case, granted in the ordinary course of business and which do not interfere with the ordinary conduct of the business, and (ii) licenses of Intellectual Property in the ordinary course of business that could not result in a legal transfer of title of the licensed property that may be exclusive in respects other than territory and that may be exclusive as to territory only as to discrete geographical areas outside of the United States;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(bbb)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arising from attachments or judgments, orders, or decrees in circumstances not constituting an Event of Default under Section 8.4 or Section 8.7;</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(ccc)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arising out of conditional sale, title retention, consignment or similar arrangements for sale of goods entered into in the ordinary course of business;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(ddd)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servitudes, easements, rights of way, restrictions and other similar encumbrances on real property imposed by applicable laws and encumbrances consisting of zoning or building restrictions, easements, licenses, restrictions on the use of property or minor imperfections in title thereto which, in the aggregate, are not material, and which do not in any case materially detract from the value of the property subject thereto or interfere with the ordinary conduct of the business; and</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(eee)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bankers’ liens, rights of setoff and similar Liens incurred on deposits arising in the ordinary course of business; provided that (i) Bank has a first priority perfected security interest in such account to the extent required in this Agreement and (ii) such account is permitted to be maintained pursuant to Section 6.8 of this Agreement; and</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(fff)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on Borrower’s cash collateral accounts maintained with Silicon Valley Bank, a division of First-Citizens Bank &amp; Trust Company, securing obligations with respect to the Permitted Secured Credit Cards (the “Credit Card Collateral Accounts”), in an aggregate amount not to exceed Two Hundred Thousand Dollars ($200,000.00) at any time</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(ggg)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Liens on Borrower’s cash collateral accounts maintained with financial institutions other than Bank and Bank’s Affiliates, securing obligations with respect to the Permitted Letters of Credit (the “LC Collateral Accounts”), in an aggregate amount not to exceed Seven Hundred Fifty Thousand Dollars ($750,000.00) at any time; and</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(hhh)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Liens (i) in favor of customs and revenue authorities arising as a matter of law to secure payment of customs duties in connection with the importation of goods in the ordinary course of business or (ii) on specific items of inventory or other goods and proceeds of any Person securing such Person’s obligations in respect of bankers’ acceptances or letters of credit issued or created for the account of such Person to facilitate the purchase, shipment or storage of such inventory or other goods in the ordinary course of business. </w:t>
      </w:r>
    </w:p>
    <w:p>
      <w:pPr>
        <w:pStyle w:val="TextBody"/>
        <w:bidi w:val="0"/>
        <w:spacing w:before="0" w:after="160"/>
        <w:ind w:left="0" w:right="0" w:firstLine="720"/>
        <w:jc w:val="both"/>
        <w:rPr/>
      </w:pPr>
      <w:r>
        <w:rPr>
          <w:color w:val="000000"/>
        </w:rPr>
        <w:t>“</w:t>
      </w:r>
      <w:r>
        <w:rPr>
          <w:rFonts w:ascii="Times New Roman" w:hAnsi="Times New Roman"/>
          <w:b/>
          <w:color w:val="000000"/>
          <w:sz w:val="22"/>
        </w:rPr>
        <w:t>Permitted Secured Credit Cards</w:t>
      </w:r>
      <w:r>
        <w:rPr>
          <w:rFonts w:ascii="Times New Roman" w:hAnsi="Times New Roman"/>
          <w:color w:val="000000"/>
          <w:sz w:val="20"/>
        </w:rPr>
        <w:t xml:space="preserve">” </w:t>
      </w:r>
      <w:r>
        <w:rPr>
          <w:rFonts w:ascii="Times New Roman" w:hAnsi="Times New Roman"/>
          <w:color w:val="000000"/>
          <w:sz w:val="22"/>
        </w:rPr>
        <w:t>is defined in clause is defined in clause (m) of the definition of Permitted Indebtedness.</w:t>
      </w:r>
      <w:r>
        <w:rPr>
          <w:rFonts w:ascii="Times New Roman" w:hAnsi="Times New Roman"/>
          <w:color w:val="000000"/>
          <w:sz w:val="20"/>
        </w:rPr>
        <w:t xml:space="preserve"> </w:t>
      </w:r>
    </w:p>
    <w:p>
      <w:pPr>
        <w:pStyle w:val="TextBody"/>
        <w:bidi w:val="0"/>
        <w:spacing w:before="0" w:after="160"/>
        <w:ind w:left="0" w:right="0" w:firstLine="720"/>
        <w:jc w:val="both"/>
        <w:rPr/>
      </w:pPr>
      <w:r>
        <w:rPr>
          <w:color w:val="000000"/>
        </w:rPr>
        <w:t>“</w:t>
      </w:r>
      <w:r>
        <w:rPr>
          <w:rFonts w:ascii="Times New Roman" w:hAnsi="Times New Roman"/>
          <w:b/>
          <w:color w:val="000000"/>
          <w:sz w:val="22"/>
        </w:rPr>
        <w:t>Permitted Unsecured Credit Cards</w:t>
      </w:r>
      <w:r>
        <w:rPr>
          <w:rFonts w:ascii="Times New Roman" w:hAnsi="Times New Roman"/>
          <w:color w:val="000000"/>
          <w:sz w:val="20"/>
        </w:rPr>
        <w:t xml:space="preserve">” </w:t>
      </w:r>
      <w:r>
        <w:rPr>
          <w:rFonts w:ascii="Times New Roman" w:hAnsi="Times New Roman"/>
          <w:color w:val="000000"/>
          <w:sz w:val="22"/>
        </w:rPr>
        <w:t>is defined in clause is defined in clause (l) of the definition of Permitted Indebtedness.</w:t>
      </w:r>
      <w:r>
        <w:rPr>
          <w:rFonts w:ascii="Times New Roman" w:hAnsi="Times New Roman"/>
          <w:color w:val="000000"/>
          <w:sz w:val="20"/>
        </w:rPr>
        <w:t xml:space="preserve"> </w:t>
      </w:r>
    </w:p>
    <w:p>
      <w:pPr>
        <w:pStyle w:val="TextBody"/>
        <w:bidi w:val="0"/>
        <w:spacing w:before="0" w:after="160"/>
        <w:ind w:left="0" w:right="0" w:firstLine="720"/>
        <w:jc w:val="both"/>
        <w:rPr/>
      </w:pPr>
      <w:r>
        <w:rPr>
          <w:color w:val="000000"/>
        </w:rPr>
        <w:t>“</w:t>
      </w:r>
      <w:r>
        <w:rPr>
          <w:rFonts w:ascii="Times New Roman" w:hAnsi="Times New Roman"/>
          <w:b/>
          <w:color w:val="000000"/>
          <w:sz w:val="22"/>
        </w:rPr>
        <w:t>Person</w:t>
      </w:r>
      <w:r>
        <w:rPr>
          <w:rFonts w:ascii="Times New Roman" w:hAnsi="Times New Roman"/>
          <w:color w:val="000000"/>
          <w:sz w:val="20"/>
        </w:rPr>
        <w:t xml:space="preserve">” </w:t>
      </w:r>
      <w:r>
        <w:rPr>
          <w:rFonts w:ascii="Times New Roman" w:hAnsi="Times New Roman"/>
          <w:color w:val="000000"/>
          <w:sz w:val="22"/>
        </w:rPr>
        <w:t>is any individual, sole proprietorship, partnership, limited liability company, joint venture, company, trust, unincorporated organization, association, corporation, institution, public benefit corporation, firm, joint stock company, estate, entity or government agency.</w:t>
      </w:r>
    </w:p>
    <w:p>
      <w:pPr>
        <w:pStyle w:val="TextBody"/>
        <w:bidi w:val="0"/>
        <w:spacing w:before="0" w:after="160"/>
        <w:ind w:left="0" w:right="0" w:firstLine="720"/>
        <w:jc w:val="both"/>
        <w:rPr/>
      </w:pPr>
      <w:r>
        <w:rPr>
          <w:color w:val="000000"/>
        </w:rPr>
        <w:t>“</w:t>
      </w:r>
      <w:r>
        <w:rPr>
          <w:rFonts w:ascii="Times New Roman" w:hAnsi="Times New Roman"/>
          <w:b/>
          <w:color w:val="000000"/>
          <w:sz w:val="22"/>
        </w:rPr>
        <w:t>Prepayment Premium</w:t>
      </w:r>
      <w:r>
        <w:rPr>
          <w:rFonts w:ascii="Times New Roman" w:hAnsi="Times New Roman"/>
          <w:color w:val="000000"/>
          <w:sz w:val="20"/>
        </w:rPr>
        <w:t xml:space="preserve">” </w:t>
      </w:r>
      <w:r>
        <w:rPr>
          <w:rFonts w:ascii="Times New Roman" w:hAnsi="Times New Roman"/>
          <w:color w:val="000000"/>
          <w:sz w:val="22"/>
        </w:rPr>
        <w:t>shall be an additional fee, payable to Bank, with respect to the Term Loan Advances, in an amount equal to:</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a prepayment of the Term Loan Advances made on or prior to the first (1st) anniversary of the Effective Date, two percent (2.0%) of the outstanding principal amount of the Term Loan Advances immediately prior to the date of such prepayment;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(jjj)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a prepayment of the Term Loan Advances made after the first (1st) anniversary of the Effective Date, but on or prior to the second (2nd) anniversary of the Effective Date, one percent (1.0%) of the outstanding principal amount of the Term Loan Advances immediately prior to the date of such prepayment; and</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(kkk)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a prepayment of the Term Loan Advances made after the second (2nd) anniversary of the Effective Date, zero percent (0.0%) of the outstanding principal amount of the Term Loan Advances immediately prior to the date of such prepayment.</w:t>
      </w:r>
    </w:p>
    <w:p>
      <w:pPr>
        <w:pStyle w:val="TextBody"/>
        <w:bidi w:val="0"/>
        <w:spacing w:before="0" w:after="160"/>
        <w:ind w:left="0" w:right="0" w:firstLine="720"/>
        <w:jc w:val="both"/>
        <w:rPr>
          <w:rFonts w:ascii="Times New Roman" w:hAnsi="Times New Roman"/>
          <w:color w:val="000000"/>
          <w:sz w:val="22"/>
        </w:rPr>
      </w:pPr>
      <w:r>
        <w:rPr>
          <w:rFonts w:ascii="Times New Roman" w:hAnsi="Times New Roman"/>
          <w:color w:val="000000"/>
          <w:sz w:val="22"/>
        </w:rPr>
        <w:t>Notwithstanding the foregoing, provided no Event of Default has occurred and is continuing, the Prepayment Premium shall be waived by Bank, if Bank or an Affiliate of Bank closes on the refinance and redocumentation of the Term Loan Advances (in its sole and absolute discretion) prior to the Term Loan Maturity Date.</w:t>
      </w:r>
    </w:p>
    <w:p>
      <w:pPr>
        <w:pStyle w:val="TextBody"/>
        <w:bidi w:val="0"/>
        <w:spacing w:before="0" w:after="160"/>
        <w:ind w:left="0" w:right="0" w:firstLine="720"/>
        <w:jc w:val="both"/>
        <w:rPr/>
      </w:pPr>
      <w:r>
        <w:rPr>
          <w:color w:val="000000"/>
        </w:rPr>
        <w:t>“</w:t>
      </w:r>
      <w:r>
        <w:rPr>
          <w:rFonts w:ascii="Times New Roman" w:hAnsi="Times New Roman"/>
          <w:b/>
          <w:color w:val="000000"/>
          <w:sz w:val="22"/>
        </w:rPr>
        <w:t>Prime Rate</w:t>
      </w:r>
      <w:r>
        <w:rPr>
          <w:rFonts w:ascii="Times New Roman" w:hAnsi="Times New Roman"/>
          <w:color w:val="000000"/>
          <w:sz w:val="20"/>
        </w:rPr>
        <w:t xml:space="preserve">” </w:t>
      </w:r>
      <w:r>
        <w:rPr>
          <w:rFonts w:ascii="Times New Roman" w:hAnsi="Times New Roman"/>
          <w:color w:val="000000"/>
          <w:sz w:val="22"/>
        </w:rPr>
        <w:t>is the rate of interest per annum equal to the “ prime rate” provided by such financial market data information provider as may be selected by the Bank from time to time (the “Prime Rate Provider”); provided that if such rate of interest cannot be reasonably sourced from a third-party financial market data provider, then the “ Prime Rate” shall mean the rate of interest per annum announced by Bank as its prime rate in effect at its principal office. As of the Effective Date, the Prime Rate Provider is the London Stock Exchange Group. The Prime Rate Provider is subject to change at any time without notice; provided, that the Bank shall confirm the current Prime Rate Provider upon the Borrower’s request. The Prime Rate is a reference rate and does not necessarily represent the lowest or best rate actually charged to any customer. Any change in the Prime Rate shall take effect at the opening of business on the effective date of such change. Notwithstanding any terms in this Agreement to the contrary, if at any time such rate of interest is less than zero percent (0.0%) per annum, such rate shall be deemed to be zero percent (0.0%) per annum for purposes of this Agreement.</w:t>
      </w:r>
      <w:r>
        <w:rPr>
          <w:rFonts w:ascii="Times New Roman" w:hAnsi="Times New Roman"/>
          <w:color w:val="000000"/>
          <w:sz w:val="20"/>
        </w:rPr>
        <w:t xml:space="preserve"> </w:t>
      </w:r>
    </w:p>
    <w:p>
      <w:pPr>
        <w:pStyle w:val="TextBody"/>
        <w:bidi w:val="0"/>
        <w:spacing w:before="0" w:after="160"/>
        <w:ind w:left="0" w:right="0" w:firstLine="720"/>
        <w:jc w:val="both"/>
        <w:rPr/>
      </w:pPr>
      <w:r>
        <w:rPr>
          <w:color w:val="000000"/>
        </w:rPr>
        <w:t>“</w:t>
      </w:r>
      <w:r>
        <w:rPr>
          <w:rFonts w:ascii="Times New Roman" w:hAnsi="Times New Roman"/>
          <w:b/>
          <w:color w:val="000000"/>
          <w:sz w:val="22"/>
        </w:rPr>
        <w:t>Prime Rate Provider</w:t>
      </w:r>
      <w:r>
        <w:rPr>
          <w:rFonts w:ascii="Times New Roman" w:hAnsi="Times New Roman"/>
          <w:color w:val="000000"/>
          <w:sz w:val="20"/>
        </w:rPr>
        <w:t xml:space="preserve">” </w:t>
      </w:r>
      <w:r>
        <w:rPr>
          <w:rFonts w:ascii="Times New Roman" w:hAnsi="Times New Roman"/>
          <w:color w:val="000000"/>
          <w:sz w:val="22"/>
        </w:rPr>
        <w:t>s defined in the definition of Prime Rate.</w:t>
      </w:r>
      <w:r>
        <w:rPr>
          <w:rFonts w:ascii="Times New Roman" w:hAnsi="Times New Roman"/>
          <w:color w:val="000000"/>
          <w:sz w:val="20"/>
        </w:rPr>
        <w:t xml:space="preserve"> </w:t>
      </w:r>
    </w:p>
    <w:p>
      <w:pPr>
        <w:pStyle w:val="TextBody"/>
        <w:bidi w:val="0"/>
        <w:spacing w:before="0" w:after="160"/>
        <w:ind w:left="0" w:right="0" w:firstLine="720"/>
        <w:jc w:val="both"/>
        <w:rPr/>
      </w:pPr>
      <w:r>
        <w:rPr>
          <w:color w:val="000000"/>
        </w:rPr>
        <w:t>“</w:t>
      </w:r>
      <w:r>
        <w:rPr>
          <w:rFonts w:ascii="Times New Roman" w:hAnsi="Times New Roman"/>
          <w:b/>
          <w:color w:val="000000"/>
          <w:sz w:val="22"/>
        </w:rPr>
        <w:t>Protected Person</w:t>
      </w:r>
      <w:r>
        <w:rPr>
          <w:rFonts w:ascii="Times New Roman" w:hAnsi="Times New Roman"/>
          <w:color w:val="000000"/>
          <w:sz w:val="20"/>
        </w:rPr>
        <w:t xml:space="preserve">” </w:t>
      </w:r>
      <w:r>
        <w:rPr>
          <w:rFonts w:ascii="Times New Roman" w:hAnsi="Times New Roman"/>
          <w:color w:val="000000"/>
          <w:sz w:val="22"/>
        </w:rPr>
        <w:t>is defined in Section 12.13.</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16</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160"/>
        <w:ind w:left="0" w:right="0" w:firstLine="720"/>
        <w:jc w:val="both"/>
        <w:rPr/>
      </w:pPr>
      <w:r>
        <w:rPr>
          <w:color w:val="000000"/>
        </w:rPr>
        <w:t>“</w:t>
      </w:r>
      <w:r>
        <w:rPr>
          <w:rFonts w:ascii="Times New Roman" w:hAnsi="Times New Roman"/>
          <w:b/>
          <w:color w:val="000000"/>
          <w:sz w:val="22"/>
        </w:rPr>
        <w:t>Register</w:t>
      </w:r>
      <w:r>
        <w:rPr>
          <w:rFonts w:ascii="Times New Roman" w:hAnsi="Times New Roman"/>
          <w:color w:val="000000"/>
          <w:sz w:val="20"/>
        </w:rPr>
        <w:t xml:space="preserve">” </w:t>
      </w:r>
      <w:r>
        <w:rPr>
          <w:rFonts w:ascii="Times New Roman" w:hAnsi="Times New Roman"/>
          <w:color w:val="000000"/>
          <w:sz w:val="22"/>
        </w:rPr>
        <w:t>is defined in Section 12.3.</w:t>
      </w:r>
    </w:p>
    <w:p>
      <w:pPr>
        <w:pStyle w:val="TextBody"/>
        <w:bidi w:val="0"/>
        <w:spacing w:before="0" w:after="160"/>
        <w:ind w:left="0" w:right="0" w:firstLine="720"/>
        <w:jc w:val="both"/>
        <w:rPr/>
      </w:pPr>
      <w:r>
        <w:rPr>
          <w:color w:val="000000"/>
        </w:rPr>
        <w:t>“</w:t>
      </w:r>
      <w:r>
        <w:rPr>
          <w:rFonts w:ascii="Times New Roman" w:hAnsi="Times New Roman"/>
          <w:b/>
          <w:color w:val="000000"/>
          <w:sz w:val="22"/>
        </w:rPr>
        <w:t>Registered Organization</w:t>
      </w:r>
      <w:r>
        <w:rPr>
          <w:rFonts w:ascii="Times New Roman" w:hAnsi="Times New Roman"/>
          <w:color w:val="000000"/>
          <w:sz w:val="20"/>
        </w:rPr>
        <w:t xml:space="preserve">” </w:t>
      </w:r>
      <w:r>
        <w:rPr>
          <w:rFonts w:ascii="Times New Roman" w:hAnsi="Times New Roman"/>
          <w:color w:val="000000"/>
          <w:sz w:val="22"/>
        </w:rPr>
        <w:t>is any “registered organization” as defined in the Code with such additions to such term as may hereafter be made.</w:t>
      </w:r>
    </w:p>
    <w:p>
      <w:pPr>
        <w:pStyle w:val="TextBody"/>
        <w:bidi w:val="0"/>
        <w:spacing w:before="0" w:after="160"/>
        <w:ind w:left="0" w:right="0" w:firstLine="720"/>
        <w:jc w:val="both"/>
        <w:rPr/>
      </w:pPr>
      <w:r>
        <w:rPr>
          <w:color w:val="000000"/>
        </w:rPr>
        <w:t>“</w:t>
      </w:r>
      <w:r>
        <w:rPr>
          <w:rFonts w:ascii="Times New Roman" w:hAnsi="Times New Roman"/>
          <w:b/>
          <w:color w:val="000000"/>
          <w:sz w:val="22"/>
        </w:rPr>
        <w:t>Repayment</w:t>
      </w:r>
      <w:r>
        <w:rPr>
          <w:rFonts w:ascii="Times New Roman" w:hAnsi="Times New Roman"/>
          <w:color w:val="000000"/>
          <w:sz w:val="20"/>
        </w:rPr>
        <w:t xml:space="preserve"> </w:t>
      </w:r>
      <w:r>
        <w:rPr>
          <w:rFonts w:ascii="Times New Roman" w:hAnsi="Times New Roman"/>
          <w:b/>
          <w:color w:val="000000"/>
          <w:sz w:val="22"/>
        </w:rPr>
        <w:t>Schedule</w:t>
      </w:r>
      <w:r>
        <w:rPr>
          <w:rFonts w:ascii="Times New Roman" w:hAnsi="Times New Roman"/>
          <w:color w:val="000000"/>
          <w:sz w:val="20"/>
        </w:rPr>
        <w:t xml:space="preserve">” </w:t>
      </w:r>
      <w:r>
        <w:rPr>
          <w:rFonts w:ascii="Times New Roman" w:hAnsi="Times New Roman"/>
          <w:color w:val="000000"/>
          <w:sz w:val="22"/>
        </w:rPr>
        <w:t>means, the period of time equal to twenty-four (24) consecutive calendar months, which period of time shall be reduced to twelve (12) consecutive calendar months upon the occurrence of the Term B Milestone Event.</w:t>
      </w:r>
    </w:p>
    <w:p>
      <w:pPr>
        <w:pStyle w:val="TextBody"/>
        <w:bidi w:val="0"/>
        <w:spacing w:before="0" w:after="160"/>
        <w:ind w:left="0" w:right="0" w:firstLine="720"/>
        <w:jc w:val="both"/>
        <w:rPr/>
      </w:pPr>
      <w:r>
        <w:rPr>
          <w:color w:val="000000"/>
        </w:rPr>
        <w:t>“</w:t>
      </w:r>
      <w:r>
        <w:rPr>
          <w:rFonts w:ascii="Times New Roman" w:hAnsi="Times New Roman"/>
          <w:b/>
          <w:color w:val="000000"/>
          <w:sz w:val="22"/>
        </w:rPr>
        <w:t>Requirement of Law</w:t>
      </w:r>
      <w:r>
        <w:rPr>
          <w:rFonts w:ascii="Times New Roman" w:hAnsi="Times New Roman"/>
          <w:color w:val="000000"/>
          <w:sz w:val="20"/>
        </w:rPr>
        <w:t xml:space="preserve">” </w:t>
      </w:r>
      <w:r>
        <w:rPr>
          <w:rFonts w:ascii="Times New Roman" w:hAnsi="Times New Roman"/>
          <w:color w:val="000000"/>
          <w:sz w:val="22"/>
        </w:rPr>
        <w:t>is as to any Person, the Operating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pStyle w:val="TextBody"/>
        <w:bidi w:val="0"/>
        <w:spacing w:before="0" w:after="160"/>
        <w:ind w:left="0" w:right="0" w:firstLine="720"/>
        <w:jc w:val="both"/>
        <w:rPr/>
      </w:pPr>
      <w:r>
        <w:rPr>
          <w:color w:val="000000"/>
        </w:rPr>
        <w:t>“</w:t>
      </w:r>
      <w:r>
        <w:rPr>
          <w:rFonts w:ascii="Times New Roman" w:hAnsi="Times New Roman"/>
          <w:b/>
          <w:color w:val="000000"/>
          <w:sz w:val="22"/>
        </w:rPr>
        <w:t>Responsible Officer</w:t>
      </w:r>
      <w:r>
        <w:rPr>
          <w:rFonts w:ascii="Times New Roman" w:hAnsi="Times New Roman"/>
          <w:color w:val="000000"/>
          <w:sz w:val="20"/>
        </w:rPr>
        <w:t xml:space="preserve">” </w:t>
      </w:r>
      <w:r>
        <w:rPr>
          <w:rFonts w:ascii="Times New Roman" w:hAnsi="Times New Roman"/>
          <w:color w:val="000000"/>
          <w:sz w:val="22"/>
        </w:rPr>
        <w:t>is any of the Chief Executive Officer, Chief Financial Officer, Treasurer, Vice President of Finance and, other than for purposes of Section 6.2, Secretary of the applicable Loan Party.</w:t>
      </w:r>
    </w:p>
    <w:p>
      <w:pPr>
        <w:pStyle w:val="TextBody"/>
        <w:bidi w:val="0"/>
        <w:spacing w:before="0" w:after="160"/>
        <w:ind w:left="0" w:right="0" w:firstLine="720"/>
        <w:jc w:val="both"/>
        <w:rPr/>
      </w:pPr>
      <w:r>
        <w:rPr>
          <w:color w:val="000000"/>
        </w:rPr>
        <w:t>“</w:t>
      </w:r>
      <w:r>
        <w:rPr>
          <w:rFonts w:ascii="Times New Roman" w:hAnsi="Times New Roman"/>
          <w:b/>
          <w:color w:val="000000"/>
          <w:sz w:val="22"/>
        </w:rPr>
        <w:t>Restricted License</w:t>
      </w:r>
      <w:r>
        <w:rPr>
          <w:rFonts w:ascii="Times New Roman" w:hAnsi="Times New Roman"/>
          <w:color w:val="000000"/>
          <w:sz w:val="20"/>
        </w:rPr>
        <w:t xml:space="preserve">” </w:t>
      </w:r>
      <w:r>
        <w:rPr>
          <w:rFonts w:ascii="Times New Roman" w:hAnsi="Times New Roman"/>
          <w:color w:val="000000"/>
          <w:sz w:val="22"/>
        </w:rPr>
        <w:t>is any material license or other similar agreement with respect to which Borrower or any of its Subsidiaries is the licensee that validly prohibits or otherwise restricts Borrower or such Subsidiary from granting a security interest in Borrower’s or such Subsidiary’s interest in such license or agreement or any property subject to such license or similar agreement. Off-the-shelf software, open source code, application programming interfaces (APIs) and/or other trademarks, copyrights or patents of others that are commercially available to the public under shrinkwrap licenses, clickwrap licenses, online terms of service or other terms of use or similar agreements shall not constitute a Restricted License.</w:t>
      </w:r>
      <w:r>
        <w:rPr>
          <w:rFonts w:ascii="Times New Roman" w:hAnsi="Times New Roman"/>
          <w:color w:val="000000"/>
          <w:sz w:val="20"/>
        </w:rPr>
        <w:t xml:space="preserve"> </w:t>
      </w:r>
    </w:p>
    <w:p>
      <w:pPr>
        <w:pStyle w:val="TextBody"/>
        <w:bidi w:val="0"/>
        <w:spacing w:before="0" w:after="160"/>
        <w:ind w:left="0" w:right="0" w:firstLine="720"/>
        <w:jc w:val="both"/>
        <w:rPr/>
      </w:pPr>
      <w:r>
        <w:rPr>
          <w:color w:val="000000"/>
        </w:rPr>
        <w:t>“</w:t>
      </w:r>
      <w:r>
        <w:rPr>
          <w:rFonts w:ascii="Times New Roman" w:hAnsi="Times New Roman"/>
          <w:b/>
          <w:color w:val="000000"/>
          <w:sz w:val="22"/>
        </w:rPr>
        <w:t>Sanctions</w:t>
      </w:r>
      <w:r>
        <w:rPr>
          <w:rFonts w:ascii="Times New Roman" w:hAnsi="Times New Roman"/>
          <w:color w:val="000000"/>
          <w:sz w:val="20"/>
        </w:rPr>
        <w:t xml:space="preserve">” </w:t>
      </w:r>
      <w:r>
        <w:rPr>
          <w:rFonts w:ascii="Times New Roman" w:hAnsi="Times New Roman"/>
          <w:color w:val="000000"/>
          <w:sz w:val="22"/>
        </w:rPr>
        <w:t>is defined in Section 5.12.</w:t>
      </w:r>
    </w:p>
    <w:p>
      <w:pPr>
        <w:pStyle w:val="TextBody"/>
        <w:bidi w:val="0"/>
        <w:spacing w:before="0" w:after="160"/>
        <w:ind w:left="0" w:right="0" w:firstLine="720"/>
        <w:jc w:val="both"/>
        <w:rPr/>
      </w:pPr>
      <w:r>
        <w:rPr>
          <w:color w:val="000000"/>
        </w:rPr>
        <w:t>“</w:t>
      </w:r>
      <w:r>
        <w:rPr>
          <w:rFonts w:ascii="Times New Roman" w:hAnsi="Times New Roman"/>
          <w:b/>
          <w:color w:val="000000"/>
          <w:sz w:val="22"/>
        </w:rPr>
        <w:t>SEC</w:t>
      </w:r>
      <w:r>
        <w:rPr>
          <w:rFonts w:ascii="Times New Roman" w:hAnsi="Times New Roman"/>
          <w:color w:val="000000"/>
          <w:sz w:val="20"/>
        </w:rPr>
        <w:t xml:space="preserve">” </w:t>
      </w:r>
      <w:r>
        <w:rPr>
          <w:rFonts w:ascii="Times New Roman" w:hAnsi="Times New Roman"/>
          <w:color w:val="000000"/>
          <w:sz w:val="22"/>
        </w:rPr>
        <w:t>is the Securities and Exchange Commission, any successor thereto, and any analogous Governmental Authority.</w:t>
      </w:r>
    </w:p>
    <w:p>
      <w:pPr>
        <w:pStyle w:val="TextBody"/>
        <w:bidi w:val="0"/>
        <w:spacing w:before="0" w:after="160"/>
        <w:ind w:left="0" w:right="0" w:firstLine="720"/>
        <w:jc w:val="both"/>
        <w:rPr/>
      </w:pPr>
      <w:r>
        <w:rPr>
          <w:color w:val="000000"/>
        </w:rPr>
        <w:t>“</w:t>
      </w:r>
      <w:r>
        <w:rPr>
          <w:rFonts w:ascii="Times New Roman" w:hAnsi="Times New Roman"/>
          <w:b/>
          <w:color w:val="000000"/>
          <w:sz w:val="22"/>
        </w:rPr>
        <w:t>Securities Account</w:t>
      </w:r>
      <w:r>
        <w:rPr>
          <w:rFonts w:ascii="Times New Roman" w:hAnsi="Times New Roman"/>
          <w:color w:val="000000"/>
          <w:sz w:val="20"/>
        </w:rPr>
        <w:t xml:space="preserve">” </w:t>
      </w:r>
      <w:r>
        <w:rPr>
          <w:rFonts w:ascii="Times New Roman" w:hAnsi="Times New Roman"/>
          <w:color w:val="000000"/>
          <w:sz w:val="22"/>
        </w:rPr>
        <w:t>is any “securities account” as defined in the Code with such additions to such term as may hereafter be made.</w:t>
      </w:r>
    </w:p>
    <w:p>
      <w:pPr>
        <w:pStyle w:val="TextBody"/>
        <w:bidi w:val="0"/>
        <w:spacing w:before="0" w:after="160"/>
        <w:ind w:left="0" w:right="0" w:firstLine="720"/>
        <w:jc w:val="both"/>
        <w:rPr/>
      </w:pPr>
      <w:r>
        <w:rPr>
          <w:color w:val="000000"/>
        </w:rPr>
        <w:t>“</w:t>
      </w:r>
      <w:r>
        <w:rPr>
          <w:rFonts w:ascii="Times New Roman" w:hAnsi="Times New Roman"/>
          <w:b/>
          <w:color w:val="000000"/>
          <w:sz w:val="22"/>
        </w:rPr>
        <w:t>Setoff</w:t>
      </w:r>
      <w:r>
        <w:rPr>
          <w:rFonts w:ascii="Times New Roman" w:hAnsi="Times New Roman"/>
          <w:color w:val="000000"/>
          <w:sz w:val="20"/>
        </w:rPr>
        <w:t xml:space="preserve">” </w:t>
      </w:r>
      <w:r>
        <w:rPr>
          <w:rFonts w:ascii="Times New Roman" w:hAnsi="Times New Roman"/>
          <w:color w:val="000000"/>
          <w:sz w:val="22"/>
        </w:rPr>
        <w:t>is defined in Section 12.15.</w:t>
      </w:r>
    </w:p>
    <w:p>
      <w:pPr>
        <w:pStyle w:val="TextBody"/>
        <w:bidi w:val="0"/>
        <w:spacing w:before="0" w:after="160"/>
        <w:ind w:left="0" w:right="0" w:firstLine="720"/>
        <w:jc w:val="both"/>
        <w:rPr/>
      </w:pPr>
      <w:r>
        <w:rPr>
          <w:color w:val="000000"/>
        </w:rPr>
        <w:t>“</w:t>
      </w:r>
      <w:r>
        <w:rPr>
          <w:rFonts w:ascii="Times New Roman" w:hAnsi="Times New Roman"/>
          <w:b/>
          <w:color w:val="000000"/>
          <w:sz w:val="22"/>
        </w:rPr>
        <w:t>Subordinated Debt</w:t>
      </w:r>
      <w:r>
        <w:rPr>
          <w:rFonts w:ascii="Times New Roman" w:hAnsi="Times New Roman"/>
          <w:color w:val="000000"/>
          <w:sz w:val="20"/>
        </w:rPr>
        <w:t xml:space="preserve">” </w:t>
      </w:r>
      <w:r>
        <w:rPr>
          <w:rFonts w:ascii="Times New Roman" w:hAnsi="Times New Roman"/>
          <w:color w:val="000000"/>
          <w:sz w:val="22"/>
        </w:rPr>
        <w:t>is unsecured indebtedness incurred by any Loan Party subordinated to all of the Loan Parties’ now or hereafter indebtedness to Bank (pursuant to a subordination, intercreditor, or other similar agreement in form and substance satisfactory to Bank entered into between Bank and the other creditor), on terms and in amounts reasonably acceptable to Bank.</w:t>
      </w:r>
    </w:p>
    <w:p>
      <w:pPr>
        <w:pStyle w:val="TextBody"/>
        <w:bidi w:val="0"/>
        <w:spacing w:before="0" w:after="160"/>
        <w:ind w:left="0" w:right="0" w:firstLine="720"/>
        <w:jc w:val="both"/>
        <w:rPr/>
      </w:pPr>
      <w:r>
        <w:rPr>
          <w:color w:val="000000"/>
        </w:rPr>
        <w:t>“</w:t>
      </w:r>
      <w:r>
        <w:rPr>
          <w:rFonts w:ascii="Times New Roman" w:hAnsi="Times New Roman"/>
          <w:b/>
          <w:color w:val="000000"/>
          <w:sz w:val="22"/>
        </w:rPr>
        <w:t>Subsidiary</w:t>
      </w:r>
      <w:r>
        <w:rPr>
          <w:rFonts w:ascii="Times New Roman" w:hAnsi="Times New Roman"/>
          <w:color w:val="000000"/>
          <w:sz w:val="20"/>
        </w:rPr>
        <w:t xml:space="preserve">” </w:t>
      </w:r>
      <w:r>
        <w:rPr>
          <w:rFonts w:ascii="Times New Roman" w:hAnsi="Times New Roman"/>
          <w:color w:val="000000"/>
          <w:sz w:val="22"/>
        </w:rPr>
        <w:t>(a) as to an Irish Loan Party, has the meaning given to that term under Section 7 of the Irish Companies Act, and (b)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(1) or more intermediaries, or both, by such Person. Unless the context otherwise requires, each reference to a Subsidiary herein shall be a reference to a Subsidiary of Parent Guarantor.</w:t>
      </w:r>
    </w:p>
    <w:p>
      <w:pPr>
        <w:pStyle w:val="TextBody"/>
        <w:bidi w:val="0"/>
        <w:spacing w:before="0" w:after="160"/>
        <w:ind w:left="0" w:right="0" w:firstLine="720"/>
        <w:jc w:val="both"/>
        <w:rPr/>
      </w:pPr>
      <w:r>
        <w:rPr>
          <w:color w:val="000000"/>
        </w:rPr>
        <w:t>“</w:t>
      </w:r>
      <w:r>
        <w:rPr>
          <w:rFonts w:ascii="Times New Roman" w:hAnsi="Times New Roman"/>
          <w:b/>
          <w:color w:val="000000"/>
          <w:sz w:val="22"/>
        </w:rPr>
        <w:t>Taxes</w:t>
      </w:r>
      <w:r>
        <w:rPr>
          <w:rFonts w:ascii="Times New Roman" w:hAnsi="Times New Roman"/>
          <w:color w:val="000000"/>
          <w:sz w:val="20"/>
        </w:rPr>
        <w:t xml:space="preserve">” </w:t>
      </w:r>
      <w:r>
        <w:rPr>
          <w:rFonts w:ascii="Times New Roman" w:hAnsi="Times New Roman"/>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160"/>
        <w:ind w:left="0" w:right="0" w:firstLine="720"/>
        <w:jc w:val="both"/>
        <w:rPr/>
      </w:pPr>
      <w:r>
        <w:rPr>
          <w:color w:val="000000"/>
        </w:rPr>
        <w:t>“</w:t>
      </w:r>
      <w:r>
        <w:rPr>
          <w:rFonts w:ascii="Times New Roman" w:hAnsi="Times New Roman"/>
          <w:b/>
          <w:color w:val="000000"/>
          <w:sz w:val="22"/>
        </w:rPr>
        <w:t>Term A Loan Advance</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color w:val="000000"/>
          <w:sz w:val="22"/>
        </w:rPr>
        <w:t>Term A Loan Advances</w:t>
      </w:r>
      <w:r>
        <w:rPr>
          <w:rFonts w:ascii="Times New Roman" w:hAnsi="Times New Roman"/>
          <w:color w:val="000000"/>
          <w:sz w:val="20"/>
        </w:rPr>
        <w:t xml:space="preserve">” </w:t>
      </w:r>
      <w:r>
        <w:rPr>
          <w:rFonts w:ascii="Times New Roman" w:hAnsi="Times New Roman"/>
          <w:color w:val="000000"/>
          <w:sz w:val="22"/>
        </w:rPr>
        <w:t>are each defined in Section 2.2(a).</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17</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160"/>
        <w:ind w:left="0" w:right="0" w:firstLine="720"/>
        <w:jc w:val="both"/>
        <w:rPr/>
      </w:pPr>
      <w:r>
        <w:rPr>
          <w:color w:val="000000"/>
        </w:rPr>
        <w:t>“</w:t>
      </w:r>
      <w:r>
        <w:rPr>
          <w:rFonts w:ascii="Times New Roman" w:hAnsi="Times New Roman"/>
          <w:b/>
          <w:color w:val="000000"/>
          <w:sz w:val="22"/>
        </w:rPr>
        <w:t>Term B Loan Advance</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color w:val="000000"/>
          <w:sz w:val="22"/>
        </w:rPr>
        <w:t>Term B Loan Advances</w:t>
      </w:r>
      <w:r>
        <w:rPr>
          <w:rFonts w:ascii="Times New Roman" w:hAnsi="Times New Roman"/>
          <w:color w:val="000000"/>
          <w:sz w:val="20"/>
        </w:rPr>
        <w:t xml:space="preserve">” </w:t>
      </w:r>
      <w:r>
        <w:rPr>
          <w:rFonts w:ascii="Times New Roman" w:hAnsi="Times New Roman"/>
          <w:color w:val="000000"/>
          <w:sz w:val="22"/>
        </w:rPr>
        <w:t>are each defined in Section 2.2(a).</w:t>
      </w:r>
    </w:p>
    <w:p>
      <w:pPr>
        <w:pStyle w:val="TextBody"/>
        <w:bidi w:val="0"/>
        <w:spacing w:before="0" w:after="160"/>
        <w:ind w:left="0" w:right="0" w:firstLine="720"/>
        <w:jc w:val="both"/>
        <w:rPr/>
      </w:pPr>
      <w:r>
        <w:rPr>
          <w:color w:val="000000"/>
        </w:rPr>
        <w:t>“</w:t>
      </w:r>
      <w:r>
        <w:rPr>
          <w:rFonts w:ascii="Times New Roman" w:hAnsi="Times New Roman"/>
          <w:b/>
          <w:color w:val="000000"/>
          <w:sz w:val="22"/>
        </w:rPr>
        <w:t>Term B Milestone Event</w:t>
      </w:r>
      <w:r>
        <w:rPr>
          <w:rFonts w:ascii="Times New Roman" w:hAnsi="Times New Roman"/>
          <w:color w:val="000000"/>
          <w:sz w:val="20"/>
        </w:rPr>
        <w:t xml:space="preserve">” </w:t>
      </w:r>
      <w:r>
        <w:rPr>
          <w:rFonts w:ascii="Times New Roman" w:hAnsi="Times New Roman"/>
          <w:color w:val="000000"/>
          <w:sz w:val="22"/>
        </w:rPr>
        <w:t>occurs if and when (if ever) Borrower has provided Bank with evidence, satisfactory to Bank in its sole and absolute discretion, on or prior to June 30, 2028 that Borrower has achieved, after the Effective Date, but on or prior to December 31, 2027, both (a) positive data in Borrower’s phase 2 ASPEN-09 study of Evorpacept that is sufficient to proceed to a phase 3 study and (b) positive safety data in Borrower’s phase 1 study of ALX2004.</w:t>
      </w:r>
    </w:p>
    <w:p>
      <w:pPr>
        <w:pStyle w:val="TextBody"/>
        <w:bidi w:val="0"/>
        <w:spacing w:before="0" w:after="160"/>
        <w:ind w:left="0" w:right="0" w:firstLine="720"/>
        <w:jc w:val="both"/>
        <w:rPr/>
      </w:pPr>
      <w:r>
        <w:rPr>
          <w:color w:val="000000"/>
        </w:rPr>
        <w:t>“</w:t>
      </w:r>
      <w:r>
        <w:rPr>
          <w:rFonts w:ascii="Times New Roman" w:hAnsi="Times New Roman"/>
          <w:b/>
          <w:color w:val="000000"/>
          <w:sz w:val="22"/>
        </w:rPr>
        <w:t>Term C Loan Advance</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color w:val="000000"/>
          <w:sz w:val="22"/>
        </w:rPr>
        <w:t>Term C Loan Advances</w:t>
      </w:r>
      <w:r>
        <w:rPr>
          <w:rFonts w:ascii="Times New Roman" w:hAnsi="Times New Roman"/>
          <w:color w:val="000000"/>
          <w:sz w:val="20"/>
        </w:rPr>
        <w:t xml:space="preserve">” </w:t>
      </w:r>
      <w:r>
        <w:rPr>
          <w:rFonts w:ascii="Times New Roman" w:hAnsi="Times New Roman"/>
          <w:color w:val="000000"/>
          <w:sz w:val="22"/>
        </w:rPr>
        <w:t>are each defined in Section 2.2(a).</w:t>
      </w:r>
    </w:p>
    <w:p>
      <w:pPr>
        <w:pStyle w:val="TextBody"/>
        <w:bidi w:val="0"/>
        <w:spacing w:before="0" w:after="160"/>
        <w:ind w:left="0" w:right="0" w:firstLine="720"/>
        <w:jc w:val="both"/>
        <w:rPr/>
      </w:pPr>
      <w:r>
        <w:rPr>
          <w:color w:val="000000"/>
        </w:rPr>
        <w:t>“</w:t>
      </w:r>
      <w:r>
        <w:rPr>
          <w:rFonts w:ascii="Times New Roman" w:hAnsi="Times New Roman"/>
          <w:b/>
          <w:color w:val="000000"/>
          <w:sz w:val="22"/>
        </w:rPr>
        <w:t>Term C Milestone Event</w:t>
      </w:r>
      <w:r>
        <w:rPr>
          <w:rFonts w:ascii="Times New Roman" w:hAnsi="Times New Roman"/>
          <w:color w:val="000000"/>
          <w:sz w:val="20"/>
        </w:rPr>
        <w:t xml:space="preserve">” </w:t>
      </w:r>
      <w:r>
        <w:rPr>
          <w:rFonts w:ascii="Times New Roman" w:hAnsi="Times New Roman"/>
          <w:color w:val="000000"/>
          <w:sz w:val="22"/>
        </w:rPr>
        <w:t>occurs if and when (if ever), on or prior to June 30, 2028, (a) Borrower has requested and Bank has made the Term A Loan Advances and the Term B Loan Advance, (b) Borrower has requested in writing for Bank to make the Term C Loan Advance and (c) Bank confirms in writing that: (i) Bank has received all necessary internal and credit approvals to make the Term C Loan Advance, (ii) no Event of Default exists at the time the Term C Loan Advance is requested or would exist as a result of the Term C Loan Advance and (iii) Bank has provided written approval in its sole discretion that the Term C Loan Advance shall be made. For the avoidance of doubt, upon satisfaction of clauses (a)-(c), the determination of whether to make the Term C Loan Advance available to Borrower shall be in Bank’s sole discretion.</w:t>
      </w:r>
      <w:r>
        <w:rPr>
          <w:rFonts w:ascii="Times New Roman" w:hAnsi="Times New Roman"/>
          <w:color w:val="000000"/>
          <w:sz w:val="20"/>
        </w:rPr>
        <w:t xml:space="preserve"> </w:t>
      </w:r>
    </w:p>
    <w:p>
      <w:pPr>
        <w:pStyle w:val="TextBody"/>
        <w:bidi w:val="0"/>
        <w:spacing w:before="0" w:after="160"/>
        <w:ind w:left="0" w:right="0" w:firstLine="720"/>
        <w:jc w:val="both"/>
        <w:rPr/>
      </w:pPr>
      <w:r>
        <w:rPr>
          <w:color w:val="000000"/>
        </w:rPr>
        <w:t>“</w:t>
      </w:r>
      <w:r>
        <w:rPr>
          <w:rFonts w:ascii="Times New Roman" w:hAnsi="Times New Roman"/>
          <w:b/>
          <w:color w:val="000000"/>
          <w:sz w:val="22"/>
        </w:rPr>
        <w:t>Term Loan Advance</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color w:val="000000"/>
          <w:sz w:val="22"/>
        </w:rPr>
        <w:t>Term Loan Advances</w:t>
      </w:r>
      <w:r>
        <w:rPr>
          <w:rFonts w:ascii="Times New Roman" w:hAnsi="Times New Roman"/>
          <w:color w:val="000000"/>
          <w:sz w:val="20"/>
        </w:rPr>
        <w:t xml:space="preserve">” </w:t>
      </w:r>
      <w:r>
        <w:rPr>
          <w:rFonts w:ascii="Times New Roman" w:hAnsi="Times New Roman"/>
          <w:color w:val="000000"/>
          <w:sz w:val="22"/>
        </w:rPr>
        <w:t>are each defined in Section 2.2(a).</w:t>
      </w:r>
    </w:p>
    <w:p>
      <w:pPr>
        <w:pStyle w:val="TextBody"/>
        <w:bidi w:val="0"/>
        <w:spacing w:before="0" w:after="160"/>
        <w:ind w:left="0" w:right="0" w:firstLine="720"/>
        <w:jc w:val="both"/>
        <w:rPr/>
      </w:pPr>
      <w:r>
        <w:rPr>
          <w:color w:val="000000"/>
        </w:rPr>
        <w:t>“</w:t>
      </w:r>
      <w:r>
        <w:rPr>
          <w:rFonts w:ascii="Times New Roman" w:hAnsi="Times New Roman"/>
          <w:b/>
          <w:color w:val="000000"/>
          <w:sz w:val="22"/>
        </w:rPr>
        <w:t>Term Loan Amortization Date</w:t>
      </w:r>
      <w:r>
        <w:rPr>
          <w:rFonts w:ascii="Times New Roman" w:hAnsi="Times New Roman"/>
          <w:color w:val="000000"/>
          <w:sz w:val="20"/>
        </w:rPr>
        <w:t xml:space="preserve">” </w:t>
      </w:r>
      <w:r>
        <w:rPr>
          <w:rFonts w:ascii="Times New Roman" w:hAnsi="Times New Roman"/>
          <w:color w:val="000000"/>
          <w:sz w:val="22"/>
        </w:rPr>
        <w:t>is July 1, 2028, which shall be extended to July 1, 2029 upon the occurrence of the Interest Only Milestone Event.</w:t>
      </w:r>
      <w:r>
        <w:rPr>
          <w:rFonts w:ascii="Times New Roman" w:hAnsi="Times New Roman"/>
          <w:color w:val="000000"/>
          <w:sz w:val="20"/>
        </w:rPr>
        <w:t xml:space="preserve"> </w:t>
      </w:r>
    </w:p>
    <w:p>
      <w:pPr>
        <w:pStyle w:val="TextBody"/>
        <w:bidi w:val="0"/>
        <w:spacing w:before="0" w:after="160"/>
        <w:ind w:left="0" w:right="0" w:firstLine="720"/>
        <w:jc w:val="both"/>
        <w:rPr/>
      </w:pPr>
      <w:r>
        <w:rPr>
          <w:color w:val="000000"/>
        </w:rPr>
        <w:t>“</w:t>
      </w:r>
      <w:r>
        <w:rPr>
          <w:rFonts w:ascii="Times New Roman" w:hAnsi="Times New Roman"/>
          <w:b/>
          <w:color w:val="000000"/>
          <w:sz w:val="22"/>
        </w:rPr>
        <w:t>Term Loan Maturity Date</w:t>
      </w:r>
      <w:r>
        <w:rPr>
          <w:rFonts w:ascii="Times New Roman" w:hAnsi="Times New Roman"/>
          <w:color w:val="000000"/>
          <w:sz w:val="20"/>
        </w:rPr>
        <w:t xml:space="preserve">” </w:t>
      </w:r>
      <w:r>
        <w:rPr>
          <w:rFonts w:ascii="Times New Roman" w:hAnsi="Times New Roman"/>
          <w:color w:val="000000"/>
          <w:sz w:val="22"/>
        </w:rPr>
        <w:t>is June 1, 2030.</w:t>
      </w:r>
    </w:p>
    <w:p>
      <w:pPr>
        <w:pStyle w:val="TextBody"/>
        <w:bidi w:val="0"/>
        <w:spacing w:before="0" w:after="160"/>
        <w:ind w:left="0" w:right="0" w:firstLine="720"/>
        <w:jc w:val="both"/>
        <w:rPr/>
      </w:pPr>
      <w:r>
        <w:rPr>
          <w:color w:val="000000"/>
        </w:rPr>
        <w:t>“</w:t>
      </w:r>
      <w:r>
        <w:rPr>
          <w:rFonts w:ascii="Times New Roman" w:hAnsi="Times New Roman"/>
          <w:b/>
          <w:color w:val="000000"/>
          <w:sz w:val="22"/>
        </w:rPr>
        <w:t>Trademarks</w:t>
      </w:r>
      <w:r>
        <w:rPr>
          <w:rFonts w:ascii="Times New Roman" w:hAnsi="Times New Roman"/>
          <w:color w:val="000000"/>
          <w:sz w:val="20"/>
        </w:rPr>
        <w:t xml:space="preserve">” </w:t>
      </w:r>
      <w:r>
        <w:rPr>
          <w:rFonts w:ascii="Times New Roman" w:hAnsi="Times New Roman"/>
          <w:color w:val="000000"/>
          <w:sz w:val="22"/>
        </w:rPr>
        <w:t>are any trademark and servicemark rights, whether registered or not, applications to register and registrations of the same and like protections, and the entire goodwill of the business of a Loan Party connected with and symbolized by such trademarks.</w:t>
      </w:r>
    </w:p>
    <w:p>
      <w:pPr>
        <w:pStyle w:val="TextBody"/>
        <w:bidi w:val="0"/>
        <w:spacing w:before="0" w:after="160"/>
        <w:ind w:left="0" w:right="0" w:firstLine="720"/>
        <w:jc w:val="both"/>
        <w:rPr/>
      </w:pPr>
      <w:r>
        <w:rPr>
          <w:color w:val="000000"/>
        </w:rPr>
        <w:t>“</w:t>
      </w:r>
      <w:r>
        <w:rPr>
          <w:rFonts w:ascii="Times New Roman" w:hAnsi="Times New Roman"/>
          <w:b/>
          <w:color w:val="000000"/>
          <w:sz w:val="22"/>
        </w:rPr>
        <w:t>Transaction Request Form</w:t>
      </w:r>
      <w:r>
        <w:rPr>
          <w:rFonts w:ascii="Times New Roman" w:hAnsi="Times New Roman"/>
          <w:color w:val="000000"/>
          <w:sz w:val="20"/>
        </w:rPr>
        <w:t xml:space="preserve">” </w:t>
      </w:r>
      <w:r>
        <w:rPr>
          <w:rFonts w:ascii="Times New Roman" w:hAnsi="Times New Roman"/>
          <w:color w:val="000000"/>
          <w:sz w:val="22"/>
        </w:rPr>
        <w:t xml:space="preserve">is that certain form attached hereto as </w:t>
      </w:r>
      <w:r>
        <w:rPr>
          <w:rFonts w:ascii="Times New Roman" w:hAnsi="Times New Roman"/>
          <w:color w:val="000000"/>
          <w:sz w:val="22"/>
          <w:u w:val="single"/>
        </w:rPr>
        <w:t>Exhibit C</w:t>
      </w:r>
      <w:r>
        <w:rPr>
          <w:rFonts w:ascii="Times New Roman" w:hAnsi="Times New Roman"/>
          <w:color w:val="000000"/>
          <w:sz w:val="22"/>
        </w:rPr>
        <w:t>.</w:t>
      </w:r>
    </w:p>
    <w:p>
      <w:pPr>
        <w:pStyle w:val="TextBody"/>
        <w:bidi w:val="0"/>
        <w:spacing w:before="0" w:after="160"/>
        <w:ind w:left="0" w:right="0" w:firstLine="720"/>
        <w:jc w:val="both"/>
        <w:rPr/>
      </w:pPr>
      <w:r>
        <w:rPr>
          <w:color w:val="000000"/>
        </w:rPr>
        <w:t>“</w:t>
      </w:r>
      <w:r>
        <w:rPr>
          <w:rFonts w:ascii="Times New Roman" w:hAnsi="Times New Roman"/>
          <w:b/>
          <w:color w:val="000000"/>
          <w:sz w:val="22"/>
        </w:rPr>
        <w:t>Transfer</w:t>
      </w:r>
      <w:r>
        <w:rPr>
          <w:rFonts w:ascii="Times New Roman" w:hAnsi="Times New Roman"/>
          <w:color w:val="000000"/>
          <w:sz w:val="20"/>
        </w:rPr>
        <w:t xml:space="preserve">” </w:t>
      </w:r>
      <w:r>
        <w:rPr>
          <w:rFonts w:ascii="Times New Roman" w:hAnsi="Times New Roman"/>
          <w:color w:val="000000"/>
          <w:sz w:val="22"/>
        </w:rPr>
        <w:t>is defined in Section 7.1.</w:t>
      </w:r>
    </w:p>
    <w:p>
      <w:pPr>
        <w:pStyle w:val="TextBody"/>
        <w:bidi w:val="0"/>
        <w:spacing w:before="0" w:after="160"/>
        <w:ind w:left="0" w:right="0" w:firstLine="720"/>
        <w:jc w:val="both"/>
        <w:rPr/>
      </w:pPr>
      <w:r>
        <w:rPr>
          <w:color w:val="000000"/>
        </w:rPr>
        <w:t>“</w:t>
      </w:r>
      <w:r>
        <w:rPr>
          <w:rFonts w:ascii="Times New Roman" w:hAnsi="Times New Roman"/>
          <w:b/>
          <w:color w:val="000000"/>
          <w:sz w:val="22"/>
        </w:rPr>
        <w:t>UK Bribery Act</w:t>
      </w:r>
      <w:r>
        <w:rPr>
          <w:rFonts w:ascii="Times New Roman" w:hAnsi="Times New Roman"/>
          <w:color w:val="000000"/>
          <w:sz w:val="20"/>
        </w:rPr>
        <w:t xml:space="preserve">” </w:t>
      </w:r>
      <w:r>
        <w:rPr>
          <w:rFonts w:ascii="Times New Roman" w:hAnsi="Times New Roman"/>
          <w:color w:val="000000"/>
          <w:sz w:val="22"/>
        </w:rPr>
        <w:t>is defined in Section 5.13.</w:t>
      </w:r>
    </w:p>
    <w:p>
      <w:pPr>
        <w:pStyle w:val="TextBody"/>
        <w:bidi w:val="0"/>
        <w:spacing w:before="0" w:after="160"/>
        <w:ind w:left="0" w:right="0" w:firstLine="720"/>
        <w:jc w:val="both"/>
        <w:rPr/>
      </w:pPr>
      <w:r>
        <w:rPr>
          <w:color w:val="000000"/>
        </w:rPr>
        <w:t>“</w:t>
      </w:r>
      <w:r>
        <w:rPr>
          <w:rFonts w:ascii="Times New Roman" w:hAnsi="Times New Roman"/>
          <w:b/>
          <w:color w:val="000000"/>
          <w:sz w:val="22"/>
        </w:rPr>
        <w:t>UK Financial Institution</w:t>
      </w:r>
      <w:r>
        <w:rPr>
          <w:rFonts w:ascii="Times New Roman" w:hAnsi="Times New Roman"/>
          <w:color w:val="000000"/>
          <w:sz w:val="20"/>
        </w:rPr>
        <w:t xml:space="preserve">” </w:t>
      </w:r>
      <w:r>
        <w:rPr>
          <w:rFonts w:ascii="Times New Roman" w:hAnsi="Times New Roman"/>
          <w:color w:val="000000"/>
          <w:sz w:val="22"/>
        </w:rPr>
        <w:t>is any BRRD Undertaking (as such term is defined under the PRA Rulebook (as amended from time to time) promulgated by the United Kingdom Prudential Regulation Authority) or any persons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160"/>
        <w:ind w:left="0" w:right="0" w:firstLine="720"/>
        <w:jc w:val="both"/>
        <w:rPr/>
      </w:pPr>
      <w:r>
        <w:rPr>
          <w:color w:val="000000"/>
        </w:rPr>
        <w:t>“</w:t>
      </w:r>
      <w:r>
        <w:rPr>
          <w:rFonts w:ascii="Times New Roman" w:hAnsi="Times New Roman"/>
          <w:b/>
          <w:color w:val="000000"/>
          <w:sz w:val="22"/>
        </w:rPr>
        <w:t>Wells Fargo Account</w:t>
      </w:r>
      <w:r>
        <w:rPr>
          <w:rFonts w:ascii="Times New Roman" w:hAnsi="Times New Roman"/>
          <w:color w:val="000000"/>
          <w:sz w:val="20"/>
        </w:rPr>
        <w:t xml:space="preserve">” </w:t>
      </w:r>
      <w:r>
        <w:rPr>
          <w:rFonts w:ascii="Times New Roman" w:hAnsi="Times New Roman"/>
          <w:color w:val="000000"/>
          <w:sz w:val="22"/>
        </w:rPr>
        <w:t>is defined in Section 6.8(b).</w:t>
      </w:r>
    </w:p>
    <w:p>
      <w:pPr>
        <w:pStyle w:val="TextBody"/>
        <w:bidi w:val="0"/>
        <w:spacing w:before="0" w:after="160"/>
        <w:ind w:left="0" w:right="0" w:firstLine="720"/>
        <w:jc w:val="both"/>
        <w:rPr/>
      </w:pPr>
      <w:r>
        <w:rPr>
          <w:color w:val="000000"/>
        </w:rPr>
        <w:t>“</w:t>
      </w:r>
      <w:r>
        <w:rPr>
          <w:rFonts w:ascii="Times New Roman" w:hAnsi="Times New Roman"/>
          <w:b/>
          <w:color w:val="000000"/>
          <w:sz w:val="22"/>
        </w:rPr>
        <w:t>Wells Fargo Transition Period</w:t>
      </w:r>
      <w:r>
        <w:rPr>
          <w:rFonts w:ascii="Times New Roman" w:hAnsi="Times New Roman"/>
          <w:color w:val="000000"/>
          <w:sz w:val="20"/>
        </w:rPr>
        <w:t xml:space="preserve">” </w:t>
      </w:r>
      <w:r>
        <w:rPr>
          <w:rFonts w:ascii="Times New Roman" w:hAnsi="Times New Roman"/>
          <w:color w:val="000000"/>
          <w:sz w:val="22"/>
        </w:rPr>
        <w:t>is the period of time commencing upon the Effective Date and continuing through the earlier to occur of (a) August 24, 2026 or (b) an Event of Default.</w:t>
      </w:r>
      <w:r>
        <w:rPr>
          <w:rFonts w:ascii="Times New Roman" w:hAnsi="Times New Roman"/>
          <w:color w:val="000000"/>
          <w:sz w:val="20"/>
        </w:rPr>
        <w:t xml:space="preserve"> </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1.2</w:t>
      </w:r>
    </w:p>
    <w:p>
      <w:pPr>
        <w:pStyle w:val="TextBody"/>
        <w:bidi w:val="0"/>
        <w:spacing w:before="0" w:after="240"/>
        <w:jc w:val="both"/>
        <w:rPr/>
      </w:pPr>
      <w:r>
        <w:rPr>
          <w:rFonts w:ascii="Times New Roman" w:hAnsi="Times New Roman"/>
          <w:color w:val="000000"/>
          <w:sz w:val="22"/>
          <w:u w:val="single"/>
        </w:rPr>
        <w:t>Terms Generally</w:t>
      </w:r>
      <w:r>
        <w:rPr>
          <w:rFonts w:ascii="Times New Roman" w:hAnsi="Times New Roman"/>
          <w:color w:val="000000"/>
          <w:sz w:val="22"/>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18</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1.3</w:t>
      </w:r>
    </w:p>
    <w:p>
      <w:pPr>
        <w:pStyle w:val="TextBody"/>
        <w:bidi w:val="0"/>
        <w:spacing w:before="0" w:after="240"/>
        <w:jc w:val="both"/>
        <w:rPr/>
      </w:pPr>
      <w:r>
        <w:rPr>
          <w:rFonts w:ascii="Times New Roman" w:hAnsi="Times New Roman"/>
          <w:color w:val="000000"/>
          <w:sz w:val="22"/>
          <w:u w:val="single"/>
        </w:rPr>
        <w:t>Accounting and Other Terms</w:t>
      </w:r>
      <w:r>
        <w:rPr>
          <w:rFonts w:ascii="Times New Roman" w:hAnsi="Times New Roman"/>
          <w:color w:val="000000"/>
          <w:sz w:val="22"/>
        </w:rPr>
        <w:t>. Accounting terms not defined in this Agreement shall be construed following GAAP, and calculations and determinations must be made following GAAP (except with respect to unaudited financial statements for the absence of footnotes and subject to normal year-end audit adjustments). Notwithstanding anything to the contrary contained in this Section, with respect to the definitions and the calculation of amounts and ratios contained herein, (a) except as otherwise expressly set forth herein, the accounting for revenue recognition from contracts with customers and the impact of such accounting, GAAP shall mean Financial Accounting Standards Board Accounting Standards Codification 606, (b) if at any time any change in GAAP would affect the computation of amounts and ratios contained herein or in any other Loan Document, and Borrower notifies Bank that Borrower requests an amendment to any provision hereof to preserve the original intent thereof in light of such change in GAAP (or if Bank notifies Borrower that Bank requests an amendment to any provision hereof for such purpose), regardless of whether any such notice is given before or after such change in GAAP or in the application thereof, then (i) Borrower and Bank shall negotiate in good faith to effect such amendment, and (ii) such provision shall be interpreted (and such amount or ratio shall continue to be computed) on the basis of GAAP as in effect and applied immediately before such change shall have become effective until such notice shall have been withdrawn or such provision amended in accordance herewith and (c) all obligations of any Person that are or would have been treated as operating leases for purposes of GAAP prior to the issuance by the Financial Accounting Standards Board on February 25, 2016 of an Accounting Standards Update (the “ASU”) shall continue to be accounted for as operating leases for purposes of all financial definitions, calculations and covenants for purposes of this Agreement (other than for purposes of the delivery of financial statements prepared in accordance with GAAP) whether or not such operating lease obligations were in effect on such date, notwithstanding the fact that such obligations are required in accordance with the ASU (on a prospective or retroactive basis or otherwise) to be treated as capitalized lease obligations in accordance with GAAP. All other terms contained in this Agreement, unless otherwise indicated, shall have the meaning provided by the Code to the extent such terms are defined therein.</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1.4</w:t>
      </w:r>
    </w:p>
    <w:p>
      <w:pPr>
        <w:pStyle w:val="TextBody"/>
        <w:bidi w:val="0"/>
        <w:spacing w:before="0" w:after="240"/>
        <w:jc w:val="both"/>
        <w:rPr/>
      </w:pPr>
      <w:r>
        <w:rPr>
          <w:rFonts w:ascii="Times New Roman" w:hAnsi="Times New Roman"/>
          <w:color w:val="000000"/>
          <w:sz w:val="22"/>
          <w:u w:val="single"/>
        </w:rPr>
        <w:t>Irish Terms:</w:t>
      </w:r>
      <w:r>
        <w:rPr>
          <w:color w:val="000000"/>
        </w:rPr>
        <w:t xml:space="preserve"> </w:t>
      </w:r>
      <w:r>
        <w:rPr>
          <w:rFonts w:ascii="Times New Roman" w:hAnsi="Times New Roman"/>
          <w:color w:val="000000"/>
          <w:sz w:val="22"/>
        </w:rPr>
        <w:t>In each Loan Document, where it relates to an Irish Loan Party, an Irish entity, Irish law, document governed by Irish law or a person formed, established or organized and existing in Ireland, a reference to:</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color w:val="000000"/>
        </w:rPr>
      </w:pPr>
      <w:r>
        <w:rPr>
          <w:color w:val="000000"/>
        </w:rPr>
        <w:t>“</w:t>
      </w:r>
      <w:r>
        <w:rPr>
          <w:rFonts w:ascii="Times New Roman" w:hAnsi="Times New Roman"/>
          <w:color w:val="000000"/>
          <w:sz w:val="22"/>
        </w:rPr>
        <w:t>Ireland” means the island of Ireland excluding Northern Ireland;</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 “examiner” means an examiner appointed under Section 509 of the Irish Companies Act and "examinership" shall be construed accordingly;</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19</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color w:val="000000"/>
        </w:rPr>
      </w:pPr>
      <w:r>
        <w:rPr>
          <w:color w:val="000000"/>
        </w:rPr>
        <w:t>“</w:t>
      </w:r>
      <w:r>
        <w:rPr>
          <w:rFonts w:ascii="Times New Roman" w:hAnsi="Times New Roman"/>
          <w:color w:val="000000"/>
          <w:sz w:val="22"/>
        </w:rPr>
        <w:t>process adviser” has the meaning given to such term in Section 558A of the Irish Companies Act and "rescue process" shall be construed accordingly; and</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 inability to pay debts shall mean a person being “unable to pay its debts” including that person being unable to pay its debts within the meaning of Section 509(3) or Section 570 of the Irish Companies Act.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1.5</w:t>
      </w:r>
    </w:p>
    <w:p>
      <w:pPr>
        <w:pStyle w:val="TextBody"/>
        <w:bidi w:val="0"/>
        <w:spacing w:before="0" w:after="240"/>
        <w:jc w:val="both"/>
        <w:rPr/>
      </w:pPr>
      <w:r>
        <w:rPr>
          <w:rFonts w:ascii="Times New Roman" w:hAnsi="Times New Roman"/>
          <w:color w:val="000000"/>
          <w:sz w:val="22"/>
          <w:u w:val="single"/>
        </w:rPr>
        <w:t>Divisions by Limited Liability Companies</w:t>
      </w:r>
      <w:r>
        <w:rPr>
          <w:rFonts w:ascii="Times New Roman" w:hAnsi="Times New Roman"/>
          <w:color w:val="000000"/>
          <w:sz w:val="22"/>
        </w:rPr>
        <w:t>. For all purposes hereunder and under the other Loan Documents, and without limiting any restrictions or prohibitions in this Agreement, if in connection with any Division: (a) any asset, right, obligation or liability of any Person becomes the asset, right, obligation or liability of a different Person, then it shall be deemed to have been transferred from the original Person to the subsequent Person, and (b) any new Person comes into existence, such new Person shall be deemed to have been organized by the holders of its equity interests at such time on the first date of its existence for purposes of Section 6.11.</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2</w:t>
      </w:r>
    </w:p>
    <w:p>
      <w:pPr>
        <w:pStyle w:val="TextBody"/>
        <w:bidi w:val="0"/>
        <w:spacing w:before="0" w:after="240"/>
        <w:jc w:val="both"/>
        <w:rPr/>
      </w:pPr>
      <w:r>
        <w:rPr>
          <w:rFonts w:ascii="Times New Roman" w:hAnsi="Times New Roman"/>
          <w:b/>
          <w:color w:val="000000"/>
          <w:sz w:val="22"/>
        </w:rPr>
        <w:t>Loan and Terms of Payment</w:t>
      </w:r>
      <w:r>
        <w:rPr>
          <w:rFonts w:ascii="Times New Roman" w:hAnsi="Times New Roman"/>
          <w:color w:val="000000"/>
          <w:sz w:val="22"/>
        </w:rPr>
        <w: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2.1</w:t>
      </w:r>
    </w:p>
    <w:p>
      <w:pPr>
        <w:pStyle w:val="TextBody"/>
        <w:bidi w:val="0"/>
        <w:spacing w:before="0" w:after="240"/>
        <w:jc w:val="both"/>
        <w:rPr/>
      </w:pPr>
      <w:r>
        <w:rPr>
          <w:rFonts w:ascii="Times New Roman" w:hAnsi="Times New Roman"/>
          <w:color w:val="000000"/>
          <w:sz w:val="22"/>
          <w:u w:val="single"/>
        </w:rPr>
        <w:t>Promise to Pay</w:t>
      </w:r>
      <w:r>
        <w:rPr>
          <w:rFonts w:ascii="Times New Roman" w:hAnsi="Times New Roman"/>
          <w:color w:val="000000"/>
          <w:sz w:val="22"/>
        </w:rPr>
        <w:t>. Borrower hereby unconditionally promises to pay Bank the outstanding principal amount of all Credit Extensions and accrued and unpaid interest thereon as and when due in accordance with this Agreement and any other applicable Loan Document.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2.2</w:t>
      </w:r>
    </w:p>
    <w:p>
      <w:pPr>
        <w:pStyle w:val="TextBody"/>
        <w:bidi w:val="0"/>
        <w:spacing w:before="0" w:after="240"/>
        <w:jc w:val="both"/>
        <w:rPr/>
      </w:pPr>
      <w:r>
        <w:rPr>
          <w:rFonts w:ascii="Times New Roman" w:hAnsi="Times New Roman"/>
          <w:color w:val="000000"/>
          <w:sz w:val="22"/>
          <w:u w:val="single"/>
        </w:rPr>
        <w:t>Term Loan Advances</w:t>
      </w:r>
      <w:r>
        <w:rPr>
          <w:rFonts w:ascii="Times New Roman" w:hAnsi="Times New Roman"/>
          <w:color w:val="000000"/>
          <w:sz w:val="22"/>
        </w:rPr>
        <w: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Availability</w:t>
      </w:r>
      <w:r>
        <w:rPr>
          <w:rFonts w:ascii="Times New Roman" w:hAnsi="Times New Roman"/>
          <w:color w:val="000000"/>
          <w:sz w:val="22"/>
        </w:rPr>
        <w:t>. Subject to the terms and conditions of this Agreement, upon Borrower’s request, during Draw Period A, Bank shall make up to three (3) term loan advances in an aggregate principal amount not to exceed Thirty Million Dollars ($30,000,000.00) (each, a “Term A Loan Advance” and, collectively, the “Term A Loan Advances”); provided that (i) on or about the Effective Date, Borrower shall request and Bank shall make one (1) Term A Loan Advance (the “Initial Term A Loan Advance”) and (ii) all or a portion of the proceeds of the Initial Term A Loan Advance shall be used to repay in full the Oxford-SVB Obligations. Subject to the terms and conditions of this Agreement, upon Borrower’s request, during Draw Period B, Bank shall Bank shall make one (1) term loan advance in an original principal amount equal to Ten Million Dollars ($10,000,000.00) (the “Term B Loan Advance”). Subject to the terms and conditions of this Agreement, upon Borrower’s request, during Draw Period C, Bank shall Bank shall make one (1) term loan advance in an original principal amount equal to Ten Million Dollars ($10,000,000.00) (the “Term C Loan Advance”). The Term A Loan Advances, the Term B Loan Advance and the Term C Loan Advance are each referred to herein as a “Term Loan Advance” and, collectively, as the “Term Loan Advances”. Each Term Loan Advance must be in an amount equal to at least Ten Million Dollars ($10,000,000.00), or such lesser amount representing the remaining commitment. After repayment, no Term Loan Advance (or any portion thereof) may be reborrowed.</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Interest Period</w:t>
      </w:r>
      <w:r>
        <w:rPr>
          <w:rFonts w:ascii="Times New Roman" w:hAnsi="Times New Roman"/>
          <w:color w:val="000000"/>
          <w:sz w:val="22"/>
        </w:rPr>
        <w:t>. Commencing on the first (1st) Payment Date of the month following the month in which the Funding Date of the applicable Term Loan Advance occurs, and continuing on each Payment Date thereafter, Borrower shall make monthly payments of interest on the principal amount of each Term Loan Advance at the rate set forth in Section 2.3(a).</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Repayment.</w:t>
      </w:r>
      <w:r>
        <w:rPr>
          <w:color w:val="000000"/>
        </w:rPr>
        <w:t xml:space="preserve"> </w:t>
      </w:r>
      <w:r>
        <w:rPr>
          <w:rFonts w:ascii="Times New Roman" w:hAnsi="Times New Roman"/>
          <w:color w:val="000000"/>
          <w:sz w:val="22"/>
        </w:rPr>
        <w:t>Commencing on the Term Loan Amortization Date, and continuing on each Payment Date thereafter, Borrower shall repay the Term Loan Advances in (i) consecutive equal monthly installments of principal according to the Repayment Schedule, plus (ii) monthly payments of accrued interest at the rate set forth in Section 2.3(a). All outstanding principal and accrued and unpaid interest with respect to the Term Loan Advances, and all other outstanding Obligations with respect to the Term Loan Advances, are due and payable in full on the Term Loan Maturity Date.</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20</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Mandatory Prepayment Upon an Acceleration</w:t>
      </w:r>
      <w:r>
        <w:rPr>
          <w:rFonts w:ascii="Times New Roman" w:hAnsi="Times New Roman"/>
          <w:color w:val="000000"/>
          <w:sz w:val="22"/>
        </w:rPr>
        <w:t>. If the Term Loan Advances are accelerated following the occurrence and during the continuance of an Event of Default, Borrower shall immediately pay to Bank an amount equal to the sum of: (i) all outstanding principal plus accrued and unpaid interest on the Term Loan Advances, plus (ii) the Prepayment Premium, (iii) the Final Payment, and (iv) all other sums, if any, that shall have become due and payable, including interest at the Default Rate with respect to any past due amounts.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Permitted Prepayment of Term Loan Advances</w:t>
      </w:r>
      <w:r>
        <w:rPr>
          <w:rFonts w:ascii="Times New Roman" w:hAnsi="Times New Roman"/>
          <w:color w:val="000000"/>
          <w:sz w:val="22"/>
        </w:rPr>
        <w:t>. Borrower shall have the option to prepay all, but not less than all, of the Term Loan Advances advanced by Bank under this Agreement, provided Borrower (i) provides written notice to Bank of its election to prepay the Term Loan Advances at least ten (10) Business Days prior to such prepayment (which such notice may be conditioned upon the consummation of a transaction constituting a Change in Control, other transformative transaction or a refinancing of the Obligations), and (ii) pays, on the date of such prepayment (A) all outstanding principal plus accrued and unpaid interest, (B) the Prepayment Premium, (C) the Final Payment, and (D) all other sums, if any, that shall have become due and payable, including interest at the Default Rate with respect to any past due amounts.</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2.3</w:t>
      </w:r>
    </w:p>
    <w:p>
      <w:pPr>
        <w:pStyle w:val="TextBody"/>
        <w:bidi w:val="0"/>
        <w:spacing w:before="0" w:after="240"/>
        <w:jc w:val="both"/>
        <w:rPr/>
      </w:pPr>
      <w:r>
        <w:rPr>
          <w:rFonts w:ascii="Times New Roman" w:hAnsi="Times New Roman"/>
          <w:color w:val="000000"/>
          <w:sz w:val="22"/>
          <w:u w:val="single"/>
        </w:rPr>
        <w:t>Payment of Interest on the Credit Extensions</w:t>
      </w:r>
      <w:r>
        <w:rPr>
          <w:rFonts w:ascii="Times New Roman" w:hAnsi="Times New Roman"/>
          <w:color w:val="000000"/>
          <w:sz w:val="22"/>
        </w:rPr>
        <w: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Interest Rate</w:t>
      </w:r>
      <w:r>
        <w:rPr>
          <w:rFonts w:ascii="Times New Roman" w:hAnsi="Times New Roman"/>
          <w:color w:val="000000"/>
          <w:sz w:val="22"/>
        </w:rPr>
        <w:t>. Subject to Section 2.3(b), the principal amount outstanding under each Term Loan Advance shall accrue interest at a floating per annum rate equal to the greater of (A) the Prime Rate and (B) six percent (6.0%), which interest, in each case, shall be payable monthly in accordance with Section 2.3(d) below. Notwithstanding any terms in this Agreement to the contrary, if at any time the interest rate applicable to any Term Loan Advance is less than zero percent (0.0%), such interest rate shall be deemed to be zero percent (0.0%) for all purposes of this Agreement.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Default Rate</w:t>
      </w:r>
      <w:r>
        <w:rPr>
          <w:rFonts w:ascii="Times New Roman" w:hAnsi="Times New Roman"/>
          <w:color w:val="000000"/>
          <w:sz w:val="22"/>
        </w:rPr>
        <w:t>. Immediately upon the occurrence and during the continuance of an Event of Default, all Obligations shall bear interest at a rate per annum which is three percent (3.0%) above the rate that is otherwise applicable thereto (the “Default Rate”). Fees and expenses which are required to be paid by Borrower pursuant to the Loan Documents (including, without limitation, Bank Expenses) but are not paid when due shall bear interest until paid at a rate equal to the highest rate applicable to the Obligations inclusive of the Default Rate. Payment or acceptance of the increased interest rate provided in this Section 2.3(b) is not a permitted alternative to timely payment and shall not constitute a waiver of any Event of Default or otherwise prejudice or limit any rights or remedies of Bank.</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Adjustment to Interest Rate</w:t>
      </w:r>
      <w:r>
        <w:rPr>
          <w:rFonts w:ascii="Times New Roman" w:hAnsi="Times New Roman"/>
          <w:color w:val="000000"/>
          <w:sz w:val="22"/>
        </w:rPr>
        <w:t>. Changes to the interest rate of any Credit Extension based on changes to the Prime Rate shall be effective on the effective date of any change to the Prime Rate and to the extent of any such change.</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Payment; Interest Computation</w:t>
      </w:r>
      <w:r>
        <w:rPr>
          <w:rFonts w:ascii="Times New Roman" w:hAnsi="Times New Roman"/>
          <w:color w:val="000000"/>
          <w:sz w:val="22"/>
        </w:rPr>
        <w:t>. Interest is payable monthly on the first (1</w:t>
      </w:r>
      <w:r>
        <w:rPr>
          <w:rFonts w:ascii="Times New Roman" w:hAnsi="Times New Roman"/>
          <w:color w:val="000000"/>
          <w:sz w:val="15"/>
        </w:rPr>
        <w:t>st</w:t>
      </w:r>
      <w:r>
        <w:rPr>
          <w:rFonts w:ascii="Times New Roman" w:hAnsi="Times New Roman"/>
          <w:color w:val="000000"/>
          <w:sz w:val="22"/>
        </w:rPr>
        <w:t>) day of each calendar month and shall be computed on the basis of a year of three hundred sixty-five (365) days (or three hundred sixty-six (366) days in a leap year), and in each case shall be payable for the actual number of days elapsed. In computing interest, (i) all payments received after 2:00 p.m. Eastern time on any day shall be deemed received at the opening of business on the next Business Day, and (ii)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2.4</w:t>
      </w:r>
    </w:p>
    <w:p>
      <w:pPr>
        <w:pStyle w:val="TextBody"/>
        <w:bidi w:val="0"/>
        <w:spacing w:before="0" w:after="240"/>
        <w:jc w:val="both"/>
        <w:rPr/>
      </w:pPr>
      <w:r>
        <w:rPr>
          <w:rFonts w:ascii="Times New Roman" w:hAnsi="Times New Roman"/>
          <w:color w:val="000000"/>
          <w:sz w:val="22"/>
          <w:u w:val="single"/>
        </w:rPr>
        <w:t>Fees</w:t>
      </w:r>
      <w:r>
        <w:rPr>
          <w:rFonts w:ascii="Times New Roman" w:hAnsi="Times New Roman"/>
          <w:color w:val="000000"/>
          <w:sz w:val="22"/>
        </w:rPr>
        <w:t>. Borrower shall pay to Bank:</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Prepayment Premium</w:t>
      </w:r>
      <w:r>
        <w:rPr>
          <w:rFonts w:ascii="Times New Roman" w:hAnsi="Times New Roman"/>
          <w:color w:val="000000"/>
          <w:sz w:val="22"/>
        </w:rPr>
        <w:t xml:space="preserve">. The Prepayment Premium, when due hereunder;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21</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Final Payment</w:t>
      </w:r>
      <w:r>
        <w:rPr>
          <w:rFonts w:ascii="Times New Roman" w:hAnsi="Times New Roman"/>
          <w:color w:val="000000"/>
          <w:sz w:val="22"/>
        </w:rPr>
        <w:t>. The Final Payment, when due hereunder; and</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Bank Expenses</w:t>
      </w:r>
      <w:r>
        <w:rPr>
          <w:rFonts w:ascii="Times New Roman" w:hAnsi="Times New Roman"/>
          <w:color w:val="000000"/>
          <w:sz w:val="22"/>
        </w:rPr>
        <w:t>. All Bank Expenses incurred through and after the Effective Date, when due (or, if no stated due date, upon written demand by Bank).</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at its option, deduct amounts owing by Borrower under the clauses of this Section 2.4 pursuant to the terms of Section 2.5(c). Bank shall provide Borrower written notice of deductions made from the Designated Deposit Account pursuant to the terms of the clauses of this Section 2.4.</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2.5</w:t>
      </w:r>
    </w:p>
    <w:p>
      <w:pPr>
        <w:pStyle w:val="TextBody"/>
        <w:bidi w:val="0"/>
        <w:spacing w:before="0" w:after="240"/>
        <w:jc w:val="both"/>
        <w:rPr/>
      </w:pPr>
      <w:r>
        <w:rPr>
          <w:rFonts w:ascii="Times New Roman" w:hAnsi="Times New Roman"/>
          <w:color w:val="000000"/>
          <w:sz w:val="22"/>
          <w:u w:val="single"/>
        </w:rPr>
        <w:t>Payments; Application of Payments; Debit of Accounts</w:t>
      </w:r>
      <w:r>
        <w:rPr>
          <w:rFonts w:ascii="Times New Roman" w:hAnsi="Times New Roman"/>
          <w:color w:val="000000"/>
          <w:sz w:val="22"/>
        </w:rPr>
        <w: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payments to be made by Borrower under any Loan Document shall be made in immediately available funds in Dollars, without setoff or counterclaim, before 2:00 p.m. Eastern time on the date when due. Payments of principal and/or interest received after 2:00 p.m. Eastern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Bank shall apply payments received with respect to the Obligations, first, to pay any fees, indemnities, or expense reimbursements then due to Bank, second, to pay interest then due and payable on any Credit Extension, third, to prepay principal on the Credit Extensions and to pay any amounts owing in respect of Bank Services, and fourth, to the payment of any other Obligation due to Bank from Borrower.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Bank may, at its option, debit any of Borrower’s deposit accounts, including the Designated Deposit Account, for principal and interest payments or any other amounts Borrower owes Bank when due.</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3</w:t>
      </w:r>
    </w:p>
    <w:p>
      <w:pPr>
        <w:pStyle w:val="TextBody"/>
        <w:bidi w:val="0"/>
        <w:spacing w:before="0" w:after="240"/>
        <w:jc w:val="both"/>
        <w:rPr/>
      </w:pPr>
      <w:r>
        <w:rPr>
          <w:rFonts w:ascii="Times New Roman" w:hAnsi="Times New Roman"/>
          <w:b/>
          <w:color w:val="000000"/>
          <w:sz w:val="22"/>
        </w:rPr>
        <w:t>Conditions of Credit Extensions</w:t>
      </w:r>
      <w:r>
        <w:rPr>
          <w:rFonts w:ascii="Times New Roman" w:hAnsi="Times New Roman"/>
          <w:color w:val="000000"/>
          <w:sz w:val="22"/>
        </w:rPr>
        <w: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3.1</w:t>
      </w:r>
    </w:p>
    <w:p>
      <w:pPr>
        <w:pStyle w:val="TextBody"/>
        <w:bidi w:val="0"/>
        <w:spacing w:before="0" w:after="240"/>
        <w:jc w:val="both"/>
        <w:rPr/>
      </w:pPr>
      <w:r>
        <w:rPr>
          <w:rFonts w:ascii="Times New Roman" w:hAnsi="Times New Roman"/>
          <w:color w:val="000000"/>
          <w:sz w:val="22"/>
          <w:u w:val="single"/>
        </w:rPr>
        <w:t>Conditions Precedent to Initial Credit Extension</w:t>
      </w:r>
      <w:r>
        <w:rPr>
          <w:rFonts w:ascii="Times New Roman" w:hAnsi="Times New Roman"/>
          <w:color w:val="000000"/>
          <w:sz w:val="22"/>
        </w:rPr>
        <w:t>. Bank’s obligation to make the initial Credit Extension under this Agreement is subject to the condition precedent that Bank shall have received, in form and substance satisfactory to Bank, the following:</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duly executed signatures to the Loan Documents to be entered into on the Effective Date, including this Agreement, the Guarantee Agreement, the Irish Security Documents and the Perfection Certificate;</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deliverables to be provided on the Effective Date pursuant to the terms of the Irish Security Documents including, but not limited to, any notices of assignment and/or share charge deliverables to be delivered under the Irish Security Documents;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 respect of each Loan Party other than an Irish Loan Party, copies of the Operating Documents (including formation documents certified by the Secretary of State (or equivalent agency) of each Loan Party’s jurisdiction of organization on a date that is no earlier than thirty (30) days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22</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prior to the Effective Date) and long-form good standing certificates of each Loan Party certified by the Secretary of State (or equivalent agency) of such Loan Party’s jurisdiction of organization or formation and, with respect to Borrower and Parent Guarantor, the Secretary of State of California , each as of a date no earlier than thirty (30) days prior to the Effective Date;</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[reserved];</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completed Borrowing Resolutions for each Loan Party other than an Irish Loan Party;</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respect of each Irish Loan Party, a certificate signed by a director of such Irish Loan Party:</w:t>
      </w:r>
    </w:p>
    <w:p>
      <w:pPr>
        <w:pStyle w:val="TextBody"/>
        <w:bidi w:val="0"/>
        <w:spacing w:before="0" w:after="240"/>
        <w:ind w:left="0" w:right="0" w:firstLine="288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attaching a copy of its Operating Documents and certifying that such documents remain in full force and effect;</w:t>
      </w:r>
    </w:p>
    <w:p>
      <w:pPr>
        <w:pStyle w:val="TextBody"/>
        <w:bidi w:val="0"/>
        <w:spacing w:before="0" w:after="240"/>
        <w:ind w:left="0" w:right="0" w:firstLine="288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attaching and certifying a copy of such Irish Loan Party's Borrowing Resolutions;</w:t>
      </w:r>
    </w:p>
    <w:p>
      <w:pPr>
        <w:pStyle w:val="TextBody"/>
        <w:bidi w:val="0"/>
        <w:spacing w:before="0" w:after="240"/>
        <w:ind w:left="0" w:right="0" w:firstLine="288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attaching a specimen signature of each person who has executed the Loan Documents to which such Irish Loan Party is a party (with such person authorized by the Irish Loan Party’s Borrowing Resolutions);</w:t>
      </w:r>
    </w:p>
    <w:p>
      <w:pPr>
        <w:pStyle w:val="TextBody"/>
        <w:bidi w:val="0"/>
        <w:spacing w:before="0" w:after="240"/>
        <w:ind w:left="0" w:right="0" w:firstLine="288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confirming, among other things, borrowing, guaranteeing or securing (as appropriate) the Loan does not constitute unlawful financial assistance for the purposes of Section 82 of the Irish Companies Act;</w:t>
      </w:r>
    </w:p>
    <w:p>
      <w:pPr>
        <w:pStyle w:val="TextBody"/>
        <w:bidi w:val="0"/>
        <w:spacing w:before="0" w:after="240"/>
        <w:ind w:left="0" w:right="0" w:firstLine="288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confirming the Loan Documents do not constitute loans or quasi-loans or credit transactions which are prohibited by Section 239 of the Irish Companies Act;</w:t>
      </w:r>
    </w:p>
    <w:p>
      <w:pPr>
        <w:pStyle w:val="TextBody"/>
        <w:bidi w:val="0"/>
        <w:spacing w:before="0" w:after="240"/>
        <w:ind w:left="0" w:right="0" w:firstLine="288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confirming that the borrowing or guaranteeing or securing, as appropriate, of Credit Extensions does not and will not cause any borrowing, guarantee, security or similar limit binding on the Company to be exceeded; and </w:t>
      </w:r>
    </w:p>
    <w:p>
      <w:pPr>
        <w:pStyle w:val="TextBody"/>
        <w:bidi w:val="0"/>
        <w:spacing w:before="0" w:after="240"/>
        <w:ind w:left="0" w:right="0" w:firstLine="2880"/>
        <w:jc w:val="both"/>
        <w:rPr>
          <w:rFonts w:ascii="Times New Roman" w:hAnsi="Times New Roman"/>
          <w:color w:val="000000"/>
          <w:sz w:val="22"/>
        </w:rPr>
      </w:pPr>
      <w:r>
        <w:rPr>
          <w:rFonts w:ascii="Times New Roman" w:hAnsi="Times New Roman"/>
          <w:color w:val="000000"/>
          <w:sz w:val="22"/>
        </w:rPr>
        <w:t>(vii)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confirming each copy document relating to such Irish Loan Party specified in this Section 3.1 and delivered to the Bank is correct and complete and in full force and effect and has not been amended or superseded;</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duly executed payoff letter from Oxford with respect to the Oxford Obligations;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certified copies, dated as of a recent date, of financing statement searches and intellectual property searches, as Bank may request, accompanied by written evidence (including any UCC termination statements) that the Liens indicated in any such financing statements and intellectual property searches either constitute Permitted Liens or have been or, in connection with the initial Credit Extension, will be terminated or released;</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copies of proper financing statements, to be filed on the Effective Date under the Code of all jurisdictions that Bank may deem necessary or desirable in order to perfect the Liens created hereunder, covering the Collateral;</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23</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executed legal opinion of Arthur Cox LLP, Irish counsel of Borrower, with respect to Irish law addressing the capacity and authority of the Irish Loan Parties, dated as of the Effective Date and in form and substance acceptable to the Bank;</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executed legal opinion of DLA Piper Ireland LLP, Irish counsel of Bank with respect to Irish law, dated as of the Effective Date and in form and substance acceptable to the Bank;</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evidence satisfactory to Bank that the insurance policies and endorsements required by Section 6.7 hereof are in full force and effect, together with appropriate evidence showing lender loss payable and/or additional insured clauses or endorsements in favor of Bank;</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 agreed form registration template for each Loan Document that requires registration at the Irish Companies' Registration Office and a letter of authorization enabling counsel for the Bank to make such registration;</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results of searches and enquiries against each Irish Loan Party (in form and substance satisfactory to the Bank) carried out on the Effective Date at: (i) the Companies' Registration Office; (ii) the Central Office of the High Court of Ireland (in respect of winding-up petitions and proceedings); and (iii) the Judgments Office of the High Court of Ireland;</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copies of the (i) documentation and other information requested by Bank in connection with applicable “know your customer” and anti-money-laundering rules and regulations, including, without limitation, the Patriot Act, in each case at least five (5) days prior to the Effective Date and (ii) at least three (3) Business Days prior to the Effective Date, if Borrower qualifies as a “legal entity customer” under the Beneficial Ownership Regulation, a Beneficial Ownership Certification;</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Bank shall have completed a due diligence investigation of Borrower and its Subsidiaries in scope, and with results, satisfactory to Bank, and shall have been given such access to the management, records, books of account, contracts and properties of Borrower and its Subsidiaries and shall have received such financial, business and other information regarding each of the foregoing Persons and businesses as Bank shall have requested; and</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(q)</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upon Bank confirming in writing to Borrower that all other conditions precedent set forth in Sections 3.1 and 3.2 have been satisfied, payment of the fees and Bank Expenses then due as specified in Section 2.4 hereof, including any fees pursuant to Section 2.4.</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3.2</w:t>
      </w:r>
    </w:p>
    <w:p>
      <w:pPr>
        <w:pStyle w:val="TextBody"/>
        <w:bidi w:val="0"/>
        <w:spacing w:before="0" w:after="240"/>
        <w:jc w:val="both"/>
        <w:rPr/>
      </w:pPr>
      <w:r>
        <w:rPr>
          <w:rFonts w:ascii="Times New Roman" w:hAnsi="Times New Roman"/>
          <w:color w:val="000000"/>
          <w:sz w:val="22"/>
          <w:u w:val="single"/>
        </w:rPr>
        <w:t>Conditions Precedent to all Credit Extensions</w:t>
      </w:r>
      <w:r>
        <w:rPr>
          <w:rFonts w:ascii="Times New Roman" w:hAnsi="Times New Roman"/>
          <w:color w:val="000000"/>
          <w:sz w:val="22"/>
        </w:rPr>
        <w:t>. Bank’s obligations to make each Credit Extension under this Agreement, including the initial Credit Extension under this Agreement, are subject to the following conditions precedent: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timely receipt of an executed Transaction Request Form;</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representations and warranties in this Agreement shall be true and correct in all material respects on the date of the Transaction Request Form and on the Funding Date of each Credit Extension; provided,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(or all respects, as applicable) as of such date, and no Default or Event of Default shall have occurred and be continuing or result from the Credit Extension. Borrower’s request for and acceptance of each Credit Extension is Borrower’s representation and warranty on that date that the representations and warranties in this Agreement remain true and correct in all material respects;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24</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provided,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(or all respects, as applicable) as of such date; and</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Bank determines that there has not been any material impairment in (i) the general affairs, management, results of operation, or financial condition of any Loan Party, or (ii) the prospect of repayment of the Obligations. </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3.3</w:t>
      </w:r>
    </w:p>
    <w:p>
      <w:pPr>
        <w:pStyle w:val="TextBody"/>
        <w:bidi w:val="0"/>
        <w:spacing w:before="0" w:after="240"/>
        <w:jc w:val="both"/>
        <w:rPr/>
      </w:pPr>
      <w:r>
        <w:rPr>
          <w:rFonts w:ascii="Times New Roman" w:hAnsi="Times New Roman"/>
          <w:color w:val="000000"/>
          <w:sz w:val="22"/>
          <w:u w:val="single"/>
        </w:rPr>
        <w:t>Covenant to Deliver</w:t>
      </w:r>
      <w:r>
        <w:rPr>
          <w:rFonts w:ascii="Times New Roman" w:hAnsi="Times New Roman"/>
          <w:color w:val="000000"/>
          <w:sz w:val="22"/>
        </w:rPr>
        <w:t>. Borrower agrees to deliver to Bank each item required to be delivered to Bank under Sections 3.1 and 3.2 of this Agreement as a condition precedent to any Credit Extension, as applicable. Borrower expressly agrees that a Credit Extension made prior to the receipt by Bank of any such item shall not constitute a waiver by Bank of Borrower’s obligation to deliver such item, and the making of any Credit Extension in the absence of a required item shall be in Bank’s sole discretion.</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3.4</w:t>
      </w:r>
    </w:p>
    <w:p>
      <w:pPr>
        <w:pStyle w:val="TextBody"/>
        <w:bidi w:val="0"/>
        <w:spacing w:before="0" w:after="240"/>
        <w:jc w:val="both"/>
        <w:rPr/>
      </w:pPr>
      <w:r>
        <w:rPr>
          <w:rFonts w:ascii="Times New Roman" w:hAnsi="Times New Roman"/>
          <w:color w:val="000000"/>
          <w:sz w:val="22"/>
          <w:u w:val="single"/>
        </w:rPr>
        <w:t>Procedures for Borrowing</w:t>
      </w:r>
      <w:r>
        <w:rPr>
          <w:rFonts w:ascii="Times New Roman" w:hAnsi="Times New Roman"/>
          <w:color w:val="000000"/>
          <w:sz w:val="22"/>
        </w:rPr>
        <w:t>. Subject to the prior satisfaction of all other applicable conditions to the making of a Credit Extension set forth in this Agreement, to obtain a Credit Extension, Borrower shall notify Bank (which notice shall be irrevocable) by electronic mail by 3:00 p.m. Eastern time one (1) Business Day prior to the Funding Date of such Credit Extension. In connection with such notification, Borrower must promptly deliver to Bank by electronic mail a completed Transaction Request Form, executed by an Authorized Signer, together with such other reports and information as Bank may request in its sole discretion. Bank shall credit proceeds of a Credit Extension to the Designated Deposit Account. Bank may make Credit Extensions under this Agreement based on instructions from an Authorized Signer (it being understood that any deemed Credit Extensions pursuant to the terms hereof for purposes of satisfying Obligations that have become due shall not require any such instructions).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4</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Creation of Security Interest.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4.1</w:t>
      </w:r>
    </w:p>
    <w:p>
      <w:pPr>
        <w:pStyle w:val="TextBody"/>
        <w:bidi w:val="0"/>
        <w:spacing w:before="0" w:after="240"/>
        <w:jc w:val="both"/>
        <w:rPr/>
      </w:pPr>
      <w:r>
        <w:rPr>
          <w:rFonts w:ascii="Times New Roman" w:hAnsi="Times New Roman"/>
          <w:color w:val="000000"/>
          <w:sz w:val="22"/>
          <w:u w:val="single"/>
        </w:rPr>
        <w:t>Grant of Security Interest</w:t>
      </w:r>
      <w:r>
        <w:rPr>
          <w:rFonts w:ascii="Times New Roman" w:hAnsi="Times New Roman"/>
          <w:color w:val="000000"/>
          <w:sz w:val="22"/>
        </w:rPr>
        <w: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Loan Party hereby grants Bank, to secure the payment and performance in full of all of the Obligations, a continuing security interest in, and pledges to Bank, the Collateral, wherever located, whether now owned or hereafter acquired or arising, and all proceeds and products thereof.</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Loan Party acknowledges that it previously has entered, and/or may in the future enter, into Bank Services Agreements with Bank or any Affiliate of Bank. Regardless of the terms of any Bank Services Agreement, such Loan Party agrees that any amounts such Loan Party owes Bank or any Affiliate of Bank thereunder shall be deemed to be Obligations hereunder and that it is the intent of such Loan Party, Bank and Bank’s Affiliates to have all such Obligations secured by the first priority perfected security interest in the Collateral granted herein (subject only to Permitted Liens).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this Agreement is terminated, Bank’s Lien in the Collateral shall continue until the Obligations (other than inchoate indemnity obligations, any other obligations which, by their terms, are to survive the termination of this Agreement, and any Obligations under Bank Services Agreements that are cash collateralized in accordance with Section 4.1 of this Agreement) are repaid in full in cash. Upon payment in full in cash of the Obligations (other than inchoate indemnity obligations, any other obligations which, by their terms, are to survive the termination of this Agreement, and any Obligations under Bank Services Agreements that are cash collateralized in accordance with Section 4.1 of this Agreement) and at such time as Bank’s obligation to make Credit Extensions has terminated, Bank shall, at the sole cost and expense of Borrower, release its Liens in the Collateral and all rights therein shall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25</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revert to the applicable Loan Party. In the event (i) all Obligations (other than inchoate indemnity obligations, any other obligations which, by their terms, are to survive the termination of this Agreement, and any Obligations under Bank Services Agreements that are cash collateralized in accordance with Section 4.1 of this Agreement), except for Bank Services, are satisfied in full, and (ii) this Agreement is terminated, Bank shall terminate the security interest granted herein upon Borrower providing cash collateral acceptable to Bank or any Affiliate of Bank in its good faith business judgment for Bank Services, if any.</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4.2</w:t>
      </w:r>
    </w:p>
    <w:p>
      <w:pPr>
        <w:pStyle w:val="TextBody"/>
        <w:bidi w:val="0"/>
        <w:spacing w:before="0" w:after="240"/>
        <w:jc w:val="both"/>
        <w:rPr/>
      </w:pPr>
      <w:r>
        <w:rPr>
          <w:rFonts w:ascii="Times New Roman" w:hAnsi="Times New Roman"/>
          <w:color w:val="000000"/>
          <w:sz w:val="22"/>
          <w:u w:val="single"/>
        </w:rPr>
        <w:t>Priority of Security Interest</w:t>
      </w:r>
      <w:r>
        <w:rPr>
          <w:rFonts w:ascii="Times New Roman" w:hAnsi="Times New Roman"/>
          <w:color w:val="000000"/>
          <w:sz w:val="22"/>
        </w:rPr>
        <w:t>. Each Loan Party represents, warrants, and covenants that the security interest granted herein is and shall at all times continue to be a first priority perfected security interest in the Collateral (subject only to Permitted Liens). If any Loan Party shall acquire a commercial tort claim in excess of Two Hundred Fifty Thousand Dollars ($250,000.00), individually or in the aggregate, Borrower shall notify Bank of the general details thereof in the Compliance Certificate required to be delivered under this Agreement following such event and shall grant to Bank in a writing signed by the applicable Loan Party and delivered with such Compliance Certificate a security interest therein and in the proceeds thereof, all upon the terms of this Agreement, with such writing to be in form and substance reasonably satisfactory to Bank.</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4.3</w:t>
      </w:r>
    </w:p>
    <w:p>
      <w:pPr>
        <w:pStyle w:val="TextBody"/>
        <w:bidi w:val="0"/>
        <w:spacing w:before="0" w:after="240"/>
        <w:jc w:val="both"/>
        <w:rPr/>
      </w:pPr>
      <w:r>
        <w:rPr>
          <w:rFonts w:ascii="Times New Roman" w:hAnsi="Times New Roman"/>
          <w:color w:val="000000"/>
          <w:sz w:val="22"/>
          <w:u w:val="single"/>
        </w:rPr>
        <w:t>Authorization to File Financing Statements</w:t>
      </w:r>
      <w:r>
        <w:rPr>
          <w:rFonts w:ascii="Times New Roman" w:hAnsi="Times New Roman"/>
          <w:color w:val="000000"/>
          <w:sz w:val="22"/>
        </w:rPr>
        <w:t>. Each Loan Party hereby authorizes Bank to file financing statements, without notice to such Loan Party, with all appropriate jurisdictions to perfect or protect Bank’s interest or rights hereunder, including a notice that any disposition of the Collateral in violation of this Agreement, by any Loan Party or any other Person, shall be deemed to violate the rights of Bank under the Code. Such financing statements may indicate the Collateral as “all assets of the Debtor” or words of similar effect, or as being of an equal or lesser scope, or with greater detail, all in Bank’s discretion.</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4.4</w:t>
      </w:r>
    </w:p>
    <w:p>
      <w:pPr>
        <w:pStyle w:val="TextBody"/>
        <w:bidi w:val="0"/>
        <w:spacing w:before="0" w:after="240"/>
        <w:jc w:val="both"/>
        <w:rPr/>
      </w:pPr>
      <w:r>
        <w:rPr>
          <w:rFonts w:ascii="Times New Roman" w:hAnsi="Times New Roman"/>
          <w:color w:val="000000"/>
          <w:sz w:val="22"/>
          <w:u w:val="single"/>
        </w:rPr>
        <w:t>Intellectual Property</w:t>
      </w:r>
      <w:r>
        <w:rPr>
          <w:rFonts w:ascii="Times New Roman" w:hAnsi="Times New Roman"/>
          <w:color w:val="000000"/>
          <w:sz w:val="22"/>
        </w:rPr>
        <w:t>. Whenever any Loan Party, either by itself or through any agent, employee, licensee or designee, shall file an application for the registration of any Intellectual Property with the United States Patent and Trademark Office, the United States Copyright Office or any similar office or agency in any other country or any political subdivision thereof, such Loan Party shall report such filings to Bank on a quarterly basis, concurrently with the next delivery of a Compliance Certificate due at the end of each fiscal quarter.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5</w:t>
      </w:r>
    </w:p>
    <w:p>
      <w:pPr>
        <w:pStyle w:val="TextBody"/>
        <w:bidi w:val="0"/>
        <w:spacing w:before="0" w:after="240"/>
        <w:jc w:val="both"/>
        <w:rPr/>
      </w:pPr>
      <w:r>
        <w:rPr>
          <w:rFonts w:ascii="Times New Roman" w:hAnsi="Times New Roman"/>
          <w:b/>
          <w:color w:val="000000"/>
          <w:sz w:val="22"/>
        </w:rPr>
        <w:t>Representations and Warranties</w:t>
      </w:r>
      <w:r>
        <w:rPr>
          <w:rFonts w:ascii="Times New Roman" w:hAnsi="Times New Roman"/>
          <w:color w:val="000000"/>
          <w:sz w:val="22"/>
        </w:rPr>
        <w:t>.</w:t>
      </w:r>
    </w:p>
    <w:p>
      <w:pPr>
        <w:pStyle w:val="TextBody"/>
        <w:bidi w:val="0"/>
        <w:spacing w:before="0" w:after="160"/>
        <w:ind w:left="0" w:right="0" w:firstLine="720"/>
        <w:jc w:val="both"/>
        <w:rPr>
          <w:rFonts w:ascii="Times New Roman" w:hAnsi="Times New Roman"/>
          <w:color w:val="000000"/>
          <w:sz w:val="22"/>
        </w:rPr>
      </w:pPr>
      <w:r>
        <w:rPr>
          <w:rFonts w:ascii="Times New Roman" w:hAnsi="Times New Roman"/>
          <w:color w:val="000000"/>
          <w:sz w:val="22"/>
        </w:rPr>
        <w:t>Each of the Borrower (on behalf of itself and each other Loan Party), the Parent Guarantor and the Irish Guarantor represents and warrants as follows:</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5.1</w:t>
      </w:r>
    </w:p>
    <w:p>
      <w:pPr>
        <w:pStyle w:val="TextBody"/>
        <w:bidi w:val="0"/>
        <w:spacing w:before="0" w:after="240"/>
        <w:jc w:val="both"/>
        <w:rPr/>
      </w:pPr>
      <w:r>
        <w:rPr>
          <w:rFonts w:ascii="Times New Roman" w:hAnsi="Times New Roman"/>
          <w:color w:val="000000"/>
          <w:sz w:val="22"/>
          <w:u w:val="single"/>
        </w:rPr>
        <w:t>Due Organization, Authorization; Power and Authority; Enforceability</w:t>
      </w:r>
      <w:r>
        <w:rPr>
          <w:rFonts w:ascii="Times New Roman" w:hAnsi="Times New Roman"/>
          <w:color w:val="000000"/>
          <w:sz w:val="22"/>
        </w:rPr>
        <w: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Such Loan Party and each of its Subsidiaries is duly organized or formed, validly existing and in good standing under the laws of the jurisdiction of its organization and is qualified and licensed to do business and is in good standing in each jurisdiction in which the conduct of its business or its ownership of property requires that it be qualified except where the failure to do so could not reasonably be expected to have a material adverse effect on Borrower’s business. In connection with this Agreement, the Loan Parties have delivered to Bank a completed certificate signed by the Loan Parties, entitled “Perfection Certificate” (as updated by a notification to Bank in accordance with Section 7.2, the “Perfection Certificate”). Each Loan Party represents and warrants to Bank that (i) such Loan Party’s exact legal name is that indicated on the Perfection Certificate and on the signature page hereof; (ii) such Loan Party is an organization of the type and is organized in the jurisdiction set forth in the Perfection Certificate; (iii) the Perfection Certificate accurately sets forth the Loan Parties’ organizational identification number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26</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accurately states that such Loan Party has none; (iv) the Perfection Certificate accurately sets forth the Loan Parties’ place of business, or, if more than one, its chief executive office as well as each such Loan Party’s mailing address (if different than its chief executive office); (v) except as set forth on the Perfection Certificate, no Loan Party (and each of its predecessors) has, in the past five (5) years, changed its jurisdiction of formation, organizational structure or type, or any organizational number assigned by its jurisdiction; and (vi) all other information set forth on the Perfection Certificate pertaining to the Loan Parties and their Subsidiaries is accurate and complete in all material respects (it being understood and agreed that the Loan Parties may from time to time update certain information in the Perfection Certificate after the Effective Date to the extent permitted by one (1) or more specific provisions in this Agreement and the Perfection Certificate shall be deemed to be updated to the extent such notice is provided to Bank of such permitted update). If any Loan Party is not now a Registered Organization but later becomes one, such Loan Party shall promptly notify Bank of such occurrence and provide Bank with such Loan Party’s organizational identification number.</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execution, delivery and performance by each Loan Party of the Loan Documents to which it is a party have been duly authorized by such Loan Party, and do not (i) conflict with any of such Loan Party’s organizational documents, (ii) contravene, conflict with, constitute a default under or violate any material Requirement of Law, (iii) contravene, conflict or violate any applicable order, writ, judgment, injunction, decree, determination or award of any Governmental Authority by which such Loan Party or any of its Subsidiaries or any of their property or assets may be bound, (iv) require any action by, filing, registration, or qualification with, or Governmental Approval from, any Governmental Authority (except such Governmental Approvals which have already been obtained and are in full force and effect and filings necessary to perfect Liens granted under the Loan Documents), or (v) conflict with, contravene, constitute a default or breach under, or result in or permit the termination or acceleration of, any material agreement by which Borrower is bound. No Loan Party is in default under any agreement to which it is a party or by which it is bound in which the default could reasonably be expected to have a material adverse effect on such Loan Party’s business.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Agreement has been, and each other Loan Document, when delivered hereunder, will have been, duly executed and delivered by each Loan Party that is a party thereto. This Agreement constitutes, and each other Loan Document when so delivered will constitute, a legal, valid and binding obligation of such Loan Party that is a party thereto, enforceable against it in accordance with its terms.</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5.2</w:t>
      </w:r>
    </w:p>
    <w:p>
      <w:pPr>
        <w:pStyle w:val="TextBody"/>
        <w:bidi w:val="0"/>
        <w:spacing w:before="0" w:after="240"/>
        <w:jc w:val="both"/>
        <w:rPr/>
      </w:pPr>
      <w:r>
        <w:rPr>
          <w:rFonts w:ascii="Times New Roman" w:hAnsi="Times New Roman"/>
          <w:color w:val="000000"/>
          <w:sz w:val="22"/>
          <w:u w:val="single"/>
        </w:rPr>
        <w:t>Property</w:t>
      </w:r>
      <w:r>
        <w:rPr>
          <w:rFonts w:ascii="Times New Roman" w:hAnsi="Times New Roman"/>
          <w:color w:val="000000"/>
          <w:sz w:val="22"/>
        </w:rPr>
        <w: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Loan Party has good title to, rights in, and the power to transfer each item of the Collateral upon which it purports to grant a Lien hereunder, free and clear of any and all Liens except Permitted Liens. No Loan Party has Collateral Accounts at or with any bank or financial institution other than Bank or Bank’s Affiliates except for (i) the Collateral Accounts described in the Perfection Certificate and which such Loan Party has taken or will take such actions as are necessary to give Bank a perfected security interest therein, pursuant to and to the extent required by Section 6.8(b) and (ii) other Collateral Accounts created after the Effective Date to the extent permitted under this Agreement and disclosed to Bank that are subject to Control Agreements except to the extent not required pursuant to Section 6.8(b).</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Accounts are bona fide, existing obligations of the Account Debtors.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 third party bailee (such as a warehouse) is in possession of any Collateral except as otherwise provided in the Perfection Certificate or as permitted pursuant to Section 7.2.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27</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Collateral shall be maintained at locations other than as provided in the Perfection Certificate or as permitted pursuant to Section 7.2.</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Inventory is in all material respects of good and marketable quality, free from material defects.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Loan Party and each of its Subsidiaries is the sole owner of the Intellectual Property which it owns or purports to own except for licenses permitted hereunder. No part of the Intellectual Property material to the business of any Loan Party has been judged invalid or unenforceable, in whole or in part. Other than as disclosed to Bank, no claim has been made in writing that any part of the Intellectual Property owned by such Loan Party violates the rights of any third party except to the extent such claim could not reasonably be expected to have a material adverse effect on such Loan Party’s business.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security interest granted herein is and shall at all times continue to be a first priority perfected security interest in the Collateral (subject to Permitted Liens).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noted on the Perfection Certificate or as otherwise disclosed to Bank in accordance with Section 6.9(b), neither Borrower nor any of its Subsidiaries is a party to, nor is it bound by, any Restricted License.</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5.3</w:t>
      </w:r>
    </w:p>
    <w:p>
      <w:pPr>
        <w:pStyle w:val="TextBody"/>
        <w:bidi w:val="0"/>
        <w:spacing w:before="0" w:after="240"/>
        <w:jc w:val="both"/>
        <w:rPr/>
      </w:pPr>
      <w:r>
        <w:rPr>
          <w:rFonts w:ascii="Times New Roman" w:hAnsi="Times New Roman"/>
          <w:color w:val="000000"/>
          <w:sz w:val="22"/>
          <w:u w:val="single"/>
        </w:rPr>
        <w:t>Litigation</w:t>
      </w:r>
      <w:r>
        <w:rPr>
          <w:rFonts w:ascii="Times New Roman" w:hAnsi="Times New Roman"/>
          <w:color w:val="000000"/>
          <w:sz w:val="22"/>
        </w:rPr>
        <w:t>. There are no actions or proceedings pending or, to the knowledge of any Responsible Officer, threatened in writing by or against any Loan Party or any of their respective Subsidiaries that could reasonably be expected to result in liability involving more than, individually or in the aggregate, Five Hundred Thousand Dollars ($500,000.00).</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5.4</w:t>
      </w:r>
    </w:p>
    <w:p>
      <w:pPr>
        <w:pStyle w:val="TextBody"/>
        <w:bidi w:val="0"/>
        <w:spacing w:before="0" w:after="240"/>
        <w:jc w:val="both"/>
        <w:rPr/>
      </w:pPr>
      <w:r>
        <w:rPr>
          <w:rFonts w:ascii="Times New Roman" w:hAnsi="Times New Roman"/>
          <w:color w:val="000000"/>
          <w:sz w:val="22"/>
          <w:u w:val="single"/>
        </w:rPr>
        <w:t>Financial Statements; Material Adverse Change; No Default</w:t>
      </w:r>
      <w:r>
        <w:rPr>
          <w:rFonts w:ascii="Times New Roman" w:hAnsi="Times New Roman"/>
          <w:color w:val="000000"/>
          <w:sz w:val="22"/>
        </w:rPr>
        <w: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consolidated financial statements of Parent Guarantor and its Subsidiaries that Bank has received from Borrower fairly present in all material respects Parent Guarantor’s consolidated financial condition as of the date thereof and Parent Guarantor’s consolidated results of operations for the period then ended.</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Audited Financial Statements (i) were prepared in accordance with GAAP consistently applied throughout the period covered thereby, except as otherwise expressly noted therein; (ii) fairly present in all material respects the financial condition of Parent Guarantor and its Subsidiaries as of the date thereof and their results of operations, cash flows and changes in shareholders’ equity for the period covered thereby in accordance with GAAP consistently applied throughout the period covered thereby, except as otherwise expressly noted therein; and (iii) show all material indebtedness and other liabilities, direct or contingent, of Parent Guarantor and its Subsidiaries as of the date thereof, including liabilities for taxes, material commitments and Indebtedness, in each case, to the extent required to be disclosed therein in accordance with GAAP.</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Default or Event of Default has occurred and is continuing or would result from the consummation of the transactions contemplated by this Agreement or any other Loan Document.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Since the Effective Date, (i) there has not been any Material Adverse Change, and (ii) nothing has occurred that could reasonably be expected to result in a Material Adverse Change.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28</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5.5</w:t>
      </w:r>
    </w:p>
    <w:p>
      <w:pPr>
        <w:pStyle w:val="TextBody"/>
        <w:bidi w:val="0"/>
        <w:spacing w:before="0" w:after="240"/>
        <w:jc w:val="both"/>
        <w:rPr/>
      </w:pPr>
      <w:r>
        <w:rPr>
          <w:rFonts w:ascii="Times New Roman" w:hAnsi="Times New Roman"/>
          <w:color w:val="000000"/>
          <w:sz w:val="22"/>
          <w:u w:val="single"/>
        </w:rPr>
        <w:t>Solvency</w:t>
      </w:r>
      <w:r>
        <w:rPr>
          <w:rFonts w:ascii="Times New Roman" w:hAnsi="Times New Roman"/>
          <w:color w:val="000000"/>
          <w:sz w:val="22"/>
        </w:rPr>
        <w:t>. The present fair salable value of each of Borrower’s (individually) and the Loan Parties’ (taken as a whole) consolidated assets (including goodwill minus disposition costs) exceeds the sum of Borrower’s (individually) or the Loan Parties’ (taken as a whole), as applicable, consolidated liabilities; the capital of each of Borrower (individually) and the Loan Parties (taken as a whole), is not unreasonably small in relation to its or their business, as applicable, as currently contemplated after giving effect to the transactions contemplated by this Agreement; and each of Borrower (individually) and the Loan Parties (taken as a whole) are able to pay its or their debts (including trade debts), as applicable, as they mature and has not incurred or intends to incur debts including current obligations beyond its or their ability, as applicable, to pay such debts as they become due in the ordinary course of business.</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5.6</w:t>
      </w:r>
    </w:p>
    <w:p>
      <w:pPr>
        <w:pStyle w:val="TextBody"/>
        <w:bidi w:val="0"/>
        <w:spacing w:before="0" w:after="240"/>
        <w:jc w:val="both"/>
        <w:rPr/>
      </w:pPr>
      <w:r>
        <w:rPr>
          <w:rFonts w:ascii="Times New Roman" w:hAnsi="Times New Roman"/>
          <w:color w:val="000000"/>
          <w:sz w:val="22"/>
          <w:u w:val="single"/>
        </w:rPr>
        <w:t>Regulatory Compliance</w:t>
      </w:r>
      <w:r>
        <w:rPr>
          <w:rFonts w:ascii="Times New Roman" w:hAnsi="Times New Roman"/>
          <w:color w:val="000000"/>
          <w:sz w:val="22"/>
        </w:rPr>
        <w: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Loan Party and each of its respective Subsidiaries (and with respect to any plan subject to Title IV of ERISA, each of the Loan Parties’ and their respective Subsidiaries’ ERISA Affiliates) has met the minimum funding requirements of ERISA applicable to it with respect to any employee benefit plans subject to Title IV of ERISA, and no event has occurred or is reasonably expected to occur with respect to any such plan that would result in any Loan Party or any Subsidiary incurring any material liability under ERISA. No Loan Party nor any of their respective Subsidiaries is an entity deemed to hold “plan assets” (within the meaning of the Plan Asset Regulations), and provided the Credit Extensions are not funded with “plan assets” the making of any Credit Extension hereunder will not give rise to a non-exempt prohibited transaction under Section 406 of ERISA or Section 4975 of the Code.</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Loan Party is an “investment company” or a company “controlled” by an “investment company” under the Investment Company Act of 1940, as amended. Borrower is not engaged as one of its important activities in extending credit for margin stock (under Regulations X, T and U of the Federal Reserve Board of Governors).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of the date hereof, there are no strikes, lockouts or slowdowns against any Loan Party or any of their respective Subsidiaries pending or, to the knowledge of such Loan Party, threatened in writing. Each Loan Party and each of their respective Subsidiaries has complied in all material respects with all the provisions of the Federal Fair Labor Standards Act.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Loan Party and each of their respective Subsidiaries (i) has complied in all material respects with all Requirements of Law, and (ii) has not violated any Requirements of Law the violation of which could reasonably be expected to have a material adverse effect on its business. None of any Loan Party’s or any of their respective Subsidiaries’ properties or assets has been used by such Loan Party or any of its respective Subsidiaries or, to the Loan Parties’ knowledge, by previous Persons, in disposing, producing, storing, treating, or transporting any hazardous substance other than legally. Each Loan Party and each of its Subsidiaries has obtained all consents, approvals and authorizations of, made all declarations or filings with, and given all notices to, all Governmental Authorities that are necessary to continue its business as currently conducted, except where the failure to do so could not reasonably be expected to have a material adverse effect on such Loan Party’s business.</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5.7</w:t>
      </w:r>
    </w:p>
    <w:p>
      <w:pPr>
        <w:pStyle w:val="TextBody"/>
        <w:bidi w:val="0"/>
        <w:spacing w:before="0" w:after="240"/>
        <w:jc w:val="both"/>
        <w:rPr/>
      </w:pPr>
      <w:r>
        <w:rPr>
          <w:rFonts w:ascii="Times New Roman" w:hAnsi="Times New Roman"/>
          <w:color w:val="000000"/>
          <w:sz w:val="22"/>
          <w:u w:val="single"/>
        </w:rPr>
        <w:t>Subsidiaries; Investments</w:t>
      </w:r>
      <w:r>
        <w:rPr>
          <w:rFonts w:ascii="Times New Roman" w:hAnsi="Times New Roman"/>
          <w:color w:val="000000"/>
          <w:sz w:val="22"/>
        </w:rPr>
        <w:t>. No Loan Party nor any of its respective Subsidiaries owns any stock, partnership, or other ownership interest or other equity securities except for Permitted Investments.</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5.8</w:t>
      </w:r>
    </w:p>
    <w:p>
      <w:pPr>
        <w:pStyle w:val="TextBody"/>
        <w:bidi w:val="0"/>
        <w:spacing w:before="0" w:after="240"/>
        <w:jc w:val="both"/>
        <w:rPr/>
      </w:pPr>
      <w:r>
        <w:rPr>
          <w:rFonts w:ascii="Times New Roman" w:hAnsi="Times New Roman"/>
          <w:color w:val="000000"/>
          <w:sz w:val="22"/>
          <w:u w:val="single"/>
        </w:rPr>
        <w:t>Tax Returns and Payments; Pension Contributions</w:t>
      </w:r>
      <w:r>
        <w:rPr>
          <w:rFonts w:ascii="Times New Roman" w:hAnsi="Times New Roman"/>
          <w:color w:val="000000"/>
          <w:sz w:val="22"/>
        </w:rPr>
        <w:t>.</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29</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Loan Party and each of their respective Subsidiaries has timely filed (in each case, subject to validly filed extensions) all required material tax returns and reports, and each Loan Party and each of their respective Subsidiaries has timely paid (in each case, subject to validly filed extensions) all material foreign, federal, state and local taxes, assessments, deposits and contributions owed by such Loan Party or such Subsidiary to any Governmental Authority except (i) to the extent such taxes, assessments, deposits and contributions are being contested in good faith by appropriate proceedings promptly instituted and diligently conducted, so long as such reserve or other appropriate provision, if any, as shall be required in conformity with GAAP shall have been made therefor or (ii) to the extent such taxes, assessments, deposits and contributions do not, individually or in the aggregate, exceed Two Hundred Fifty Thousand Dollars ($250,000.00).</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Loan Parties are unaware of any claims or adjustments proposed for any of such Loan Party’s or any of its respective Subsidiaries’ prior tax years which could result in additional taxes becoming due and payable by such Loan Party or such Subsidiary in excess of Two Hundred Fifty Thousand Dollars ($250,000.00) in the aggregate. Each Loan Party and each of its Subsidiaries (and with respect to any plan subject to Title IV of ERISA, each of the Loan Parties’ and their respective Subsidiaries’ ERISA Affiliates) has paid all amounts necessary to fund all present pension, profit sharing and deferred compensation plans in accordance with their terms, and no Loan Party, nor any Subsidiary nor, with respect to any such plan subject to Title IV of ERISA, any ERISA Affiliate, has withdrawn from participation in, and has not permitted partial or complete termination of, or permitted the occurrence of any other event with respect to, any such plan which could reasonably be expected to result in any liability of such Loan Party, any of its respective Subsidiaries, or any ERISA Affiliates, as applicable, including any liability to the Pension Benefit Guaranty Corporation or its successors or any other governmental agency, except where failure to pay such amounts or such withdrawal, termination or liability could not reasonably be expected to result in a material adverse effect on such Loan Party’s, Subsidiary’s or ERISA Affiliate’s business.</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5.9</w:t>
      </w:r>
    </w:p>
    <w:p>
      <w:pPr>
        <w:pStyle w:val="TextBody"/>
        <w:bidi w:val="0"/>
        <w:spacing w:before="0" w:after="240"/>
        <w:jc w:val="both"/>
        <w:rPr/>
      </w:pPr>
      <w:r>
        <w:rPr>
          <w:rFonts w:ascii="Times New Roman" w:hAnsi="Times New Roman"/>
          <w:color w:val="000000"/>
          <w:sz w:val="22"/>
          <w:u w:val="single"/>
        </w:rPr>
        <w:t>Use of Proceeds</w:t>
      </w:r>
      <w:r>
        <w:rPr>
          <w:rFonts w:ascii="Times New Roman" w:hAnsi="Times New Roman"/>
          <w:color w:val="000000"/>
          <w:sz w:val="22"/>
        </w:rPr>
        <w:t>. Borrower shall use the proceeds of the Credit Extensions solely as working capital, for other general corporate purposes and not for personal, family, household or agricultural purposes.</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5.10</w:t>
      </w:r>
    </w:p>
    <w:p>
      <w:pPr>
        <w:pStyle w:val="TextBody"/>
        <w:bidi w:val="0"/>
        <w:spacing w:before="0" w:after="240"/>
        <w:jc w:val="both"/>
        <w:rPr/>
      </w:pPr>
      <w:r>
        <w:rPr>
          <w:rFonts w:ascii="Times New Roman" w:hAnsi="Times New Roman"/>
          <w:color w:val="000000"/>
          <w:sz w:val="22"/>
          <w:u w:val="single"/>
        </w:rPr>
        <w:t>Full Disclosure</w:t>
      </w:r>
      <w:r>
        <w:rPr>
          <w:rFonts w:ascii="Times New Roman" w:hAnsi="Times New Roman"/>
          <w:color w:val="000000"/>
          <w:sz w:val="22"/>
        </w:rPr>
        <w:t>. No written representation, warranty or other statement of any Loan Party or any of their respective Subsidiaries in any certificate or written statement given to Bank, as of the date such representation, warranty, or other statement was made, taken together with all such written certificates and written statements given to Bank, contains any untrue statement of a material fact or omits to state a material fact necessary to make the statements contained in the certificates or statements not misleading (it being recognized by Bank that the projections and forecasts provided by the Loan Parties in good faith and based upon reasonable assumptions are not viewed as facts and that actual results during the period or periods covered by such projections and forecasts may differ from the projected or forecasted results).</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5.11</w:t>
      </w:r>
    </w:p>
    <w:p>
      <w:pPr>
        <w:pStyle w:val="TextBody"/>
        <w:bidi w:val="0"/>
        <w:spacing w:before="0" w:after="240"/>
        <w:jc w:val="both"/>
        <w:rPr/>
      </w:pPr>
      <w:r>
        <w:rPr>
          <w:rFonts w:ascii="Times New Roman" w:hAnsi="Times New Roman"/>
          <w:color w:val="000000"/>
          <w:sz w:val="22"/>
          <w:u w:val="single"/>
        </w:rPr>
        <w:t>Insurance</w:t>
      </w:r>
      <w:r>
        <w:rPr>
          <w:rFonts w:ascii="Times New Roman" w:hAnsi="Times New Roman"/>
          <w:color w:val="000000"/>
          <w:sz w:val="22"/>
        </w:rPr>
        <w:t>. Borrower believes that the insurance maintained by or on behalf of the Loan Parties and their Subsidiaries is adequate and is customary for companies engaged in the same or similar businesses operating in the same or similar locations. As of the date hereof, all premiums in respect of such insurance have been paid.</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5.12</w:t>
      </w:r>
    </w:p>
    <w:p>
      <w:pPr>
        <w:pStyle w:val="TextBody"/>
        <w:bidi w:val="0"/>
        <w:spacing w:before="0" w:after="240"/>
        <w:jc w:val="both"/>
        <w:rPr/>
      </w:pPr>
      <w:r>
        <w:rPr>
          <w:rFonts w:ascii="Times New Roman" w:hAnsi="Times New Roman"/>
          <w:color w:val="000000"/>
          <w:sz w:val="22"/>
          <w:u w:val="single"/>
        </w:rPr>
        <w:t>Sanctions</w:t>
      </w:r>
      <w:r>
        <w:rPr>
          <w:rFonts w:ascii="Times New Roman" w:hAnsi="Times New Roman"/>
          <w:color w:val="000000"/>
          <w:sz w:val="22"/>
        </w:rPr>
        <w:t xml:space="preserve">. No Loan Party, any of their respective Subsidiaries, any director or officer, or, to the knowledge of any Loan Party, any employee, agent, or Affiliate of any Loan Party or any of their respective Subsidiaries is a Person that is, or is owned or controlled by Persons that are, (i) the target or subject of any sanctions administered or enforced by the US Department of the Treasury’s Office of Foreign Assets Control, the US Department of State, the United Nations Security Council, the European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30</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Union, His Majesty’s Treasury or the Hong Kong Monetary Authority (collectively, “Sanctions”), or (ii) located, organized or resident in a country or territory that is the target or subject of Sanctions, currently including Cuba, Iran, North Korea, Syria, and the Crimea and non-government controlled areas of Ukraine.</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5.13</w:t>
      </w:r>
    </w:p>
    <w:p>
      <w:pPr>
        <w:pStyle w:val="TextBody"/>
        <w:bidi w:val="0"/>
        <w:spacing w:before="0" w:after="240"/>
        <w:jc w:val="both"/>
        <w:rPr/>
      </w:pPr>
      <w:r>
        <w:rPr>
          <w:rFonts w:ascii="Times New Roman" w:hAnsi="Times New Roman"/>
          <w:color w:val="000000"/>
          <w:sz w:val="22"/>
          <w:u w:val="single"/>
        </w:rPr>
        <w:t>Anti-Bribery Laws</w:t>
      </w:r>
      <w:r>
        <w:rPr>
          <w:rFonts w:ascii="Times New Roman" w:hAnsi="Times New Roman"/>
          <w:color w:val="000000"/>
          <w:sz w:val="22"/>
        </w:rPr>
        <w:t>. No Loan Party or any of their respective Subsidiaries nor to the knowledge of such Loan Party, any director, officer, agent, employee, Affiliate or other person acting on behalf of the Loan Parties or any of their respective Subsidiaries is aware of or has taken any action, directly or indirectly, that would result in a violation by such persons of any applicable anti-bribery law, including but not limited to, the United Kingdom Bribery Act 2010 (the “UK Bribery Act”) and the U.S. Foreign Corrupt Practices Act of 1977 (the “FCPA”). Furthermore, each Loan Party and, to the knowledge of such Loan Party, its Affiliates, have conducted their businesses in compliance with the UK Bribery Act, the FCPA and similar laws, rules or regulations and have instituted and maintain policies and procedures designed to ensure, and which are reasonably expected to continue to ensure, continued compliance therewith.</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5.14</w:t>
      </w:r>
    </w:p>
    <w:p>
      <w:pPr>
        <w:pStyle w:val="TextBody"/>
        <w:bidi w:val="0"/>
        <w:spacing w:before="0" w:after="240"/>
        <w:jc w:val="both"/>
        <w:rPr/>
      </w:pPr>
      <w:r>
        <w:rPr>
          <w:rFonts w:ascii="Times New Roman" w:hAnsi="Times New Roman"/>
          <w:color w:val="000000"/>
          <w:sz w:val="22"/>
          <w:u w:val="single"/>
        </w:rPr>
        <w:t>Anti-Money Laundering</w:t>
      </w:r>
      <w:r>
        <w:rPr>
          <w:rFonts w:ascii="Times New Roman" w:hAnsi="Times New Roman"/>
          <w:color w:val="000000"/>
          <w:sz w:val="22"/>
        </w:rPr>
        <w:t>. The Loan Parties, their respective Subsidiaries, and their respective directors, officers, employees and agents, are in compliance with all applicable Anti-Money Laundering Laws and regulations, in all respects.</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5.15</w:t>
      </w:r>
    </w:p>
    <w:p>
      <w:pPr>
        <w:pStyle w:val="TextBody"/>
        <w:bidi w:val="0"/>
        <w:spacing w:before="0" w:after="240"/>
        <w:jc w:val="both"/>
        <w:rPr/>
      </w:pPr>
      <w:r>
        <w:rPr>
          <w:rFonts w:ascii="Times New Roman" w:hAnsi="Times New Roman"/>
          <w:color w:val="000000"/>
          <w:sz w:val="22"/>
          <w:u w:val="single"/>
        </w:rPr>
        <w:t>Affected Financial Institutions</w:t>
      </w:r>
      <w:r>
        <w:rPr>
          <w:rFonts w:ascii="Times New Roman" w:hAnsi="Times New Roman"/>
          <w:color w:val="000000"/>
          <w:sz w:val="22"/>
        </w:rPr>
        <w:t>. No Loan Party is an Affected Financial Institution.</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5.16</w:t>
      </w:r>
    </w:p>
    <w:p>
      <w:pPr>
        <w:pStyle w:val="TextBody"/>
        <w:bidi w:val="0"/>
        <w:spacing w:before="0" w:after="240"/>
        <w:jc w:val="both"/>
        <w:rPr/>
      </w:pPr>
      <w:r>
        <w:rPr>
          <w:rFonts w:ascii="Times New Roman" w:hAnsi="Times New Roman"/>
          <w:color w:val="000000"/>
          <w:sz w:val="22"/>
          <w:u w:val="single"/>
        </w:rPr>
        <w:t>Beneficial Ownership Certificate</w:t>
      </w:r>
      <w:r>
        <w:rPr>
          <w:rFonts w:ascii="Times New Roman" w:hAnsi="Times New Roman"/>
          <w:color w:val="000000"/>
          <w:sz w:val="22"/>
        </w:rPr>
        <w:t>. As of the Effective Date, the information included in the Beneficial Ownership Certification, if applicable, is true and correct in all respects.</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5.17</w:t>
      </w:r>
    </w:p>
    <w:p>
      <w:pPr>
        <w:pStyle w:val="TextBody"/>
        <w:bidi w:val="0"/>
        <w:spacing w:before="0" w:after="240"/>
        <w:jc w:val="both"/>
        <w:rPr/>
      </w:pPr>
      <w:r>
        <w:rPr>
          <w:rFonts w:ascii="Times New Roman" w:hAnsi="Times New Roman"/>
          <w:color w:val="000000"/>
          <w:sz w:val="22"/>
          <w:u w:val="single"/>
        </w:rPr>
        <w:t>Definition of “Knowledge.”</w:t>
      </w:r>
      <w:r>
        <w:rPr>
          <w:color w:val="000000"/>
        </w:rPr>
        <w:t xml:space="preserve"> </w:t>
      </w:r>
      <w:r>
        <w:rPr>
          <w:rFonts w:ascii="Times New Roman" w:hAnsi="Times New Roman"/>
          <w:color w:val="000000"/>
          <w:sz w:val="22"/>
        </w:rPr>
        <w:t>For purposes of the Loan Documents, whenever a representation or warranty is made to a Loan Party’s knowledge or awareness, to the “best of” Borrower’s knowledge, or with a similar qualification, knowledge or awareness means the actual knowledge, after reasonable investigation, of any Responsible Officer.</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5.18</w:t>
      </w:r>
    </w:p>
    <w:p>
      <w:pPr>
        <w:pStyle w:val="TextBody"/>
        <w:bidi w:val="0"/>
        <w:spacing w:before="0" w:after="240"/>
        <w:jc w:val="both"/>
        <w:rPr/>
      </w:pPr>
      <w:r>
        <w:rPr>
          <w:rFonts w:ascii="Times New Roman" w:hAnsi="Times New Roman"/>
          <w:color w:val="000000"/>
          <w:sz w:val="22"/>
          <w:u w:val="single"/>
        </w:rPr>
        <w:t>Healthcare Permits</w:t>
      </w:r>
      <w:r>
        <w:rPr>
          <w:rFonts w:ascii="Times New Roman" w:hAnsi="Times New Roman"/>
          <w:color w:val="000000"/>
          <w:sz w:val="22"/>
        </w:rPr>
        <w:t>. (a) Borrower and each of its Subsidiaries have obtained all applicable required Healthcare Permits and other rights from, and have made all declarations and filings with, all applicable Governmental Authorities, all applicable required self-regulatory authorities and all courts and other tribunals, in each case, as necessary to engage in the management and/or operation of their respective businesses, except where the failure to do so would not be reasonably expected to have a material adverse effect on Borrower or such Subsidiary, as applicable; (b) each such Healthcare Permit is valid and in full force and effect, and Borrower and each of its Subsidiaries are in compliance with the terms and conditions of all such Healthcare Permits except where the failure to be in such compliance or for a Healthcare Permit to be valid and in full force and effect would not reasonably be expected to have a material adverse effect on Borrower’s business or operations; and (c) neither Borrower nor any of its Subsidiaries has received notice from any Governmental Authority with respect to the revocation, suspension, restriction, limitation or termination of any Healthcare Permit nor, to the knowledge of Borrower, or any of its Subsidiaries, is any such action proposed or threatened in writing, except, in each case, as could not be reasonably expected to have a material adverse effect on Borrower or such Subsidiary’s business or operations, as applicable.</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5.19</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Compliance with Healthcare Laws.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Borrower and each of its Subsidiaries, is in compliance, in all material respects, with all applicable Healthcare Laws. Without limiting the generality of the foregoing, Borrower has not received written notice by a Governmental Authority of any violation (or of any investigation, audit, or other proceeding involving allegations of any violation) of any Healthcare Laws, and no investigation,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31</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inspection, audit or other proceeding involving allegations of any violation is, to the knowledge of Borrower, threatened in writing, in each case, except with respect to any violation that would not be reasonably expected to have a material adverse effect on Borrower or such Subsidiary, as applicable.</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To the knowledge of Borrower, Borrower, and each Subsidiary of Borrower, are not in default or violation, in any material respect, of any law which is applicable to Borrower and each Subsidiary, or its respective assets or the conduct of their respective businesses and Borrower and each Subsidiary of Borrower, have not been debarred or excluded from participation under a state or federal health care program, including any state or federal workers compensation program.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and each Subsidiary are not a party to any corporate integrity agreements, deferred prosecution agreements, monitoring agreements, consent decrees, settlement orders or similar agreements with or imposed by any Governmental Authority.</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5.20</w:t>
      </w:r>
    </w:p>
    <w:p>
      <w:pPr>
        <w:pStyle w:val="TextBody"/>
        <w:bidi w:val="0"/>
        <w:spacing w:before="0" w:after="240"/>
        <w:jc w:val="both"/>
        <w:rPr/>
      </w:pPr>
      <w:r>
        <w:rPr>
          <w:rFonts w:ascii="Times New Roman" w:hAnsi="Times New Roman"/>
          <w:color w:val="000000"/>
          <w:sz w:val="22"/>
          <w:u w:val="single"/>
        </w:rPr>
        <w:t>Compliance with Irish Companies Act</w:t>
      </w:r>
      <w:r>
        <w:rPr>
          <w:rFonts w:ascii="Times New Roman" w:hAnsi="Times New Roman"/>
          <w:color w:val="000000"/>
          <w:sz w:val="22"/>
        </w:rPr>
        <w: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Subject to Article 5.20(b) below, and save as otherwise disclosed to the Administrative Agent, no Loan Party is a "relevant external company" as defined in Section 1301 of the Irish Companies Act (a "relevant external company").</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 Loan Party is a relevant external company, it has complied with its filing obligations under Section 1302(1) and (2) or under Section 1302(1) and (2) as applied by Section 1304 of the Irish Companies Act;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provisions of Section 82, Section 238 and Section 239 of the Irish Companies Act do not prohibit the execution by any Irish Loan Party of any Loan Document.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6</w:t>
      </w:r>
    </w:p>
    <w:p>
      <w:pPr>
        <w:pStyle w:val="TextBody"/>
        <w:bidi w:val="0"/>
        <w:spacing w:before="0" w:after="240"/>
        <w:jc w:val="both"/>
        <w:rPr/>
      </w:pPr>
      <w:r>
        <w:rPr>
          <w:rFonts w:ascii="Times New Roman" w:hAnsi="Times New Roman"/>
          <w:b/>
          <w:color w:val="000000"/>
          <w:sz w:val="22"/>
        </w:rPr>
        <w:t>Affirmative Covenants</w:t>
      </w:r>
      <w:r>
        <w:rPr>
          <w:rFonts w:ascii="Times New Roman" w:hAnsi="Times New Roman"/>
          <w:color w:val="000000"/>
          <w:sz w:val="22"/>
        </w:rPr>
        <w:t>.</w:t>
      </w:r>
    </w:p>
    <w:p>
      <w:pPr>
        <w:pStyle w:val="TextBody"/>
        <w:bidi w:val="0"/>
        <w:spacing w:before="0" w:after="160"/>
        <w:ind w:left="0" w:right="0" w:firstLine="720"/>
        <w:jc w:val="both"/>
        <w:rPr>
          <w:rFonts w:ascii="Times New Roman" w:hAnsi="Times New Roman"/>
          <w:color w:val="000000"/>
          <w:sz w:val="22"/>
        </w:rPr>
      </w:pPr>
      <w:r>
        <w:rPr>
          <w:rFonts w:ascii="Times New Roman" w:hAnsi="Times New Roman"/>
          <w:color w:val="000000"/>
          <w:sz w:val="22"/>
        </w:rPr>
        <w:t>Each of the Borrower, the Parent Guarantor and the Irish Guarantor shall, and shall cause each other Loan Party and all of its Subsidiaries to, do all of the following:</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6.1</w:t>
      </w:r>
    </w:p>
    <w:p>
      <w:pPr>
        <w:pStyle w:val="TextBody"/>
        <w:bidi w:val="0"/>
        <w:spacing w:before="0" w:after="240"/>
        <w:jc w:val="both"/>
        <w:rPr/>
      </w:pPr>
      <w:r>
        <w:rPr>
          <w:rFonts w:ascii="Times New Roman" w:hAnsi="Times New Roman"/>
          <w:color w:val="000000"/>
          <w:sz w:val="22"/>
          <w:u w:val="single"/>
        </w:rPr>
        <w:t>Government Compliance</w:t>
      </w:r>
      <w:r>
        <w:rPr>
          <w:rFonts w:ascii="Times New Roman" w:hAnsi="Times New Roman"/>
          <w:color w:val="000000"/>
          <w:sz w:val="22"/>
        </w:rPr>
        <w: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permitted by Section 7.3, maintain its legal existence and good standing in their respective jurisdictions of formation and maintain qualification in each jurisdiction in which the failure to so qualify could reasonably be expected to cause a Material Adverse Change. Each Loan Party shall comply, and have each Subsidiary comply, in all material respects, with all laws, ordinances and regulations to which it is subject.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Obtain all of the Governmental Approvals necessary for the performance by such Loan Party of its obligations under the Loan Documents and the grant of a security interest to Bank in the Collateral. Upon written request by Bank, such Loan Party shall promptly provide copies of any such obtained Governmental Approvals to Bank.</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Cause the operations and property of Borrower and each of its Subsidiaries, to comply in all material respects with all applicable Healthcare Laws. Without limiting the foregoing, the operations and property of Borrower and each of its Subsidiaries shall comply with HIPAA in all material respects. Upon written request of Bank, Borrower shall deliver to Bank evidence satisfactory to Bank that Borrower has established and maintains a corporate compliance program that (i) addresses the material Requirements of Law, including all applicable Healthcare Laws, of Governmental Authorities having jurisdiction over its business and operations, and (ii) has been structured to account for the guidance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32</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issued by the U.S. Department of Health and Human Services regarding characteristics of effective corporate compliance programs.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relation to each Irish Loan Party only, comply in all respects with Sections 82 and 239 of the Irish Companies Act in relation to their entry into this Agreement and the other Loan Documents, and payment of amounts due thereunder.</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6.2</w:t>
      </w:r>
    </w:p>
    <w:p>
      <w:pPr>
        <w:pStyle w:val="TextBody"/>
        <w:bidi w:val="0"/>
        <w:spacing w:before="0" w:after="240"/>
        <w:jc w:val="both"/>
        <w:rPr/>
      </w:pPr>
      <w:r>
        <w:rPr>
          <w:rFonts w:ascii="Times New Roman" w:hAnsi="Times New Roman"/>
          <w:color w:val="000000"/>
          <w:sz w:val="22"/>
          <w:u w:val="single"/>
        </w:rPr>
        <w:t>Financial Statements, Reports, Certificates</w:t>
      </w:r>
      <w:r>
        <w:rPr>
          <w:rFonts w:ascii="Times New Roman" w:hAnsi="Times New Roman"/>
          <w:color w:val="000000"/>
          <w:sz w:val="22"/>
        </w:rPr>
        <w:t>. Provide Bank with the following:</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soon as available, but no later than forty-five (45) days after the last day of the first three (3) fiscal quarters of each fiscal year of Parent Guarantor, a company prepared consolidated balance sheet, income statement and cash flow statement covering the consolidated operations of Parent Guarantor and its Subsidiaries for such fiscal quarter certified by a Responsible Officer and in a form reasonably acceptable to Bank;</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soon as available, but no later than thirty (30) days after the last day of each month, monthly accounts receivable agings, aged by invoice date and monthly accounts payable agings, aged by invoice date;</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soon as available, but no later than thirty (30) days after the last day of each month, a duly completed Compliance Certificate signed by a Responsible Officer of Parent Guarantor, certifying that as of the end of such month, the Loan Parties were in full compliance with all of the terms and conditions of this Agreement and the other Loan Documents, and setting forth calculations showing compliance with the financial covenants set forth in this Agreement (if any) and such other information as Bank may reasonably request;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as soon as available, but no later than ninety (90) days after the last day of Parent Guarantor’s fiscal year, audited consolidated financial statements of Parent Guarantor and its Subsidiaries, prepared under GAAP, consistently applied, together with an unqualified opinion on the financial statements from KMPG LLP, any other “Big Four” accounting firm or any other independent certified public accounting firm reasonably acceptable to Bank;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soon as available, but no later than sixty (60) days after the last day of each fiscal year of Parent Guarantor, and contemporaneously with any updates or amendments thereto approved by the Board of Parent Guarantor, (A) annual operating budgets (including income statements, balance sheets and cash flow statements, by month) for the then current fiscal year of Parent Guarantor, and (B) annual financial projections for such fiscal year (on a monthly basis) as approved by the Board, together with any related business forecasts used in the preparation of such annual financial projections;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within thirty (30) days of filing, copies of all periodic and other reports, proxy statements and other materials filed by Parent Guarantor with the SEC, any Governmental Authority succeeding to any or all of the functions of the SEC or with any national securities exchange, or distributed to its shareholders (in their capacity as such), as the case may be (including, without limitation, all reports on Form 10-K, 10-Q and 8-K). Documents required to be delivered pursuant to the terms hereof (to the extent any such documents are included in materials otherwise filed with the SEC) may be delivered electronically and if so delivered, shall be deemed to have been delivered on the date on which Parent Guarantor posts such documents, or provides a link thereto, on Parent Guarantor’s website on the internet at Parent Guarantor’s website address; provided, however, Borrower shall promptly notify Bank in writing (which may be by electronic mail) of the posting of any such documents</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33</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within ten (10) Business Days of delivery, copies of all statements, reports and notices made available to such Loan Party’s security holders or to any holders of Subordinated Debt (solely in their capacities as security holders or holders of Subordinated Debt and not in any other capacity);</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promptly, and in any event, within three (3) Business Days, report of the occurrence of any Default or Event of Default;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promptly, and in any event, within five (5) Business Days, report of (i) any adverse finding in respect of any action or proceeding set forth in the Perfection Certificate, (ii) any legal actions pending or threatened in writing against any Loan Party or any of their respective Subsidiaries that could reasonably be expected to result in damages or costs to the Loan Parties or any of their respective Subsidiaries of, individually or in the aggregate, Five Hundred Thousand Dollars ($500,000.00) or more, (iii) any Acquisitions or (iv) any matter that has resulted or could reasonably be expected to result in a Material Adverse Change;</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promptly following any request therefor, information and documentation reasonably requested by Bank for purposes of compliance with applicable “know your customer” and anti-money-laundering rules and regulations, including, without limitation, the Patriot Act and the Beneficial Ownership Regulation;</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prompt, and in any event, within five (5) Business Days, report of any departure of any Key Person departing or ceasing to be employed by a Loan Party or of any Key Person ceasing to be involved in the day to day operations of the Loan Parties or to hold an executive office at least equal in seniority and responsibility to such Person’s present office as of the Effective Date;</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within thirty (30) days after the last day of each month, a detailed cash report, setting forth each Loan Party’s and each of their Subsidiaries’ accounts maintained outside of Bank and Bank’s Affiliates, and the balances maintained in such accounts as of the last day of such month, in the form set forth on Schedule 6 to the Compliance Certificate;</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other financial information reasonably requested by Bank promptly after any request therefor;</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prompt notice of the creation or acquisition of any Subsidiary, including if such Subsidiary is a Foreign Subsidiary; and</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written notice within ten (10) Business Days after any sale or issuance of any stock of Borrower which will result in any Person owning, directly or indirectly, ten percent (10.0%) or more of the outstanding voting stock of Borrower on a fully diluted basis, including the purchasers of such stock, any “know your customer” information required by Bank, the terms of such sale or issuance and the total sale or issuance proceeds to be received by Borrower.</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6.3</w:t>
      </w:r>
    </w:p>
    <w:p>
      <w:pPr>
        <w:pStyle w:val="TextBody"/>
        <w:bidi w:val="0"/>
        <w:spacing w:before="0" w:after="240"/>
        <w:jc w:val="both"/>
        <w:rPr/>
      </w:pPr>
      <w:r>
        <w:rPr>
          <w:rFonts w:ascii="Times New Roman" w:hAnsi="Times New Roman"/>
          <w:color w:val="000000"/>
          <w:sz w:val="22"/>
          <w:u w:val="single"/>
        </w:rPr>
        <w:t>Inventory; Returns</w:t>
      </w:r>
      <w:r>
        <w:rPr>
          <w:rFonts w:ascii="Times New Roman" w:hAnsi="Times New Roman"/>
          <w:color w:val="000000"/>
          <w:sz w:val="22"/>
        </w:rPr>
        <w:t>. Keep all Inventory in good and marketable condition, free from material defects. Returns and allowances (a) between any Loan Party and its respective Account Debtors and (b) between any Subsidiary of any Loan Party and its respective Account Debtors, in each case, shall follow the customary practices of such Loan Party and such Subsidiary, respectively. Borrower shall promptly notify Bank of all returns, recoveries, disputes and claims that involve more than Five Hundred Thousand Dollars ($500,000.00).</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6.4</w:t>
      </w:r>
    </w:p>
    <w:p>
      <w:pPr>
        <w:pStyle w:val="TextBody"/>
        <w:bidi w:val="0"/>
        <w:spacing w:before="0" w:after="240"/>
        <w:jc w:val="both"/>
        <w:rPr/>
      </w:pPr>
      <w:r>
        <w:rPr>
          <w:rFonts w:ascii="Times New Roman" w:hAnsi="Times New Roman"/>
          <w:color w:val="000000"/>
          <w:sz w:val="22"/>
          <w:u w:val="single"/>
        </w:rPr>
        <w:t>Maintenance of Properties</w:t>
      </w:r>
      <w:r>
        <w:rPr>
          <w:rFonts w:ascii="Times New Roman" w:hAnsi="Times New Roman"/>
          <w:color w:val="000000"/>
          <w:sz w:val="22"/>
        </w:rPr>
        <w:t xml:space="preserve">. (a) Maintain, preserve and protect all of its material properties and equipment necessary in the operation of its business in good working order and condition,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34</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ordinary wear and tear excepted; and (b) make all necessary repairs thereto and renewals and replacements thereof except where the failure to do so could not reasonably be expected to have a Material Adverse Change.</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6.5</w:t>
      </w:r>
    </w:p>
    <w:p>
      <w:pPr>
        <w:pStyle w:val="TextBody"/>
        <w:bidi w:val="0"/>
        <w:spacing w:before="0" w:after="240"/>
        <w:jc w:val="both"/>
        <w:rPr/>
      </w:pPr>
      <w:r>
        <w:rPr>
          <w:rFonts w:ascii="Times New Roman" w:hAnsi="Times New Roman"/>
          <w:color w:val="000000"/>
          <w:sz w:val="22"/>
          <w:u w:val="single"/>
        </w:rPr>
        <w:t>Payment of Obligations; Taxes; Pensions</w:t>
      </w:r>
      <w:r>
        <w:rPr>
          <w:rFonts w:ascii="Times New Roman" w:hAnsi="Times New Roman"/>
          <w:color w:val="000000"/>
          <w:sz w:val="22"/>
        </w:rPr>
        <w:t>. Timely file (subject to validly filed extensions) all required material tax returns and reports and timely pay (subject to validly filed extensions) all its material obligations and liabilities, including, without limitation, foreign, federal, state and local taxes, assessments, deposits and contributions owed by the Loan Parties and each of their respective Subsidiaries to any Governmental Authority, except (a) deferred payment of any taxes, assessments, deposits and contributions contested pursuant to the terms of Section 5.8 hereof, and (b) and (ii) such taxes, assessments, deposits and contributions that do not, individually or in the aggregate, exceed Two Hundred Fifty Thousand Dollars ($250,000.00) at any time, and shall deliver to Bank, upon reasonable request, appropriate certificates attesting to such payments, and pay all amounts necessary to fund all present pension, profit sharing and deferred compensation plans (including, with respect to any such plan subject to Title IV of ERISA, evidence that each ERISA Affiliate has paid such amounts) in accordance with their terms.</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6.6</w:t>
      </w:r>
    </w:p>
    <w:p>
      <w:pPr>
        <w:pStyle w:val="TextBody"/>
        <w:bidi w:val="0"/>
        <w:spacing w:before="0" w:after="240"/>
        <w:jc w:val="both"/>
        <w:rPr/>
      </w:pPr>
      <w:r>
        <w:rPr>
          <w:rFonts w:ascii="Times New Roman" w:hAnsi="Times New Roman"/>
          <w:color w:val="000000"/>
          <w:sz w:val="22"/>
          <w:u w:val="single"/>
        </w:rPr>
        <w:t>Access to Collateral; Books and Records</w:t>
      </w:r>
      <w:r>
        <w:rPr>
          <w:rFonts w:ascii="Times New Roman" w:hAnsi="Times New Roman"/>
          <w:color w:val="000000"/>
          <w:sz w:val="22"/>
        </w:rPr>
        <w: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At reasonable times, on five (5) Business Days’ written notice (provided no notice is required if an Event of Default has occurred and is continuing), provide Bank, or its agents, the right, during normal business hours (except if an Event of Default has occurred and is continuing), to inspect the Collateral and the right to audit and copy the Books. The foregoing inspections and audits shall be at Borrower’s expense and conducted with reasonable efforts to minimize disruption to such Loan Party’s business. In addition, such inspections and audits shall be conducted no more often than once in any twelve (12) month period, unless an Event of Default has occurred and is continuing, in which case such inspections and audits shall be conducted as frequently as Bank shall determine is necessary. The foregoing may be subject to exclusions and redactions as necessary in order to (i) preserve the confidentiality of highly sensitive proprietary information, (ii) prevent impairment of the attorney-client privilege with respect to pending or threatened litigation, or (iii) prevent an actual or potential conflict of interest between a Loan Party and Bank.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At reasonable times, on five (5) Business Days’ written notice (provided no notice is required if an Event of Default has occurred and is continuing), provide Bank, or its agents, the right, during normal business hours (except if an Event of Default has occurred and is continuing), to discuss its financial matters with the independent auditors of Borrower and its Subsidiaries (and each Loan Party hereby authorizes all such independent auditors to discuss those financial matters with Bank or any representative, agent, or advisor thereof). The foregoing shall be conducted at Borrower’s expense and no more often than once every twelve (12) months, unless an Event of Default has occurred and is continuing, in which case such discussions shall occur as often as Bank shall reasonably determine is necessary. The foregoing may be subject to exclusions and redactions as necessary in order to (i) preserve the confidentiality of highly sensitive proprietary information, (ii) prevent impairment of the attorney-client privilege with respect to pending or threatened litigation, or (iii) prevent an actual or potential conflict of interest between a Loan Party and Bank.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Maintain proper books of record and account in which full, true and correct entries shall be made of all financial transactions and matters involving the assets and business of such Loan Party or such Subsidiary, as the case may be, sufficient to prepare financial statements in accordance with GAAP.</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35</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6.7</w:t>
      </w:r>
    </w:p>
    <w:p>
      <w:pPr>
        <w:pStyle w:val="TextBody"/>
        <w:bidi w:val="0"/>
        <w:spacing w:before="0" w:after="240"/>
        <w:jc w:val="both"/>
        <w:rPr/>
      </w:pPr>
      <w:r>
        <w:rPr>
          <w:rFonts w:ascii="Times New Roman" w:hAnsi="Times New Roman"/>
          <w:color w:val="000000"/>
          <w:sz w:val="22"/>
          <w:u w:val="single"/>
        </w:rPr>
        <w:t>Insurance</w:t>
      </w:r>
      <w:r>
        <w:rPr>
          <w:rFonts w:ascii="Times New Roman" w:hAnsi="Times New Roman"/>
          <w:color w:val="000000"/>
          <w:sz w:val="22"/>
        </w:rPr>
        <w: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Keep its business and the Collateral insured for risks and in amounts standard for similarly situated companies in such Loan Party’s industry, stage of development and location and as Bank may reasonably request. Insurance policies shall be in a form, with financially sound and reputable insurance companies that are not Affiliates of any Loan Party, and in amounts that are reasonably satisfactory to Bank. All property policies that name any Loan Party as an insured party shall have a lender’s loss payable endorsement showing Bank as lender loss payee. All liability policies that name any Loan Party as an insured party shall show, or have endorsements showing, Bank as an additional insured. Bank shall be named as lender loss payee and/or additional insured with respect to any such insurance providing coverage in respect of any Collateral.</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Ensure that proceeds payable under any property policy are, at Bank’s option, payable to Bank on account of the Obligations, provided that, so long as no Event of Default has occurred and is continuing, such Loan Party may apply the proceeds of any property policy up to Five Hundred Thousand Dollars ($500,000.00) individually or in the aggregate for all losses under all policies in any twelve (12) month period, toward the replacement or repair of destroyed or damaged property; provided that any such replaced or repaired property shall be (A) of equal or like value as the replaced or repaired property and (B) deemed Collateral in which Bank has been granted a first priority security interest to the extent the destroyed or damaged property consists of Collateral.</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At Bank’s request, the Loan Parties shall deliver certificates of insurance and evidence of all premium payments. Each provider of any such insurance required under this Section 6.7 shall agree, by endorsement upon the policy or policies issued by it or by independent instruments furnished to Bank, that it will give Bank thirty (30) days’ prior written notice before any such policy or policies shall be canceled (with the exception of cancellation due to non-payment of premium, which will be ten (10) days’ prior written notice). If any Loan Party fails to obtain insurance as required under this Section 6.7 or to pay any amount or furnish any required proof of payment to third persons and Bank, Bank may make all or part of such payment or obtain such certificates of insurance policies required in this Section 6.7, and take any action under the policies Bank deems reasonably prudent.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6.8</w:t>
      </w:r>
    </w:p>
    <w:p>
      <w:pPr>
        <w:pStyle w:val="TextBody"/>
        <w:bidi w:val="0"/>
        <w:spacing w:before="0" w:after="240"/>
        <w:jc w:val="both"/>
        <w:rPr/>
      </w:pPr>
      <w:r>
        <w:rPr>
          <w:rFonts w:ascii="Times New Roman" w:hAnsi="Times New Roman"/>
          <w:color w:val="000000"/>
          <w:sz w:val="22"/>
          <w:u w:val="single"/>
        </w:rPr>
        <w:t>Operating Accounts</w:t>
      </w:r>
      <w:r>
        <w:rPr>
          <w:rFonts w:ascii="Times New Roman" w:hAnsi="Times New Roman"/>
          <w:color w:val="000000"/>
          <w:sz w:val="22"/>
        </w:rPr>
        <w: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 As of the Effective Date and at all times thereafter, account balances in the name of the Loan Parties maintained with Bank or Bank’s Affiliates shall represent at least ninety percent (90.0%) of all account balances of the Loan Parties and their Subsidiaries in the aggrgate, wherever located and (ii) the Loan Parties, collectively, shall, at all times, have unrestricted cash in distributed deposit accounts with Bank or Bank’s Affiliates in an aggregate amount equal to the lesser of (A) Twenty Million Dollars ($20,000,000.00) and (B) one hundred percent (100.0%) of the Dollar Equivalent value of all account balances of the Loan Parties held with Bank or Bank’s Affiliates.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Provide Bank written notice within five (5) Business Days after establishing any Collateral Account of any Loan Party at or with any bank or financial institution other than Bank or Bank’s Affiliates. Subject to Section 6.14 hereof, for each Collateral Account that any Loan Party at any time maintains, such Loan Party shall cause the applicable bank or financial institution (other than Bank, but including Bank’s Affiliates) at or with which any Collateral Account is maintained to execute and deliver within thirty (30) days after opening such Collateral Account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(i) Borrower’s existing account with Wells Fargo (the “Wells Fargo Account”) prior to the expiration of the Wells Fargo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36</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jc w:val="both"/>
        <w:rPr/>
      </w:pPr>
      <w:r>
        <w:rPr>
          <w:rFonts w:ascii="Times New Roman" w:hAnsi="Times New Roman"/>
          <w:color w:val="000000"/>
          <w:sz w:val="22"/>
        </w:rPr>
        <w:t>Transition Period, (ii) Irish Guarantor’s existing account with Bank of Ireland (the “Irish Guarantor Account”) prior to the expiration of the Irish Account Transition Period, provided that the maximum aggregate cash balance maintained in the Irish Guarantor Account shall not exceed the Dollar Equivalent of Fifty Thousand Dollars ($50,000.00) at any time (and, if such aggregate amount exceeds the Dollar Equivalent of Fifty Thousand Dollars ($50,000.00) at any time, the provisions of the previous sentence shall apply and a Control Agreement shall be required for the Irish Guarantor Account, (iii) the LC Collateral Accounts, (iv) the Credit Card Collateral Accounts or (v) deposit accounts exclusively used for payroll, payroll taxes, and other employee wage and benefit payments to or for the benefit of such Loan Party’s employees and identified to Bank by such Loan Party as such; provided that the funds on deposit in such deposit accounts will at no time exceed the actual payroll, payroll taxes, withholding taxes and other employee wage and benefit payments then owing for the immediately succeeding two (2) payroll periods (or greater amount to the extent required by Applicable Law) (such deposit accounts, “Excluded Accounts”).</w:t>
      </w:r>
      <w:r>
        <w:rPr>
          <w:color w:val="000000"/>
        </w:rPr>
        <w:t xml:space="preserve"> </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6.9</w:t>
      </w:r>
    </w:p>
    <w:p>
      <w:pPr>
        <w:pStyle w:val="TextBody"/>
        <w:bidi w:val="0"/>
        <w:spacing w:before="0" w:after="240"/>
        <w:jc w:val="both"/>
        <w:rPr/>
      </w:pPr>
      <w:r>
        <w:rPr>
          <w:rFonts w:ascii="Times New Roman" w:hAnsi="Times New Roman"/>
          <w:color w:val="000000"/>
          <w:sz w:val="22"/>
          <w:u w:val="single"/>
        </w:rPr>
        <w:t>Protection of Intellectual Property Rights</w:t>
      </w:r>
      <w:r>
        <w:rPr>
          <w:rFonts w:ascii="Times New Roman" w:hAnsi="Times New Roman"/>
          <w:color w:val="000000"/>
          <w:sz w:val="22"/>
        </w:rPr>
        <w: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Use commercially reasonable efforts to protect, defend and maintain the validity and enforceability of its Intellectual Property; (ii) promptly advise Bank in writing of material infringements or any other event that could reasonably be expected to materially and adversely affect the value of its Intellectual Property that is material to such Loan Party’s business; and (iii) not allow any Intellectual Property that is material to such Loan Party’s business (as determined in good faith by such Loan Party) to be abandoned, forfeited or dedicated to the public without Bank’s written consent.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Concurrently with the next-then due Compliance Certificate, provide written notice to Bank of entering or becoming bound by any Restricted License. At Bank’s request, Borrower shall use commercially reasonable efforts to obtain the consent of, or waiver by, any person whose consent or waiver is necessary for (i) any Restricted License of any Loan Party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6.10</w:t>
      </w:r>
    </w:p>
    <w:p>
      <w:pPr>
        <w:pStyle w:val="TextBody"/>
        <w:bidi w:val="0"/>
        <w:spacing w:before="0" w:after="240"/>
        <w:jc w:val="both"/>
        <w:rPr/>
      </w:pPr>
      <w:r>
        <w:rPr>
          <w:rFonts w:ascii="Times New Roman" w:hAnsi="Times New Roman"/>
          <w:color w:val="000000"/>
          <w:sz w:val="22"/>
          <w:u w:val="single"/>
        </w:rPr>
        <w:t>Litigation Cooperation</w:t>
      </w:r>
      <w:r>
        <w:rPr>
          <w:rFonts w:ascii="Times New Roman" w:hAnsi="Times New Roman"/>
          <w:color w:val="000000"/>
          <w:sz w:val="22"/>
        </w:rPr>
        <w:t>. From the date hereof and continuing through the termination of this Agreement, make available to Bank, without expense to Bank, each Loan Party and its respective officers, employees and agents and the Books, to the extent that Bank may deem them reasonably necessary to prosecute or defend any third-party suit or proceeding instituted by or against Bank with respect to any Collateral or relating to any Loan Party.</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6.11</w:t>
      </w:r>
    </w:p>
    <w:p>
      <w:pPr>
        <w:pStyle w:val="TextBody"/>
        <w:bidi w:val="0"/>
        <w:spacing w:before="0" w:after="240"/>
        <w:jc w:val="both"/>
        <w:rPr/>
      </w:pPr>
      <w:r>
        <w:rPr>
          <w:rFonts w:ascii="Times New Roman" w:hAnsi="Times New Roman"/>
          <w:color w:val="000000"/>
          <w:sz w:val="22"/>
          <w:u w:val="single"/>
        </w:rPr>
        <w:t>Formation or Acquisition of Subsidiaries</w:t>
      </w:r>
      <w:r>
        <w:rPr>
          <w:rFonts w:ascii="Times New Roman" w:hAnsi="Times New Roman"/>
          <w:color w:val="000000"/>
          <w:sz w:val="22"/>
        </w:rPr>
        <w:t xml:space="preserve">. Notwithstanding and without limiting the negative covenants contained in Sections 7.3 and 7.7 hereof, at the time that any Loan Party forms any direct or indirect Subsidiary or acquires any direct or indirect Subsidiary after the Effective Date (including, without limitation, pursuant to a Division), at Bank’s election, such Loan Party shall or shall cause such Subsidiary to provide to Bank, promptly after such acquisition or formation: (a) a joinder to this Agreement to become a co-borrower hereunder or a Guarantee Agreement to become a Guarantor hereunder (as determined by Bank in its sole discretion) together with such appropriate financing statements and/or Control Agreements, all in form and substance satisfactory to Bank (including being sufficient to grant Bank a first priority Lien (subject to Permitted Liens) in and to the assets of such Subsidiary); (b) appropriate certificates and powers, proxies and financing statements, pledging all of the direct ownership interest of any Loan Party in such Subsidiary in form and substance satisfactory to Bank; and (c) all other documentation in form and substance reasonably satisfactory to Bank, including one (1) or more perfection certificates, secretary certificates, and opinions of counsel satisfactory to Bank, which in its opinion is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37</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appropriate with respect to the execution and delivery of the applicable documentation referred to above. Any document, agreement, or instrument executed or issued pursuant to this Section 6.11 shall be a Loan Document.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6.12</w:t>
      </w:r>
    </w:p>
    <w:p>
      <w:pPr>
        <w:pStyle w:val="TextBody"/>
        <w:bidi w:val="0"/>
        <w:spacing w:before="0" w:after="240"/>
        <w:jc w:val="both"/>
        <w:rPr/>
      </w:pPr>
      <w:r>
        <w:rPr>
          <w:rFonts w:ascii="Times New Roman" w:hAnsi="Times New Roman"/>
          <w:color w:val="000000"/>
          <w:sz w:val="22"/>
          <w:u w:val="single"/>
        </w:rPr>
        <w:t>Use of Proceeds</w:t>
      </w:r>
      <w:r>
        <w:rPr>
          <w:rFonts w:ascii="Times New Roman" w:hAnsi="Times New Roman"/>
          <w:color w:val="000000"/>
          <w:sz w:val="22"/>
        </w:rPr>
        <w:t>. Use the proceeds of the Credit Extensions as working capital, and for other general corporate purposes not in contravention of any law or of any Loan Document.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6.13</w:t>
      </w:r>
    </w:p>
    <w:p>
      <w:pPr>
        <w:pStyle w:val="TextBody"/>
        <w:bidi w:val="0"/>
        <w:spacing w:before="0" w:after="240"/>
        <w:jc w:val="both"/>
        <w:rPr/>
      </w:pPr>
      <w:r>
        <w:rPr>
          <w:rFonts w:ascii="Times New Roman" w:hAnsi="Times New Roman"/>
          <w:color w:val="000000"/>
          <w:sz w:val="22"/>
          <w:u w:val="single"/>
        </w:rPr>
        <w:t>Further Assurances</w:t>
      </w:r>
      <w:r>
        <w:rPr>
          <w:rFonts w:ascii="Times New Roman" w:hAnsi="Times New Roman"/>
          <w:color w:val="000000"/>
          <w:sz w:val="22"/>
        </w:rPr>
        <w:t>. Execute any further instruments and take further action as Bank reasonably requests to perfect or continue Bank’s Lien in the Collateral, to ensure the Obligations are guaranteed by Parent Guarantor, Irish Guarantor and each Subsidiary of Borrower or to effect the purposes of this Agreement and the other Loan Documents. Deliver to Bank, within five (5) Business Days after the same are sent or received, copies of all correspondence, reports, documents and other filings with any Governmental Authority regarding compliance with or maintenance of Governmental Approvals or Requirements of Law that could reasonably be expected to have a material adverse effect on any of the Governmental Approvals or otherwise on the operations of such Loan Party or any of its respective Subsidiaries.</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6.14</w:t>
      </w:r>
    </w:p>
    <w:p>
      <w:pPr>
        <w:pStyle w:val="TextBody"/>
        <w:bidi w:val="0"/>
        <w:spacing w:before="0" w:after="240"/>
        <w:jc w:val="both"/>
        <w:rPr/>
      </w:pPr>
      <w:r>
        <w:rPr>
          <w:rFonts w:ascii="Times New Roman" w:hAnsi="Times New Roman"/>
          <w:color w:val="000000"/>
          <w:sz w:val="22"/>
          <w:u w:val="single"/>
        </w:rPr>
        <w:t>Post-Closing Conditions</w:t>
      </w:r>
      <w:r>
        <w:rPr>
          <w:rFonts w:ascii="Times New Roman" w:hAnsi="Times New Roman"/>
          <w:color w:val="000000"/>
          <w:sz w:val="22"/>
        </w:rPr>
        <w:t>. (a) Deliver to Bank, (i) within sixty (60) days of the Effective Date, either (A) evidence satisfactory to Bank in Bank’s sole discretion that the Wells Fargo Account has been closed and all funds therein have been transferred to an account of Borrower maintained at Bank or Bank’s Affiliates or (B) a duly executed Control Agreement with respect to the Wells Fargo Account, in form and substance satisfactory to Bank, (b) deliver to Bank, within thirty (30) days of the Effective Date, (i) a duly executed Control Agreement with respect to each Loan Party’s accounts (other than Excluded Accounts) with HSBC Bank USA, N.A. and (ii) a duly executed Control Agreement with respect to each Loan Party’s accounts (other than Excluded Accounts) with Silicon Valley Bank, a division of First-Citizens Bank &amp; Trust Company and (c) use commercially reasonable efforts to deliver to Bank, within thirty (30) days of the Effective Date, a duly executed landlord’s consent in favor of Bank for Borrower’s leased location at 323 Allerton Avenue South San Francisco, California 94080.</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7</w:t>
      </w:r>
    </w:p>
    <w:p>
      <w:pPr>
        <w:pStyle w:val="TextBody"/>
        <w:bidi w:val="0"/>
        <w:spacing w:before="0" w:after="240"/>
        <w:jc w:val="both"/>
        <w:rPr/>
      </w:pPr>
      <w:r>
        <w:rPr>
          <w:rFonts w:ascii="Times New Roman" w:hAnsi="Times New Roman"/>
          <w:b/>
          <w:color w:val="000000"/>
          <w:sz w:val="22"/>
        </w:rPr>
        <w:t>Negative Covenants</w:t>
      </w:r>
      <w:r>
        <w:rPr>
          <w:rFonts w:ascii="Times New Roman" w:hAnsi="Times New Roman"/>
          <w:color w:val="000000"/>
          <w:sz w:val="22"/>
        </w:rPr>
        <w:t>.</w:t>
      </w:r>
    </w:p>
    <w:p>
      <w:pPr>
        <w:pStyle w:val="TextBody"/>
        <w:bidi w:val="0"/>
        <w:spacing w:before="0" w:after="160"/>
        <w:ind w:left="0" w:right="0" w:firstLine="720"/>
        <w:jc w:val="both"/>
        <w:rPr>
          <w:rFonts w:ascii="Times New Roman" w:hAnsi="Times New Roman"/>
          <w:color w:val="000000"/>
          <w:sz w:val="22"/>
        </w:rPr>
      </w:pPr>
      <w:r>
        <w:rPr>
          <w:rFonts w:ascii="Times New Roman" w:hAnsi="Times New Roman"/>
          <w:color w:val="000000"/>
          <w:sz w:val="22"/>
        </w:rPr>
        <w:t>None of the Borrower, the Parent Guarantor nor the Irish Guarantor shall, nor shall they permit any other Loan Party nor any of their Subsidiaries to, do any of the following without Bank’s prior written consent: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7.1</w:t>
      </w:r>
    </w:p>
    <w:p>
      <w:pPr>
        <w:pStyle w:val="TextBody"/>
        <w:bidi w:val="0"/>
        <w:spacing w:before="0" w:after="240"/>
        <w:jc w:val="both"/>
        <w:rPr/>
      </w:pPr>
      <w:r>
        <w:rPr>
          <w:rFonts w:ascii="Times New Roman" w:hAnsi="Times New Roman"/>
          <w:color w:val="000000"/>
          <w:sz w:val="22"/>
          <w:u w:val="single"/>
        </w:rPr>
        <w:t>Dispositions</w:t>
      </w:r>
      <w:r>
        <w:rPr>
          <w:rFonts w:ascii="Times New Roman" w:hAnsi="Times New Roman"/>
          <w:color w:val="000000"/>
          <w:sz w:val="22"/>
        </w:rPr>
        <w:t>. Convey, sell, lease, transfer, assign, or otherwise dispose of (including, without limitation, pursuant to a Division) (collectively, “Transfer”) all or any part of its business or property, except for Transfers (a) of Inventory in the ordinary course of business; (b) of worn-out or obsolete Equipment that is, in the reasonable judgment of Borrower, no longer economically practicable to maintain or useful in the ordinary course of business of Borrower or any of its Subsidiaries; (c) consisting of Permitted Liens and Permitted Investments; (d) consisting of Borrower’s or its Subsidiaries’ use or transfer of money or Cash Equivalents in a manner that is not prohibited by the terms of this Agreement or the other Loan Documents; (e) from any Subsidiary that is not a Loan Party to Borrower or any Subsidiary; (f) from any Loan Party to another Loan Party; (g) consisting of the abandonment, forfeiture or dedication to the public of any Intellectual Property immaterial to the business of any Loan Party or Subsidiary; (h) dissolutions or liquidations of Subsidiaries permitted pursuant to Section 7.3, so long as such Subsidiary’s assets are transferred to Borrower or a secured Guarantor free and clear of any Liens (other than Permitted Liens); and (i) other Transfers of non-material assets not to exceed Five Hundred Thousand Dollars ($500,000.00) in the aggregate in any twelve (12) month period; provided that in no event shall any Loan Party Transfer (i) Intellectual Property to a Subsidiary that is not a Loan Party, or (ii) any customer contracts that generate receivables or revenue.</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38</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7.2</w:t>
      </w:r>
    </w:p>
    <w:p>
      <w:pPr>
        <w:pStyle w:val="TextBody"/>
        <w:bidi w:val="0"/>
        <w:spacing w:before="0" w:after="240"/>
        <w:jc w:val="both"/>
        <w:rPr/>
      </w:pPr>
      <w:r>
        <w:rPr>
          <w:rFonts w:ascii="Times New Roman" w:hAnsi="Times New Roman"/>
          <w:color w:val="000000"/>
          <w:sz w:val="22"/>
          <w:u w:val="single"/>
        </w:rPr>
        <w:t>Changes in Business or Business Locations</w:t>
      </w:r>
      <w:r>
        <w:rPr>
          <w:rFonts w:ascii="Times New Roman" w:hAnsi="Times New Roman"/>
          <w:color w:val="000000"/>
          <w:sz w:val="22"/>
        </w:rPr>
        <w: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Engage in any business other than the businesses currently engaged in by the Loan Parties and their Subsidiaries or that are reasonably similar, related or incidental thereto; or (ii) change the date on which its fiscal year ends.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Loan Party shall, without at least fifteen (15) days prior written notice to Bank: (i) add any new locations, (ii) deliver any Collateral in excess of Five Hundred Thousand Dollars ($500,000.00), individually or in the aggregate, to any third party bailee, (iii) change its jurisdiction of organization, (iv) change its organizational type, (v) change its legal name, or (vi) change any organizational number (if any) assigned by its jurisdiction of organization. Each notice under this Section 7.2(b) shall be deemed to update the Perfection Certificate to include such information.</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Borrower intends to add any new offices or business locations, including warehouses, containing in excess of Five Hundred Thousand Dollars ($500,000.00) of Borrower’s assets or property, then Borrower shall use commercially reasonable efforts to cause the landlord of any such new offices or business locations, including warehouses, to execute and deliver a landlord consent in form and substance satisfactory to Bank. If Borrower intends to deliver any portion of the Collateral valued, individually or in the aggregate, in excess of Five Hundred Thousand Dollars ($500,000.00) to a bailee, and Bank and such bailee are not already parties to a bailee agreement governing both the Collateral and the location to which Borrower intends to deliver the Collateral, then Borrower shall use commercially reasonable efforts to cause such bailee to execute and deliver a bailee agreement in form and substance satisfactory to Bank.</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7.3</w:t>
      </w:r>
    </w:p>
    <w:p>
      <w:pPr>
        <w:pStyle w:val="TextBody"/>
        <w:bidi w:val="0"/>
        <w:spacing w:before="0" w:after="240"/>
        <w:jc w:val="both"/>
        <w:rPr/>
      </w:pPr>
      <w:r>
        <w:rPr>
          <w:rFonts w:ascii="Times New Roman" w:hAnsi="Times New Roman"/>
          <w:color w:val="000000"/>
          <w:sz w:val="22"/>
          <w:u w:val="single"/>
        </w:rPr>
        <w:t>Fundamental Changes; Acquisitions</w:t>
      </w:r>
      <w:r>
        <w:rPr>
          <w:rFonts w:ascii="Times New Roman" w:hAnsi="Times New Roman"/>
          <w:color w:val="000000"/>
          <w:sz w:val="22"/>
        </w:rPr>
        <w:t>. Dissolve, liquidate, merge or consolidate with any other Person, make any Acquisition, or permit any of its Subsidiaries to make any Acquisition (including, without limitation, by the formation of any Subsidiary or pursuant to a Division) except for Permitted Acquisitions; provided that any Subsidiary may (a) dissolve or liquidate its assets in favor of a Loan Party or, in the case of any Subsidiary that is not a Loan Party, in favor of a Loan Party or other Subsidiary of Borrower and (b) merge or consolidate into a Loan Party or, in the case of any Subsidiary that is not a Loan Party, into a Loan Party or any other Subsidiary of Borrower.</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7.4</w:t>
      </w:r>
    </w:p>
    <w:p>
      <w:pPr>
        <w:pStyle w:val="TextBody"/>
        <w:bidi w:val="0"/>
        <w:spacing w:before="0" w:after="240"/>
        <w:jc w:val="both"/>
        <w:rPr/>
      </w:pPr>
      <w:r>
        <w:rPr>
          <w:rFonts w:ascii="Times New Roman" w:hAnsi="Times New Roman"/>
          <w:color w:val="000000"/>
          <w:sz w:val="22"/>
          <w:u w:val="single"/>
        </w:rPr>
        <w:t>Indebtedness</w:t>
      </w:r>
      <w:r>
        <w:rPr>
          <w:rFonts w:ascii="Times New Roman" w:hAnsi="Times New Roman"/>
          <w:color w:val="000000"/>
          <w:sz w:val="22"/>
        </w:rPr>
        <w:t>. Create, incur, assume, or be liable for any Indebtedness other than Permitted Indebtedness.</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7.5</w:t>
      </w:r>
    </w:p>
    <w:p>
      <w:pPr>
        <w:pStyle w:val="TextBody"/>
        <w:bidi w:val="0"/>
        <w:spacing w:before="0" w:after="240"/>
        <w:jc w:val="both"/>
        <w:rPr/>
      </w:pPr>
      <w:r>
        <w:rPr>
          <w:rFonts w:ascii="Times New Roman" w:hAnsi="Times New Roman"/>
          <w:color w:val="000000"/>
          <w:sz w:val="22"/>
          <w:u w:val="single"/>
        </w:rPr>
        <w:t>Encumbrances; Negative Pledge</w:t>
      </w:r>
      <w:r>
        <w:rPr>
          <w:rFonts w:ascii="Times New Roman" w:hAnsi="Times New Roman"/>
          <w:color w:val="000000"/>
          <w:sz w:val="22"/>
        </w:rPr>
        <w:t xml:space="preserve">. (a) Create, incur, allow, or suffer any Lien on any of its property, or assign or convey any right to receive income, including the sale of any Accounts or Contracts, except for Permitted Liens, (b) permit any Collateral not to be subject to the first priority security interest granted herein (subject to Permitted Liens), or (c) enter into any agreement, document, instrument or other arrangement (except with or in favor of Bank) with any Person which directly or indirectly prohibits or has the effect of prohibiting such Loan Party or any of its Subsidiaries from assigning, mortgaging, pledging, granting a security interest in or upon, or encumbering any of such Loan Party’s or such Subsidiary’s Intellectual Property in favor of Bank, except for customary restrictions customary restrictions on assignment, transfer and encumbrances in license agreements under which a Loan Party or any Subsidiary is the licensee. </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7.6</w:t>
      </w:r>
    </w:p>
    <w:p>
      <w:pPr>
        <w:pStyle w:val="TextBody"/>
        <w:bidi w:val="0"/>
        <w:spacing w:before="0" w:after="240"/>
        <w:jc w:val="both"/>
        <w:rPr/>
      </w:pPr>
      <w:r>
        <w:rPr>
          <w:rFonts w:ascii="Times New Roman" w:hAnsi="Times New Roman"/>
          <w:color w:val="000000"/>
          <w:sz w:val="22"/>
          <w:u w:val="single"/>
        </w:rPr>
        <w:t>Maintenance of Collateral Accounts</w:t>
      </w:r>
      <w:r>
        <w:rPr>
          <w:rFonts w:ascii="Times New Roman" w:hAnsi="Times New Roman"/>
          <w:color w:val="000000"/>
          <w:sz w:val="22"/>
        </w:rPr>
        <w:t>. Maintain any Collateral Account except pursuant to the terms of Section 6.8(b) hereof.</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7.7</w:t>
      </w:r>
    </w:p>
    <w:p>
      <w:pPr>
        <w:pStyle w:val="TextBody"/>
        <w:bidi w:val="0"/>
        <w:spacing w:before="0" w:after="240"/>
        <w:jc w:val="both"/>
        <w:rPr/>
      </w:pPr>
      <w:r>
        <w:rPr>
          <w:rFonts w:ascii="Times New Roman" w:hAnsi="Times New Roman"/>
          <w:color w:val="000000"/>
          <w:sz w:val="22"/>
          <w:u w:val="single"/>
        </w:rPr>
        <w:t>Distributions; Investments</w:t>
      </w:r>
      <w:r>
        <w:rPr>
          <w:rFonts w:ascii="Times New Roman" w:hAnsi="Times New Roman"/>
          <w:color w:val="000000"/>
          <w:sz w:val="22"/>
        </w:rPr>
        <w:t xml:space="preserve">. (a) Pay any dividends or make any distribution or payment or redeem, retire or purchase any capital stock; provided that Parent Guarantor may (i) repurchase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39</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jc w:val="both"/>
        <w:rPr/>
      </w:pPr>
      <w:r>
        <w:rPr>
          <w:rFonts w:ascii="Times New Roman" w:hAnsi="Times New Roman"/>
          <w:color w:val="000000"/>
          <w:sz w:val="22"/>
        </w:rPr>
        <w:t>the stock, partnership, membership, or other ownership interest or other equity securities of former employees or consultants pursuant to stock repurchase agreements so long as an Event of Default does not exist at the time of any such repurchase and would not exist after giving effect to any such repurchase, provided that the aggregate amount of all such repurchases shall not exceed Five Hundred Thousand Dollars ($500,000.00) during any twelve (12) month period; (ii) repurchase equity interests deemed to occur upon the exercise of stock options or warrants if such repurchased equity interests represents a portion of the exercise price of such options or warrants pursuant to a “cashless exercise”, “net share settlement” or similar feature; (iii) pay dividends solely in common stock; and (iv) make cash payments in lieu of the issuance of fractional shares upon the conversion of convertible securities in an aggregate amount not to exceed One Hundred Thousand Dollars ($100,000.00) per fiscal year; or (b) directly or indirectly make any Investment (including, without limitation, by the formation of any Subsidiary) other than Permitted Investments. Notwithstanding the foregoing, Subsidiaries of any Loan Party shall be permitted to pay dividends or make distributions to a Loan Party.</w:t>
      </w:r>
      <w:r>
        <w:rPr>
          <w:color w:val="000000"/>
        </w:rPr>
        <w:t xml:space="preserve"> </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7.8</w:t>
      </w:r>
    </w:p>
    <w:p>
      <w:pPr>
        <w:pStyle w:val="TextBody"/>
        <w:bidi w:val="0"/>
        <w:spacing w:before="0" w:after="240"/>
        <w:jc w:val="both"/>
        <w:rPr/>
      </w:pPr>
      <w:r>
        <w:rPr>
          <w:rFonts w:ascii="Times New Roman" w:hAnsi="Times New Roman"/>
          <w:color w:val="000000"/>
          <w:sz w:val="22"/>
          <w:u w:val="single"/>
        </w:rPr>
        <w:t>Transactions with Affiliates</w:t>
      </w:r>
      <w:r>
        <w:rPr>
          <w:rFonts w:ascii="Times New Roman" w:hAnsi="Times New Roman"/>
          <w:color w:val="000000"/>
          <w:sz w:val="22"/>
        </w:rPr>
        <w:t xml:space="preserve">. Directly or indirectly enter into or permit to exist any material transaction with any Affiliate of such Loan Party, except for (a) transactions expressly permitted to be by and among the Loan Parties hereunder, (b) reasonable and customary compensation arrangements and other customary benefits including retirement, health, stock option and other benefit plans and indemnification arrangements approved by the Board, (c) transactions that are in the ordinary course of such Loan Party’s business, upon fair and reasonable terms that are no less favorable to such Loan Party than would be obtained in an arm’s length transaction with a non-affiliated Person and (d) transactions permitted by Section 7.3 and Section 7.7 of this Agreement. </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7.9</w:t>
      </w:r>
    </w:p>
    <w:p>
      <w:pPr>
        <w:pStyle w:val="TextBody"/>
        <w:bidi w:val="0"/>
        <w:spacing w:before="0" w:after="240"/>
        <w:jc w:val="both"/>
        <w:rPr/>
      </w:pPr>
      <w:r>
        <w:rPr>
          <w:rFonts w:ascii="Times New Roman" w:hAnsi="Times New Roman"/>
          <w:color w:val="000000"/>
          <w:sz w:val="22"/>
          <w:u w:val="single"/>
        </w:rPr>
        <w:t>Subordinated Debt</w:t>
      </w:r>
      <w:r>
        <w:rPr>
          <w:rFonts w:ascii="Times New Roman" w:hAnsi="Times New Roman"/>
          <w:color w:val="000000"/>
          <w:sz w:val="22"/>
        </w:rPr>
        <w:t>. (a) Make or permit any payment on any Subordinated Debt, except under the terms of the subordination, intercreditor, or other 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Obligations owed to Bank, except as expressly permitted under the terms of the subordination, intercreditor, or other similar agreement to which such Subordinated Debt is subject.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7.10</w:t>
      </w:r>
    </w:p>
    <w:p>
      <w:pPr>
        <w:pStyle w:val="TextBody"/>
        <w:bidi w:val="0"/>
        <w:spacing w:before="0" w:after="240"/>
        <w:jc w:val="both"/>
        <w:rPr/>
      </w:pPr>
      <w:r>
        <w:rPr>
          <w:rFonts w:ascii="Times New Roman" w:hAnsi="Times New Roman"/>
          <w:color w:val="000000"/>
          <w:sz w:val="22"/>
          <w:u w:val="single"/>
        </w:rPr>
        <w:t>Compliance</w:t>
      </w:r>
      <w:r>
        <w:rPr>
          <w:rFonts w:ascii="Times New Roman" w:hAnsi="Times New Roman"/>
          <w:color w:val="000000"/>
          <w:sz w:val="22"/>
        </w:rPr>
        <w:t>. (a) Become an “investment company” or a company controlled by an “investment company”, under the Investment Company Act of 1940, as amended, or undertake as one of its important activities extending credit to purchase or carry margin stock (as defined in Regulation U of the Board of Governors of the Federal Reserve System), or use the proceeds of any Credit Extension for that purpose; (b) fail to meet the minimum funding requirements of ERISA, as applicable, permit a Reportable Event or Prohibited Transaction, each as defined in ERISA, to occur; (c) fail to comply with the Federal Fair Labor Standards Act or violate any other law or regulation, if the violation could reasonably be expected to have a material adverse effect on such Loan Party’s business; or (d) withdraw from participation in, permit partial or complete termination of, or permit the occurrence of any other event with respect to, any present pension, profit sharing and deferred compensation plan (or permit any ERISA Affiliate to do the foregoing with respect to any such plan subject to Title IV of ERISA) which could reasonably be expected to result in any material liability of such Loan Party, including any material liability to the Pension Benefit Guaranty Corporation or its successors or any other governmental agency.</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7.11</w:t>
      </w:r>
    </w:p>
    <w:p>
      <w:pPr>
        <w:pStyle w:val="TextBody"/>
        <w:bidi w:val="0"/>
        <w:spacing w:before="0" w:after="240"/>
        <w:jc w:val="both"/>
        <w:rPr/>
      </w:pPr>
      <w:r>
        <w:rPr>
          <w:rFonts w:ascii="Times New Roman" w:hAnsi="Times New Roman"/>
          <w:color w:val="000000"/>
          <w:sz w:val="22"/>
          <w:u w:val="single"/>
        </w:rPr>
        <w:t>Restrictive Agreements</w:t>
      </w:r>
      <w:r>
        <w:rPr>
          <w:rFonts w:ascii="Times New Roman" w:hAnsi="Times New Roman"/>
          <w:color w:val="000000"/>
          <w:sz w:val="22"/>
        </w:rPr>
        <w:t xml:space="preserve">. Enter into or permit to exist any contractual obligation (other than this Agreement or any other Loan Document or any Bank Services Agreement) that (a) limits the ability (i) of any Subsidiary to pay any dividends or make any distribution or payment to, or redeem, retire or purchase any capital stock of, Borrower or to otherwise transfer property to or invest in Borrower, or (ii) of any Subsidiary to guarantee the Indebtedness of Borrower or grant a Lien on its assets in favor of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40</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Bank (subject to Permitted Liens); or (b) requires the grant of a Lien (other than a Permitted Lien) to secure an obligation of such Person if a Lien is granted to secure another obligation of such Person.</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7.12</w:t>
      </w:r>
    </w:p>
    <w:p>
      <w:pPr>
        <w:pStyle w:val="TextBody"/>
        <w:bidi w:val="0"/>
        <w:spacing w:before="0" w:after="240"/>
        <w:jc w:val="both"/>
        <w:rPr/>
      </w:pPr>
      <w:r>
        <w:rPr>
          <w:rFonts w:ascii="Times New Roman" w:hAnsi="Times New Roman"/>
          <w:color w:val="000000"/>
          <w:sz w:val="22"/>
          <w:u w:val="single"/>
        </w:rPr>
        <w:t>Sanctions</w:t>
      </w:r>
      <w:r>
        <w:rPr>
          <w:rFonts w:ascii="Times New Roman" w:hAnsi="Times New Roman"/>
          <w:color w:val="000000"/>
          <w:sz w:val="22"/>
        </w:rPr>
        <w:t>. Directly or indirectly, use the proceeds of the Credit Extensions, or lend, contribute or otherwise make available such proceeds to any Subsidiary, joint venture partner or other Person, (a) to fund any activities or business of or with any Person, or in any country or territory, that, at the time of such funding, is the target or subject of Sanctions or (b) in any other manner that would result in a violation of Sanctions by any Person (including any Person participating in the Credit Extensions, whether as issuing bank, lender, underwriter, advisor, investor or otherwise).</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7.13</w:t>
      </w:r>
    </w:p>
    <w:p>
      <w:pPr>
        <w:pStyle w:val="TextBody"/>
        <w:bidi w:val="0"/>
        <w:spacing w:before="0" w:after="240"/>
        <w:jc w:val="both"/>
        <w:rPr/>
      </w:pPr>
      <w:r>
        <w:rPr>
          <w:rFonts w:ascii="Times New Roman" w:hAnsi="Times New Roman"/>
          <w:color w:val="000000"/>
          <w:sz w:val="22"/>
          <w:u w:val="single"/>
        </w:rPr>
        <w:t>Anti-Bribery</w:t>
      </w:r>
      <w:r>
        <w:rPr>
          <w:rFonts w:ascii="Times New Roman" w:hAnsi="Times New Roman"/>
          <w:color w:val="000000"/>
          <w:sz w:val="22"/>
        </w:rPr>
        <w:t>. Use, directly or indirectly, any part of the proceeds of any Credit Extension for any payments that could constitute a violation of any applicable anti-bribery law.</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8</w:t>
      </w:r>
    </w:p>
    <w:p>
      <w:pPr>
        <w:pStyle w:val="TextBody"/>
        <w:bidi w:val="0"/>
        <w:spacing w:before="0" w:after="240"/>
        <w:jc w:val="both"/>
        <w:rPr/>
      </w:pPr>
      <w:r>
        <w:rPr>
          <w:rFonts w:ascii="Times New Roman" w:hAnsi="Times New Roman"/>
          <w:b/>
          <w:color w:val="000000"/>
          <w:sz w:val="22"/>
        </w:rPr>
        <w:t>Events of Default</w:t>
      </w:r>
      <w:r>
        <w:rPr>
          <w:rFonts w:ascii="Times New Roman" w:hAnsi="Times New Roman"/>
          <w:color w:val="000000"/>
          <w:sz w:val="22"/>
        </w:rPr>
        <w:t>.</w:t>
      </w:r>
    </w:p>
    <w:p>
      <w:pPr>
        <w:pStyle w:val="TextBody"/>
        <w:bidi w:val="0"/>
        <w:spacing w:before="0" w:after="160"/>
        <w:ind w:left="0" w:right="0" w:firstLine="720"/>
        <w:jc w:val="both"/>
        <w:rPr>
          <w:rFonts w:ascii="Times New Roman" w:hAnsi="Times New Roman"/>
          <w:color w:val="000000"/>
          <w:sz w:val="22"/>
        </w:rPr>
      </w:pPr>
      <w:r>
        <w:rPr>
          <w:rFonts w:ascii="Times New Roman" w:hAnsi="Times New Roman"/>
          <w:color w:val="000000"/>
          <w:sz w:val="22"/>
        </w:rPr>
        <w:t>Any one of the following shall constitute an event of default (an “Event of Default”) under this Agreement: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8.1</w:t>
      </w:r>
    </w:p>
    <w:p>
      <w:pPr>
        <w:pStyle w:val="TextBody"/>
        <w:bidi w:val="0"/>
        <w:spacing w:before="0" w:after="240"/>
        <w:jc w:val="both"/>
        <w:rPr/>
      </w:pPr>
      <w:r>
        <w:rPr>
          <w:rFonts w:ascii="Times New Roman" w:hAnsi="Times New Roman"/>
          <w:color w:val="000000"/>
          <w:sz w:val="22"/>
          <w:u w:val="single"/>
        </w:rPr>
        <w:t>Payment Default</w:t>
      </w:r>
      <w:r>
        <w:rPr>
          <w:rFonts w:ascii="Times New Roman" w:hAnsi="Times New Roman"/>
          <w:color w:val="000000"/>
          <w:sz w:val="22"/>
        </w:rPr>
        <w:t>. Any Loan Party fails to (a) make any payment of principal or interest on any Credit Extension when due, or (b) pay any other Obligations within three (3) Business Days after such Obligations are due and payable. During the cure period, the failure to make or pay any payment specified under clause (b) hereunder is not an Event of Default (but no Credit Extension will be made during the cure period);</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8.2</w:t>
      </w:r>
    </w:p>
    <w:p>
      <w:pPr>
        <w:pStyle w:val="TextBody"/>
        <w:bidi w:val="0"/>
        <w:spacing w:before="0" w:after="240"/>
        <w:jc w:val="both"/>
        <w:rPr/>
      </w:pPr>
      <w:r>
        <w:rPr>
          <w:rFonts w:ascii="Times New Roman" w:hAnsi="Times New Roman"/>
          <w:color w:val="000000"/>
          <w:sz w:val="22"/>
          <w:u w:val="single"/>
        </w:rPr>
        <w:t>Covenant Default</w:t>
      </w:r>
      <w:r>
        <w:rPr>
          <w:rFonts w:ascii="Times New Roman" w:hAnsi="Times New Roman"/>
          <w:color w:val="000000"/>
          <w:sz w:val="22"/>
        </w:rPr>
        <w: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Loan Party fails or neglects to perform any obligation in Sections 6.1(a) (with respect to maintaining a Loan Party’s existence), 6.2, 6.5, 6.7, 6.8, 6.9(b), 6.11, 6.12, 6.13, 6.14 or violates any covenant in Section 7; or</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Loan Party fails or neglects to perform, keep, or observe any other term, provision, condition, covenant or agreement contained in this Agreement or any other Loan Document or any Bank Services Agreement, and as to any default (other than those specified in Section 8.1 or Section 8.2(a)) under such other term, provision, condition, covenant or agreement that can be cured, has failed to cure the default within thirty (30) days after the occurrence thereof.</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8.3</w:t>
      </w:r>
    </w:p>
    <w:p>
      <w:pPr>
        <w:pStyle w:val="TextBody"/>
        <w:bidi w:val="0"/>
        <w:spacing w:before="0" w:after="240"/>
        <w:jc w:val="both"/>
        <w:rPr/>
      </w:pPr>
      <w:r>
        <w:rPr>
          <w:rFonts w:ascii="Times New Roman" w:hAnsi="Times New Roman"/>
          <w:color w:val="000000"/>
          <w:sz w:val="22"/>
          <w:u w:val="single"/>
        </w:rPr>
        <w:t>Material Adverse Change</w:t>
      </w:r>
      <w:r>
        <w:rPr>
          <w:rFonts w:ascii="Times New Roman" w:hAnsi="Times New Roman"/>
          <w:color w:val="000000"/>
          <w:sz w:val="22"/>
        </w:rPr>
        <w:t xml:space="preserve">. A Material Adverse Change occurs; </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8.4</w:t>
      </w:r>
    </w:p>
    <w:p>
      <w:pPr>
        <w:pStyle w:val="TextBody"/>
        <w:bidi w:val="0"/>
        <w:spacing w:before="0" w:after="240"/>
        <w:jc w:val="both"/>
        <w:rPr/>
      </w:pPr>
      <w:r>
        <w:rPr>
          <w:rFonts w:ascii="Times New Roman" w:hAnsi="Times New Roman"/>
          <w:color w:val="000000"/>
          <w:sz w:val="22"/>
          <w:u w:val="single"/>
        </w:rPr>
        <w:t>Attachment; Levy; Restraint on Business</w:t>
      </w:r>
      <w:r>
        <w:rPr>
          <w:rFonts w:ascii="Times New Roman" w:hAnsi="Times New Roman"/>
          <w:color w:val="000000"/>
          <w:sz w:val="22"/>
        </w:rPr>
        <w: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The service of process seeking to attach, by trustee or similar process, any funds of any Loan Party or of any Subsidiary in an amount, individually or in the aggregate, in excess of Fifty Thousand Dollars ($50,000.00), or (ii) a notice of lien or levy is filed against any of such Loan Party’s or any Subsidiary’s assets with a value, individually or in the aggregate, in excess of Fifty Thousand Dollars ($50,000.00) by any Governmental Authority, and the same under subclauses (i) and (ii) hereof are not, within ten (10) days after the occurrence thereof, discharged or stayed; provided, however, no Credit Extensions shall be made during any ten (10) day cure period; or</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any material portion of any Loan Party’s or any Subsidiary’s assets is attached, seized, levied on, or comes into possession of a trustee or receiver, or (ii) any court order enjoins, restrains, or prevents such Loan Party or any Subsidiary from conducting all or any material part of its business;</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41</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8.5</w:t>
      </w:r>
    </w:p>
    <w:p>
      <w:pPr>
        <w:pStyle w:val="TextBody"/>
        <w:bidi w:val="0"/>
        <w:spacing w:before="0" w:after="240"/>
        <w:jc w:val="both"/>
        <w:rPr/>
      </w:pPr>
      <w:r>
        <w:rPr>
          <w:rFonts w:ascii="Times New Roman" w:hAnsi="Times New Roman"/>
          <w:color w:val="000000"/>
          <w:sz w:val="22"/>
          <w:u w:val="single"/>
        </w:rPr>
        <w:t>Insolvency</w:t>
      </w:r>
      <w:r>
        <w:rPr>
          <w:rFonts w:ascii="Times New Roman" w:hAnsi="Times New Roman"/>
          <w:color w:val="000000"/>
          <w:sz w:val="22"/>
        </w:rPr>
        <w:t>. (a) Any Loan Party or any of its Subsidiaries is unable to pay its debts (including trade debts) as they become due or otherwise becomes insolvent as described in Section 5.5; (b) Borrower or any of its Subsidiaries begins an Insolvency Proceeding; or (c) an Insolvency Proceeding is begun against any Loan Party or any of its Subsidiaries and is not dismissed or stayed within forty-five (45) days (but no Credit Extensions shall be made while any of the conditions described in clause (a) exist and/or until any Insolvency Proceeding is dismissed);</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8.6</w:t>
      </w:r>
    </w:p>
    <w:p>
      <w:pPr>
        <w:pStyle w:val="TextBody"/>
        <w:bidi w:val="0"/>
        <w:spacing w:before="0" w:after="240"/>
        <w:jc w:val="both"/>
        <w:rPr/>
      </w:pPr>
      <w:r>
        <w:rPr>
          <w:rFonts w:ascii="Times New Roman" w:hAnsi="Times New Roman"/>
          <w:color w:val="000000"/>
          <w:sz w:val="22"/>
          <w:u w:val="single"/>
        </w:rPr>
        <w:t>Other Agreements</w:t>
      </w:r>
      <w:r>
        <w:rPr>
          <w:rFonts w:ascii="Times New Roman" w:hAnsi="Times New Roman"/>
          <w:color w:val="000000"/>
          <w:sz w:val="22"/>
        </w:rPr>
        <w:t>. There is, under any agreement to which any Loan Party or any Subsidiary is a party with a third party or parties, (a) any default resulting in a right by such third party or parties, whether or not exercised, to accelerate the maturity of any Indebtedness in an amount individually or in the aggregate in excess of Five Hundred Thousand Dollars ($500,000.00), or (b) any breach or default by Borrower, any of Borrower’s Subsidiaries, or Guarantor, the result of which could reasonably be expected to have a material adverse effect on Borrower’s, any of Borrower’s Subsidiaries’, or any Guarantor’s business or operations;</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8.7</w:t>
      </w:r>
    </w:p>
    <w:p>
      <w:pPr>
        <w:pStyle w:val="TextBody"/>
        <w:bidi w:val="0"/>
        <w:spacing w:before="0" w:after="240"/>
        <w:jc w:val="both"/>
        <w:rPr/>
      </w:pPr>
      <w:r>
        <w:rPr>
          <w:rFonts w:ascii="Times New Roman" w:hAnsi="Times New Roman"/>
          <w:color w:val="000000"/>
          <w:sz w:val="22"/>
          <w:u w:val="single"/>
        </w:rPr>
        <w:t>Judgments; Penalties</w:t>
      </w:r>
      <w:r>
        <w:rPr>
          <w:rFonts w:ascii="Times New Roman" w:hAnsi="Times New Roman"/>
          <w:color w:val="000000"/>
          <w:sz w:val="22"/>
        </w:rPr>
        <w:t>. One or more fines, penalties or final judgments, orders or decrees for the payment of money in an amount, individually or in the aggregate, of at least Five Hundred Thousand Dollars ($500,000.00) (not covered by independent third-party insurance as to which liability has been accepted by such insurance carrier) shall be rendered against any Loan Party or any Subsidiary by any Governmental Authority, and the same are not, within ten (10) days after the entry, assessment or issuance thereof, discharged or after execution thereof stayed pending appeal, or such judgments are not discharged prior to the expiration of any such stay (provided that no Credit Extensions will be made prior to the discharge or stay of such fine, penalty, judgment, order or decree);</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8.8</w:t>
      </w:r>
    </w:p>
    <w:p>
      <w:pPr>
        <w:pStyle w:val="TextBody"/>
        <w:bidi w:val="0"/>
        <w:spacing w:before="0" w:after="240"/>
        <w:jc w:val="both"/>
        <w:rPr/>
      </w:pPr>
      <w:r>
        <w:rPr>
          <w:rFonts w:ascii="Times New Roman" w:hAnsi="Times New Roman"/>
          <w:color w:val="000000"/>
          <w:sz w:val="22"/>
          <w:u w:val="single"/>
        </w:rPr>
        <w:t>Misrepresentations</w:t>
      </w:r>
      <w:r>
        <w:rPr>
          <w:rFonts w:ascii="Times New Roman" w:hAnsi="Times New Roman"/>
          <w:color w:val="000000"/>
          <w:sz w:val="22"/>
        </w:rPr>
        <w:t>. Any Loan Party has made any representation, warranty, or other statement in any Loan Document, any Bank Services Agreement or in any writing delivered to Bank, in order to induce Bank to enter this Agreement, any Loan Document or any Bank Services Agreement, and such representation, warranty, or other statement is incorrect in any material respect when made or deemed made;</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8.9</w:t>
      </w:r>
    </w:p>
    <w:p>
      <w:pPr>
        <w:pStyle w:val="TextBody"/>
        <w:bidi w:val="0"/>
        <w:spacing w:before="0" w:after="240"/>
        <w:jc w:val="both"/>
        <w:rPr/>
      </w:pPr>
      <w:r>
        <w:rPr>
          <w:rFonts w:ascii="Times New Roman" w:hAnsi="Times New Roman"/>
          <w:color w:val="000000"/>
          <w:sz w:val="22"/>
          <w:u w:val="single"/>
        </w:rPr>
        <w:t>Subordinated Debt</w:t>
      </w:r>
      <w:r>
        <w:rPr>
          <w:rFonts w:ascii="Times New Roman" w:hAnsi="Times New Roman"/>
          <w:color w:val="000000"/>
          <w:sz w:val="22"/>
        </w:rPr>
        <w:t>. Any subordination or intercreditor agreement with respect to any Subordinated Debt shall for any reason be revoked or invalidated or otherwise cease to be in full force and effect (in each case, other than in accordance with its terms), any Person (other than Bank) shall be in breach thereof or contest in any manner the validity or enforceability thereof or deny that it has any further liability or obligation thereunder, or the Obligations shall for any reason be subordinated or shall not have the priority contemplated by this Agreement or any applicable subordination or intercreditor agreement;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8.10</w:t>
      </w:r>
    </w:p>
    <w:p>
      <w:pPr>
        <w:pStyle w:val="TextBody"/>
        <w:bidi w:val="0"/>
        <w:spacing w:before="0" w:after="240"/>
        <w:jc w:val="both"/>
        <w:rPr/>
      </w:pPr>
      <w:r>
        <w:rPr>
          <w:rFonts w:ascii="Times New Roman" w:hAnsi="Times New Roman"/>
          <w:color w:val="000000"/>
          <w:sz w:val="22"/>
          <w:u w:val="single"/>
        </w:rPr>
        <w:t>Loan Documents</w:t>
      </w:r>
      <w:r>
        <w:rPr>
          <w:rFonts w:ascii="Times New Roman" w:hAnsi="Times New Roman"/>
          <w:color w:val="000000"/>
          <w:sz w:val="22"/>
        </w:rPr>
        <w:t>. Any Loan Document, or any material provision thereof, at any time after its execution and delivery and for any reason other than as expressly permitted hereunder or thereunder or satisfaction in full of all Obligations, ceases to be in full force and effect; or any Loan Party or any other Person contests in writing the validity or enforceability of any Loan Document or any Bank Services Agreement or, in either case, any provision thereof; or any Loan Party denies in writing that it has any or further liability or obligation under any Loan Document, or purports in writing to revoke, terminate or rescind any Loan Document;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8.11</w:t>
      </w:r>
    </w:p>
    <w:p>
      <w:pPr>
        <w:pStyle w:val="TextBody"/>
        <w:bidi w:val="0"/>
        <w:spacing w:before="0" w:after="240"/>
        <w:jc w:val="both"/>
        <w:rPr/>
      </w:pPr>
      <w:r>
        <w:rPr>
          <w:rFonts w:ascii="Times New Roman" w:hAnsi="Times New Roman"/>
          <w:color w:val="000000"/>
          <w:sz w:val="22"/>
          <w:u w:val="single"/>
        </w:rPr>
        <w:t>Change in Control</w:t>
      </w:r>
      <w:r>
        <w:rPr>
          <w:rFonts w:ascii="Times New Roman" w:hAnsi="Times New Roman"/>
          <w:color w:val="000000"/>
          <w:sz w:val="22"/>
        </w:rPr>
        <w:t xml:space="preserve">. The occurrence of a Change in Control; </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8.12</w:t>
      </w:r>
    </w:p>
    <w:p>
      <w:pPr>
        <w:pStyle w:val="TextBody"/>
        <w:bidi w:val="0"/>
        <w:spacing w:before="0" w:after="240"/>
        <w:jc w:val="both"/>
        <w:rPr/>
      </w:pPr>
      <w:r>
        <w:rPr>
          <w:rFonts w:ascii="Times New Roman" w:hAnsi="Times New Roman"/>
          <w:color w:val="000000"/>
          <w:sz w:val="22"/>
          <w:u w:val="single"/>
        </w:rPr>
        <w:t>Governmental Approvals and Healthcare Permits</w:t>
      </w:r>
      <w:r>
        <w:rPr>
          <w:rFonts w:ascii="Times New Roman" w:hAnsi="Times New Roman"/>
          <w:color w:val="000000"/>
          <w:sz w:val="22"/>
        </w:rPr>
        <w:t xml:space="preserve">. Any Governmental Approval or Healthcare Permit shall have been revoked, rescinded, suspended, modified in an adverse manner or not renewed, in each case, that would reasonably be expected to cause a Material Adverse Change;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42</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8.13</w:t>
      </w:r>
    </w:p>
    <w:p>
      <w:pPr>
        <w:pStyle w:val="TextBody"/>
        <w:bidi w:val="0"/>
        <w:spacing w:before="0" w:after="240"/>
        <w:jc w:val="both"/>
        <w:rPr/>
      </w:pPr>
      <w:r>
        <w:rPr>
          <w:rFonts w:ascii="Times New Roman" w:hAnsi="Times New Roman"/>
          <w:color w:val="000000"/>
          <w:sz w:val="22"/>
          <w:u w:val="single"/>
        </w:rPr>
        <w:t>Delisting</w:t>
      </w:r>
      <w:r>
        <w:rPr>
          <w:rFonts w:ascii="Times New Roman" w:hAnsi="Times New Roman"/>
          <w:color w:val="000000"/>
          <w:sz w:val="22"/>
        </w:rPr>
        <w:t>. The shares of common stock of Parent Guarantor are delisted from NASDAQ Global Select Market because of failure to comply with continued listing standards thereof or due to a voluntary delisting which results in such shares not being listed on any other nationally recognized exchange or market in the United States having listing standards at least as restrictive as NASDAQ Global Select Market.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9</w:t>
      </w:r>
    </w:p>
    <w:p>
      <w:pPr>
        <w:pStyle w:val="TextBody"/>
        <w:bidi w:val="0"/>
        <w:spacing w:before="0" w:after="240"/>
        <w:jc w:val="both"/>
        <w:rPr/>
      </w:pPr>
      <w:r>
        <w:rPr>
          <w:rFonts w:ascii="Times New Roman" w:hAnsi="Times New Roman"/>
          <w:b/>
          <w:color w:val="000000"/>
          <w:sz w:val="22"/>
        </w:rPr>
        <w:t>Bank’s Rights and Remedies</w:t>
      </w:r>
      <w:r>
        <w:rPr>
          <w:rFonts w:ascii="Times New Roman" w:hAnsi="Times New Roman"/>
          <w:color w:val="000000"/>
          <w:sz w:val="22"/>
        </w:rPr>
        <w: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9.1</w:t>
      </w:r>
    </w:p>
    <w:p>
      <w:pPr>
        <w:pStyle w:val="TextBody"/>
        <w:bidi w:val="0"/>
        <w:spacing w:before="0" w:after="240"/>
        <w:jc w:val="both"/>
        <w:rPr/>
      </w:pPr>
      <w:r>
        <w:rPr>
          <w:rFonts w:ascii="Times New Roman" w:hAnsi="Times New Roman"/>
          <w:color w:val="000000"/>
          <w:sz w:val="22"/>
          <w:u w:val="single"/>
        </w:rPr>
        <w:t>Rights and Remedies</w:t>
      </w:r>
      <w:r>
        <w:rPr>
          <w:rFonts w:ascii="Times New Roman" w:hAnsi="Times New Roman"/>
          <w:color w:val="000000"/>
          <w:sz w:val="22"/>
        </w:rPr>
        <w:t>. Upon the occurrence and during the continuance of an Event of Default, Bank may, without notice or demand, do any or all of the following:</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declare all Obligations to be immediately due and payable (but if an Event of Default described in Section 8.5 occurs all Obligations shall be automatically and immediately due and payable without any action by Bank);</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stop advancing money or extending credit for Borrower’s benefit under this Agreement or under any other agreement between Borrower and Bank;</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demand that Borrower (i) deposit cash with Bank in an amount equal to at least (A) one hundred five percent (105.0%) of the aggregate face amount of any letters of credit denominated in Dollars remaining undrawn, and (B) one hundred fifteen percent (115.0%) of the Dollar Equivalent of the aggregate face amount of any letters of credit denominated in a Foreign Currency remaining undrawn (plus, in each case, all interest, fees, and costs due or estimated by Bank to become due in connection therewith),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terminate any FX Contracts (it being understood and agreed that (i) Bank is not obligated to deliver the currency which Borrower has contracted to receive under any FX Contract, and Bank may cover its exposure for any FX Contracts by purchasing or selling currency in the interbank market as Bank deems appropriate; (ii) Borrower shall be liable for all losses, damages, costs, margin obligations and expenses incurred by Bank arising from Borrower’s failure to satisfy its obligations under any FX Contract or the execution of any FX Contract; and (iii) Bank shall not be liable to Borrower for any gain in value of a FX Contract that Bank may obtain in covering Borrower’s breach);</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make any payments and do any acts it considers necessary or reasonable to protect or preserve the Collateral and/or its security interest in the Collateral. The Loan Parties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Each Loan Party grants Bank a license to enter and occupy any of its premises, without charge, to exercise any of Bank’s rights or remedies;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apply to the Obligations any (i) balances and deposits of any Loan Party it or any of its Affiliates (including without limitation HSBC Bank USA, N.A.) holds, or (ii) amount held by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43</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Bank or any of its Affiliates (including without limitation HSBC Bank USA, N.A.) owing to or for the credit or the account of the Loan Parties;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ship, reclaim, recover, store, finish, maintain, repair, prepare for sale, advertise for sale, and sell the Collateral. For use solely upon the occurrence and during the continuation of an Event of Default,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9.1, each Loan Party’s rights under all licenses and all franchise agreements inure to Bank’s benefit;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place a “hold” on any account maintained with Bank or any of its Affiliates (including without limitation HSBC Bank USA, N.A.) and/or deliver a notice of exclusive control, any entitlement order, or other directions or instructions pursuant to any Control Agreement or similar agreements providing control of any Collateral (other than deposit accounts exclusively used for payroll, payroll taxes, and other employee wage and benefit payments to or for the benefit of the Loan Parties’ employees and identified to Bank by Borrower as such);</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demand and receive possession of the Books; and</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exercise all rights and remedies available to Bank under the Loan Documents or any Bank Services Agreement or at law or equity, including all remedies provided under the Code (including disposal of the Collateral pursuant to the terms thereof).</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9.2</w:t>
      </w:r>
    </w:p>
    <w:p>
      <w:pPr>
        <w:pStyle w:val="TextBody"/>
        <w:bidi w:val="0"/>
        <w:spacing w:before="0" w:after="240"/>
        <w:jc w:val="both"/>
        <w:rPr/>
      </w:pPr>
      <w:r>
        <w:rPr>
          <w:rFonts w:ascii="Times New Roman" w:hAnsi="Times New Roman"/>
          <w:color w:val="000000"/>
          <w:sz w:val="22"/>
          <w:u w:val="single"/>
        </w:rPr>
        <w:t>Power of Attorney</w:t>
      </w:r>
      <w:r>
        <w:rPr>
          <w:rFonts w:ascii="Times New Roman" w:hAnsi="Times New Roman"/>
          <w:color w:val="000000"/>
          <w:sz w:val="22"/>
        </w:rPr>
        <w:t>. Each Loan Party hereby irrevocably appoints Bank as its lawful attorney-in-fact, exercisable upon the occurrence and during the continuance of an Event of Default, to: (a) endorse such Loan Party’s name on any checks or other forms of payment or security; (b) sign such Loan Party’s name on any invoice or bill of lading for any Account or drafts against Account Debtors; (c) settle and adjust disputes and claims about the Accounts directly with Account Debtors; (d) make, settle, and adjust all claims under such Loan Party’s insurance policies; (e) pay, contest or settle any Lien, charge, encumbrance, security interest, and adverse claim in or to the Collateral, or any judgment based thereon, or otherwise take any action to terminate or discharge the same; and (f) transfer the Collateral into the name of Bank or a third party as the Code permits. Each Loan Party hereby appoints Bank as its lawful attorney-in-fact to sign such Loan Party’s name on any documents necessary to perfect or continue the perfection of Bank’s security interest in the Collateral regardless of whether an Event of Default has occurred until all Obligations (other than inchoate indemnity obligations, any other obligations which, by their terms, are to survive the termination of this Agreement, and any Obligations under Bank Services Agreements that are cash collateralized in accordance with Section 4.1 of this Agreement) have been satisfied in full and Bank is under no further obligation to make Credit Extensions hereunder. Bank’s foregoing appointment as such Loan Party’s attorney-in-fact, and all of Bank’s rights and powers, coupled with an interest, are irrevocable until all Obligations (other than inchoate indemnity obligations, any other obligations which, by their terms, are to survive the termination of this Agreement, and any Obligations under Bank Services Agreements that are cash collateralized in accordance with Section 4.1 of this Agreement) have been fully repaid and performed and Bank’s obligation to provide Credit Extensions terminates.</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9.3</w:t>
      </w:r>
    </w:p>
    <w:p>
      <w:pPr>
        <w:pStyle w:val="TextBody"/>
        <w:bidi w:val="0"/>
        <w:spacing w:before="0" w:after="240"/>
        <w:jc w:val="both"/>
        <w:rPr/>
      </w:pPr>
      <w:r>
        <w:rPr>
          <w:rFonts w:ascii="Times New Roman" w:hAnsi="Times New Roman"/>
          <w:color w:val="000000"/>
          <w:sz w:val="22"/>
          <w:u w:val="single"/>
        </w:rPr>
        <w:t>Protective Payments</w:t>
      </w:r>
      <w:r>
        <w:rPr>
          <w:rFonts w:ascii="Times New Roman" w:hAnsi="Times New Roman"/>
          <w:color w:val="000000"/>
          <w:sz w:val="22"/>
        </w:rPr>
        <w:t xml:space="preserve">. If any Loan Party fails to obtain the insurance called for by Section 6.7 or fails to pay any premium thereon or fails to pay any other amount which such Loan Party is obligated to pay under this Agreement or any other Loan Document or which may be required to protect or preserve the Collateral, Bank may obtain such insurance or make such payment, and all amounts so paid by Bank are Bank Expenses and immediately due and payable, bearing interest at the then highest rate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44</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applicable to the Obligations, and secured by the Collateral. Bank will make reasonable efforts to provide such Loan Party with notice of Bank obtaining such insurance at the time it is obtained or within a reasonable time thereafter. No payments by Bank are deemed an agreement to make similar payments in the future or Bank’s waiver of any Event of Default.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9.4</w:t>
      </w:r>
    </w:p>
    <w:p>
      <w:pPr>
        <w:pStyle w:val="TextBody"/>
        <w:bidi w:val="0"/>
        <w:spacing w:before="0" w:after="240"/>
        <w:jc w:val="both"/>
        <w:rPr/>
      </w:pPr>
      <w:r>
        <w:rPr>
          <w:rFonts w:ascii="Times New Roman" w:hAnsi="Times New Roman"/>
          <w:color w:val="000000"/>
          <w:sz w:val="22"/>
          <w:u w:val="single"/>
        </w:rPr>
        <w:t>Application of Payments and Proceeds Upon Default</w:t>
      </w:r>
      <w:r>
        <w:rPr>
          <w:rFonts w:ascii="Times New Roman" w:hAnsi="Times New Roman"/>
          <w:color w:val="000000"/>
          <w:sz w:val="22"/>
        </w:rPr>
        <w:t>. If an Event of Default has occurred and is continuing, Bank shall have the right to apply in any order any funds in its and its Affiliates’ possession and constituting Collateral (other than Excluded Accounts), whether from such Loan Party’s account balances, payments, proceeds realized as the result of any collection of Accounts or other disposition of the Collateral, or otherwise, to the Obligations. Bank shall pay any surplus to the Loan Parties by credit to the Designated Deposit Account or to other Persons legally entitled thereto; the Loan Parties shall remain liable to Bank for any deficiency. If Bank,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9.5</w:t>
      </w:r>
    </w:p>
    <w:p>
      <w:pPr>
        <w:pStyle w:val="TextBody"/>
        <w:bidi w:val="0"/>
        <w:spacing w:before="0" w:after="240"/>
        <w:jc w:val="both"/>
        <w:rPr/>
      </w:pPr>
      <w:r>
        <w:rPr>
          <w:rFonts w:ascii="Times New Roman" w:hAnsi="Times New Roman"/>
          <w:color w:val="000000"/>
          <w:sz w:val="22"/>
          <w:u w:val="single"/>
        </w:rPr>
        <w:t>Bank’s Liability for Collateral</w:t>
      </w:r>
      <w:r>
        <w:rPr>
          <w:rFonts w:ascii="Times New Roman" w:hAnsi="Times New Roman"/>
          <w:color w:val="000000"/>
          <w:sz w:val="22"/>
        </w:rPr>
        <w:t>. So long as Bank complies with reasonable banking practices regarding the safekeeping of the Collateral in the possession or under the control of Bank, Bank shall not be liable or responsible for: (a) the safekeeping of the Collateral; (b) any loss or damage to the Collateral; (c) any diminution in the value of the Collateral; or (d) any act or default of any carrier, warehouseman, bailee, or other Person. The Loan Parties bear all risk of loss, damage or destruction of the Collateral.</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9.6</w:t>
      </w:r>
    </w:p>
    <w:p>
      <w:pPr>
        <w:pStyle w:val="TextBody"/>
        <w:bidi w:val="0"/>
        <w:spacing w:before="0" w:after="240"/>
        <w:jc w:val="both"/>
        <w:rPr/>
      </w:pPr>
      <w:r>
        <w:rPr>
          <w:rFonts w:ascii="Times New Roman" w:hAnsi="Times New Roman"/>
          <w:color w:val="000000"/>
          <w:sz w:val="22"/>
          <w:u w:val="single"/>
        </w:rPr>
        <w:t>No Waiver; Remedies Cumulative</w:t>
      </w:r>
      <w:r>
        <w:rPr>
          <w:rFonts w:ascii="Times New Roman" w:hAnsi="Times New Roman"/>
          <w:color w:val="000000"/>
          <w:sz w:val="22"/>
        </w:rPr>
        <w:t>. Bank’s failure, at any time or times, to require strict performance by the Loan Parties of any provision of this Agreement or any other Loan Document or any Bank Services Agreement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the other Loan Documents and any Bank Services Agreement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9.7</w:t>
      </w:r>
    </w:p>
    <w:p>
      <w:pPr>
        <w:pStyle w:val="TextBody"/>
        <w:bidi w:val="0"/>
        <w:spacing w:before="0" w:after="240"/>
        <w:jc w:val="both"/>
        <w:rPr/>
      </w:pPr>
      <w:r>
        <w:rPr>
          <w:rFonts w:ascii="Times New Roman" w:hAnsi="Times New Roman"/>
          <w:color w:val="000000"/>
          <w:sz w:val="22"/>
          <w:u w:val="single"/>
        </w:rPr>
        <w:t>Demand Waiver</w:t>
      </w:r>
      <w:r>
        <w:rPr>
          <w:rFonts w:ascii="Times New Roman" w:hAnsi="Times New Roman"/>
          <w:color w:val="000000"/>
          <w:sz w:val="22"/>
        </w:rPr>
        <w:t>. Each Loan Party waives demand, notice of default or dishonor, notice of payment and nonpayment, notice of any default, nonpayment at maturity, release, compromise, settlement, extension, or renewal of accounts, documents, instruments, chattel paper, and guarantees held by Bank on which such Loan Party is liable.</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10</w:t>
      </w:r>
    </w:p>
    <w:p>
      <w:pPr>
        <w:pStyle w:val="TextBody"/>
        <w:bidi w:val="0"/>
        <w:spacing w:before="0" w:after="240"/>
        <w:jc w:val="both"/>
        <w:rPr/>
      </w:pPr>
      <w:r>
        <w:rPr>
          <w:rFonts w:ascii="Times New Roman" w:hAnsi="Times New Roman"/>
          <w:b/>
          <w:color w:val="000000"/>
          <w:sz w:val="22"/>
        </w:rPr>
        <w:t>Notices</w:t>
      </w:r>
      <w:r>
        <w:rPr>
          <w:rFonts w:ascii="Times New Roman" w:hAnsi="Times New Roman"/>
          <w:color w:val="000000"/>
          <w:sz w:val="22"/>
        </w:rPr>
        <w:t>.</w:t>
      </w:r>
    </w:p>
    <w:p>
      <w:pPr>
        <w:pStyle w:val="TextBody"/>
        <w:bidi w:val="0"/>
        <w:spacing w:before="0" w:after="160"/>
        <w:ind w:left="0" w:right="0" w:firstLine="720"/>
        <w:jc w:val="both"/>
        <w:rPr>
          <w:rFonts w:ascii="Times New Roman" w:hAnsi="Times New Roman"/>
          <w:color w:val="000000"/>
          <w:sz w:val="22"/>
        </w:rPr>
      </w:pPr>
      <w:r>
        <w:rPr>
          <w:rFonts w:ascii="Times New Roman" w:hAnsi="Times New Roman"/>
          <w:color w:val="000000"/>
          <w:sz w:val="22"/>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(c) one (1) Business Day after deposit with a reputable overnight courier with all charges prepaid; or (d) when delivered, if hand-delivered by messenger, all of which shall be addressed to the party to be notified and sent to the address or email address indicated below. Bank or any Loan Party may change its mailing or electronic mail address by giving the other party written notice thereof in accordance with the terms of this Section 10.</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45</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tbl>
      <w:tblPr>
        <w:tblW w:w="5957" w:type="dxa"/>
        <w:jc w:val="left"/>
        <w:tblInd w:w="0" w:type="dxa"/>
        <w:tblLayout w:type="fixed"/>
        <w:tblCellMar>
          <w:top w:w="28" w:type="dxa"/>
          <w:left w:w="28" w:type="dxa"/>
          <w:bottom w:w="28" w:type="dxa"/>
          <w:right w:w="28" w:type="dxa"/>
        </w:tblCellMar>
      </w:tblPr>
      <w:tblGrid>
        <w:gridCol w:w="2056"/>
        <w:gridCol w:w="3901"/>
      </w:tblGrid>
      <w:tr>
        <w:trPr/>
        <w:tc>
          <w:tcPr>
            <w:tcW w:w="2056"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If to any Loan Party:</w:t>
            </w:r>
          </w:p>
        </w:tc>
        <w:tc>
          <w:tcPr>
            <w:tcW w:w="39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ALX Oncology Inc.</w:t>
            </w:r>
          </w:p>
          <w:p>
            <w:pPr>
              <w:pStyle w:val="TableContents"/>
              <w:bidi w:val="0"/>
              <w:jc w:val="left"/>
              <w:rPr>
                <w:rFonts w:ascii="Times New Roman" w:hAnsi="Times New Roman"/>
                <w:color w:val="000000"/>
                <w:sz w:val="22"/>
              </w:rPr>
            </w:pPr>
            <w:r>
              <w:rPr>
                <w:rFonts w:ascii="Times New Roman" w:hAnsi="Times New Roman"/>
                <w:color w:val="000000"/>
                <w:sz w:val="22"/>
              </w:rPr>
              <w:t>323 Allerton Avenue</w:t>
            </w:r>
          </w:p>
          <w:p>
            <w:pPr>
              <w:pStyle w:val="TableContents"/>
              <w:bidi w:val="0"/>
              <w:jc w:val="left"/>
              <w:rPr>
                <w:rFonts w:ascii="Times New Roman" w:hAnsi="Times New Roman"/>
                <w:color w:val="000000"/>
                <w:sz w:val="22"/>
              </w:rPr>
            </w:pPr>
            <w:r>
              <w:rPr>
                <w:rFonts w:ascii="Times New Roman" w:hAnsi="Times New Roman"/>
                <w:color w:val="000000"/>
                <w:sz w:val="22"/>
              </w:rPr>
              <w:t>South San Francisco, CA 94080</w:t>
            </w:r>
          </w:p>
          <w:p>
            <w:pPr>
              <w:pStyle w:val="TableContents"/>
              <w:bidi w:val="0"/>
              <w:jc w:val="left"/>
              <w:rPr>
                <w:rFonts w:ascii="Times New Roman" w:hAnsi="Times New Roman"/>
                <w:color w:val="000000"/>
                <w:sz w:val="22"/>
              </w:rPr>
            </w:pPr>
            <w:r>
              <w:rPr>
                <w:rFonts w:ascii="Times New Roman" w:hAnsi="Times New Roman"/>
                <w:color w:val="000000"/>
                <w:sz w:val="22"/>
              </w:rPr>
              <w:t>Attn: Harish Shantharam; Shelly Wong</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Email: [***];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With a copy to:</w:t>
            </w:r>
          </w:p>
        </w:tc>
        <w:tc>
          <w:tcPr>
            <w:tcW w:w="39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Wilson Sonsini Goodrich &amp; Rosati, P.C.</w:t>
            </w:r>
          </w:p>
          <w:p>
            <w:pPr>
              <w:pStyle w:val="TableContents"/>
              <w:bidi w:val="0"/>
              <w:jc w:val="left"/>
              <w:rPr>
                <w:rFonts w:ascii="Times New Roman" w:hAnsi="Times New Roman"/>
                <w:color w:val="000000"/>
                <w:sz w:val="22"/>
              </w:rPr>
            </w:pPr>
            <w:r>
              <w:rPr>
                <w:rFonts w:ascii="Times New Roman" w:hAnsi="Times New Roman"/>
                <w:color w:val="000000"/>
                <w:sz w:val="22"/>
              </w:rPr>
              <w:t>650 Page Mill Road</w:t>
            </w:r>
          </w:p>
          <w:p>
            <w:pPr>
              <w:pStyle w:val="TableContents"/>
              <w:bidi w:val="0"/>
              <w:jc w:val="left"/>
              <w:rPr>
                <w:rFonts w:ascii="Times New Roman" w:hAnsi="Times New Roman"/>
                <w:color w:val="000000"/>
                <w:sz w:val="22"/>
              </w:rPr>
            </w:pPr>
            <w:r>
              <w:rPr>
                <w:rFonts w:ascii="Times New Roman" w:hAnsi="Times New Roman"/>
                <w:color w:val="000000"/>
                <w:sz w:val="22"/>
              </w:rPr>
              <w:t>Palo Alto, CA 94304</w:t>
            </w:r>
          </w:p>
          <w:p>
            <w:pPr>
              <w:pStyle w:val="TableContents"/>
              <w:bidi w:val="0"/>
              <w:jc w:val="left"/>
              <w:rPr>
                <w:rFonts w:ascii="Times New Roman" w:hAnsi="Times New Roman"/>
                <w:color w:val="000000"/>
                <w:sz w:val="22"/>
              </w:rPr>
            </w:pPr>
            <w:r>
              <w:rPr>
                <w:rFonts w:ascii="Times New Roman" w:hAnsi="Times New Roman"/>
                <w:color w:val="000000"/>
                <w:sz w:val="22"/>
              </w:rPr>
              <w:t>Attn: Kathleen Rothman</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Email: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If to Bank:</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HSBC Ventures USA Inc.</w:t>
              <w:br/>
              <w:t>Attn: CMB Lending Services</w:t>
              <w:br/>
              <w:t>Larkin U Building</w:t>
              <w:br/>
              <w:t>239 Van Rensselaer Street</w:t>
              <w:br/>
              <w:t>Buffalo, NY 14210</w:t>
              <w:br/>
              <w:t xml:space="preserve">Email: [***]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With a copy to:</w:t>
            </w:r>
          </w:p>
        </w:tc>
        <w:tc>
          <w:tcPr>
            <w:tcW w:w="39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Morrison &amp; Foerster LLP</w:t>
            </w:r>
          </w:p>
          <w:p>
            <w:pPr>
              <w:pStyle w:val="TableContents"/>
              <w:bidi w:val="0"/>
              <w:jc w:val="left"/>
              <w:rPr>
                <w:rFonts w:ascii="Times New Roman" w:hAnsi="Times New Roman"/>
                <w:color w:val="000000"/>
                <w:sz w:val="22"/>
              </w:rPr>
            </w:pPr>
            <w:r>
              <w:rPr>
                <w:rFonts w:ascii="Times New Roman" w:hAnsi="Times New Roman"/>
                <w:color w:val="000000"/>
                <w:sz w:val="22"/>
              </w:rPr>
              <w:t>200 Clarendon Street, Floor 21</w:t>
            </w:r>
          </w:p>
          <w:p>
            <w:pPr>
              <w:pStyle w:val="TableContents"/>
              <w:bidi w:val="0"/>
              <w:jc w:val="left"/>
              <w:rPr>
                <w:rFonts w:ascii="Times New Roman" w:hAnsi="Times New Roman"/>
                <w:color w:val="000000"/>
                <w:sz w:val="22"/>
              </w:rPr>
            </w:pPr>
            <w:r>
              <w:rPr>
                <w:rFonts w:ascii="Times New Roman" w:hAnsi="Times New Roman"/>
                <w:color w:val="000000"/>
                <w:sz w:val="22"/>
              </w:rPr>
              <w:t>Boston, MA 02116</w:t>
            </w:r>
          </w:p>
          <w:p>
            <w:pPr>
              <w:pStyle w:val="TableContents"/>
              <w:bidi w:val="0"/>
              <w:jc w:val="left"/>
              <w:rPr>
                <w:rFonts w:ascii="Times New Roman" w:hAnsi="Times New Roman"/>
                <w:color w:val="000000"/>
                <w:sz w:val="22"/>
              </w:rPr>
            </w:pPr>
            <w:r>
              <w:rPr>
                <w:rFonts w:ascii="Times New Roman" w:hAnsi="Times New Roman"/>
                <w:color w:val="000000"/>
                <w:sz w:val="22"/>
              </w:rPr>
              <w:t>Attn: David A. Ephraim, Esquire</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Email: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11</w:t>
      </w:r>
    </w:p>
    <w:p>
      <w:pPr>
        <w:pStyle w:val="TextBody"/>
        <w:bidi w:val="0"/>
        <w:spacing w:before="0" w:after="240"/>
        <w:jc w:val="both"/>
        <w:rPr/>
      </w:pPr>
      <w:r>
        <w:rPr>
          <w:rFonts w:ascii="Times New Roman" w:hAnsi="Times New Roman"/>
          <w:b/>
          <w:color w:val="000000"/>
          <w:sz w:val="22"/>
        </w:rPr>
        <w:t>Choice of Law, Venue, and Jury Trial Waiver</w:t>
      </w:r>
      <w:r>
        <w:rPr>
          <w:rFonts w:ascii="Times New Roman" w:hAnsi="Times New Roman"/>
          <w:color w:val="000000"/>
          <w:sz w:val="22"/>
        </w:rPr>
        <w:t>.</w:t>
      </w:r>
    </w:p>
    <w:p>
      <w:pPr>
        <w:pStyle w:val="TextBody"/>
        <w:bidi w:val="0"/>
        <w:spacing w:before="0" w:after="160"/>
        <w:ind w:left="0" w:right="0" w:firstLine="720"/>
        <w:jc w:val="both"/>
        <w:rPr>
          <w:rFonts w:ascii="Times New Roman" w:hAnsi="Times New Roman"/>
          <w:color w:val="000000"/>
          <w:sz w:val="22"/>
        </w:rPr>
      </w:pPr>
      <w:r>
        <w:rPr>
          <w:rFonts w:ascii="Times New Roman" w:hAnsi="Times New Roman"/>
          <w:color w:val="000000"/>
          <w:sz w:val="22"/>
        </w:rPr>
        <w:t>This Agreement and the other Loan Documents and any claim, controversy, dispute or cause of action (whether in contract, tort or otherwise) arising out of or relating thereto (except, as to any Loan Document, as expressly set forth therein) and the transactions contemplated by such documents shall be governed by, and construed in accordance with, the law of the State of New York, without regard to conflicts of law principles except Title 14 of Article 5 of the New York General Obligations law. Each of the parties hereto hereby irrevocably and unconditionally submits to the exclusive jurisdiction of the State and Federal courts of the State of New York in connection with any action, suit or other proceeding arising out of or relating to this Agreement or any action taken or omitted hereunder and waives any claim of forum non conveniens and any objections as to laying of venue. Nothing in this Agreement shall affect any right Bank may otherwise have to bring any action or proceeding relating to this Agreement or the other Loan Documents against any of the Loan Parties or its properties in the courts of any jurisdiction. Each Loan Party expressly, irrevocably and unconditionally submits and consents in advance to such jurisdiction in any action or suit commenced in any such court, and each Loan Party hereby irrevocably and unconditionally waives, to the fullest extent permitted by Applicable Law, any objection that it may have based upon lack of personal jurisdiction, improper venue, or forum non conveniens and hereby irrevocably and unconditionally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46</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160"/>
        <w:ind w:left="0" w:right="0" w:firstLine="720"/>
        <w:jc w:val="both"/>
        <w:rPr>
          <w:rFonts w:ascii="Times New Roman" w:hAnsi="Times New Roman"/>
          <w:b/>
          <w:color w:val="000000"/>
          <w:sz w:val="22"/>
        </w:rPr>
      </w:pPr>
      <w:r>
        <w:rPr>
          <w:rFonts w:ascii="Times New Roman" w:hAnsi="Times New Roman"/>
          <w:b/>
          <w:color w:val="000000"/>
          <w:sz w:val="22"/>
        </w:rPr>
        <w:t>TO THE FULLEST EXTENT PERMITTED BY APPLICABLE LAW, EACH LOAN PARTY AND BANK EACH WAIVE THEIR RIGHT TO A JURY TRIAL OF ANY CLAIM OR CAUSE OF ACTION ARISING OUT OF OR BASED UPON THIS AGREEMENT, THE LOAN DOCUMENTS OR ANY CONTEMPLATED TRANSACTION, INCLUDING CONTRACT, TORT, BREACH OF DUTY AND ALL OTHER CLAIMS. THIS WAIVER IS A MATERIAL INDUCEMENT FOR BOTH PARTIES TO ENTER INTO THIS AGREEMENT. EACH PARTY HAS REVIEWED THIS WAIVER WITH ITS COUNSEL.</w:t>
      </w:r>
    </w:p>
    <w:p>
      <w:pPr>
        <w:pStyle w:val="TextBody"/>
        <w:bidi w:val="0"/>
        <w:spacing w:before="0" w:after="160"/>
        <w:ind w:left="0" w:right="0" w:firstLine="720"/>
        <w:jc w:val="both"/>
        <w:rPr>
          <w:rFonts w:ascii="Times New Roman" w:hAnsi="Times New Roman"/>
          <w:color w:val="000000"/>
          <w:sz w:val="22"/>
        </w:rPr>
      </w:pPr>
      <w:r>
        <w:rPr>
          <w:rFonts w:ascii="Times New Roman" w:hAnsi="Times New Roman"/>
          <w:color w:val="000000"/>
          <w:sz w:val="22"/>
        </w:rPr>
        <w:t>Except as otherwise provided in any Loan Document, each Loan Party waives to the extent permitted by Applicable Law all rights and defenses (i) arising out of an election of remedies by Bank in accordance with the Loan Documents, even though that election of remedies, such as a nonjudicial foreclosure with respect to security for a guaranteed obligation, has destroyed such Loan Party’s rights of subrogation and reimbursement against any applicable Loan Party by the operation of Section 580 or 726 of the California Code of Civil Procedure or otherwise, and (ii) relating to any suretyship defenses available to it under the Code or any other Applicable Law, including, without limitation, the benefit of California Civil Code Section 2815 permitting revocation as to future transactions and the benefit of California Civil Code Sections 1432, 2787 through 2855, 2899 and 3433.</w:t>
      </w:r>
    </w:p>
    <w:p>
      <w:pPr>
        <w:pStyle w:val="TextBody"/>
        <w:bidi w:val="0"/>
        <w:spacing w:before="0" w:after="160"/>
        <w:ind w:left="0" w:right="0" w:firstLine="720"/>
        <w:jc w:val="both"/>
        <w:rPr>
          <w:rFonts w:ascii="Times New Roman" w:hAnsi="Times New Roman"/>
          <w:color w:val="000000"/>
          <w:sz w:val="22"/>
        </w:rPr>
      </w:pPr>
      <w:r>
        <w:rPr>
          <w:rFonts w:ascii="Times New Roman" w:hAnsi="Times New Roman"/>
          <w:color w:val="000000"/>
          <w:sz w:val="22"/>
        </w:rPr>
        <w:t>This Section 11 shall survive the termination of this Agreement.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Section 12</w:t>
      </w:r>
    </w:p>
    <w:p>
      <w:pPr>
        <w:pStyle w:val="TextBody"/>
        <w:bidi w:val="0"/>
        <w:spacing w:before="0" w:after="240"/>
        <w:jc w:val="both"/>
        <w:rPr/>
      </w:pPr>
      <w:r>
        <w:rPr>
          <w:rFonts w:ascii="Times New Roman" w:hAnsi="Times New Roman"/>
          <w:b/>
          <w:color w:val="000000"/>
          <w:sz w:val="22"/>
        </w:rPr>
        <w:t>General Provisions</w:t>
      </w:r>
      <w:r>
        <w:rPr>
          <w:rFonts w:ascii="Times New Roman" w:hAnsi="Times New Roman"/>
          <w:color w:val="000000"/>
          <w:sz w:val="22"/>
        </w:rPr>
        <w: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12.1</w:t>
      </w:r>
    </w:p>
    <w:p>
      <w:pPr>
        <w:pStyle w:val="TextBody"/>
        <w:bidi w:val="0"/>
        <w:spacing w:before="0" w:after="240"/>
        <w:jc w:val="both"/>
        <w:rPr/>
      </w:pPr>
      <w:r>
        <w:rPr>
          <w:rFonts w:ascii="Times New Roman" w:hAnsi="Times New Roman"/>
          <w:color w:val="000000"/>
          <w:sz w:val="22"/>
          <w:u w:val="single"/>
        </w:rPr>
        <w:t>Irish Limitation</w:t>
      </w:r>
      <w:r>
        <w:rPr>
          <w:rFonts w:ascii="Times New Roman" w:hAnsi="Times New Roman"/>
          <w:color w:val="000000"/>
          <w:sz w:val="22"/>
        </w:rPr>
        <w:t>: Notwithstanding anything to the contrary in this Agreement or the Loan Documents, the guarantees, obligations, liabilities and undertakings of any Irish Loan Party under any Loan Document shall be deemed not to be undertaken or incurred to the extent that the same would:</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constitute unlawful financial assistance prohibited by Section 82 of the Irish Companies Act; or</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constitute a breach of Section 239 of the Irish Companies Act,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provided that (in the case of both paragraphs (a) and/or (b) above), for the avoidance of doubt, to the extent that any such guarantees, obligations, liabilities and undertakings have been approved by the Summary Approval Procedure (as defined in the Irish Companies Act) they shall not constitute unlawful finance assistance under the said Section 82 or a breach of the said Section 239 (as applicable).</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12.2</w:t>
      </w:r>
    </w:p>
    <w:p>
      <w:pPr>
        <w:pStyle w:val="TextBody"/>
        <w:bidi w:val="0"/>
        <w:spacing w:before="0" w:after="240"/>
        <w:jc w:val="both"/>
        <w:rPr/>
      </w:pPr>
      <w:r>
        <w:rPr>
          <w:rFonts w:ascii="Times New Roman" w:hAnsi="Times New Roman"/>
          <w:color w:val="000000"/>
          <w:sz w:val="22"/>
          <w:u w:val="single"/>
        </w:rPr>
        <w:t>Termination Prior to Maturity Date; Survival</w:t>
      </w:r>
      <w:r>
        <w:rPr>
          <w:rFonts w:ascii="Times New Roman" w:hAnsi="Times New Roman"/>
          <w:color w:val="000000"/>
          <w:sz w:val="22"/>
        </w:rPr>
        <w:t>. All covenants, representations and warranties made in this Agreement shall continue in full force until this Agreement has terminated pursuant to its terms and all Obligations (other than inchoate indemnity obligations, any other obligations which, by their terms, are to survive the termination of this Agreement, and any Obligations under Bank Services Agreements that are cash collateralized in accordance with Section 4.1 of this Agreement) have been satisfied. So long as the Loan Parties have satisfied the Obligations (other than inchoate indemnity obligations, any other obligations which, by their terms, are to survive the termination of this Agreement, and any Obligations under Bank Services Agreements that are cash collateralized in accordance with Section 4.1 of this Agreement), this Agreement may be terminated prior to the Term Loan Maturity Date by Borrower, effective three (3) Business Days after written notice of termination is given to Bank (which such notice may be conditioned upon the consummation of a transaction constituting a Change in Control, other transformative transaction or a refinancing of the Obligations). Those obligations that are expressly specified in this Agreement as surviving this Agreement’s termination shall continue to survive notwithstanding this Agreement’s termination.</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47</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12.3</w:t>
      </w:r>
    </w:p>
    <w:p>
      <w:pPr>
        <w:pStyle w:val="TextBody"/>
        <w:bidi w:val="0"/>
        <w:spacing w:before="0" w:after="240"/>
        <w:jc w:val="both"/>
        <w:rPr/>
      </w:pPr>
      <w:r>
        <w:rPr>
          <w:rFonts w:ascii="Times New Roman" w:hAnsi="Times New Roman"/>
          <w:color w:val="000000"/>
          <w:sz w:val="22"/>
          <w:u w:val="single"/>
        </w:rPr>
        <w:t>Successors and Assigns</w:t>
      </w:r>
      <w:r>
        <w:rPr>
          <w:rFonts w:ascii="Times New Roman" w:hAnsi="Times New Roman"/>
          <w:color w:val="000000"/>
          <w:sz w:val="22"/>
        </w:rPr>
        <w:t>. This Agreement binds and is for the benefit of the successors and permitted assigns of each party. No Loan Party may assign this Agreement or any rights or obligations under it without Bank’s prior written consent (which may be granted or withheld in Bank’s discretion). Bank has the right, without the consent of any Loan Party, to sell, transfer, assign, negotiate, or grant participation in all or any part of, or any interest in, Bank’s obligations, rights, and benefits under this Agreement and the other Loan Documents. So long as no Event of Default is continuing, Bank shall provide Borrower with five (5) Business Days’ prior notice of any such assignment; provided that (a) the failure to provide such notice shall not affect the validity of such assignment or result in any liability of Bank and (b) no such notice shall be required in connection with any participation. Notwithstanding the above, Bank may at any time without notice to Borrower pledge or assign a security interest in all or any portion of its rights under this Agreement to secure obligations of Bank (or its Affiliates) including without limitation, any pledge or assignment to secure obligations to a Federal Reserve Bank in accordance with applicable law. Bank, acting solely for this purpose as an agent of Borrower, shall maintain a copy of each assignment or other transfer delivered to it and a register for the recordation of the names and addresses of the assignee(s), transferee(s), participant(s) or other recipient(s), and the commitments of, and principal amounts (and stated interest) of the Credit Extensions owing to, each such assignee, transferee, participant or other recipient pursuant to the terms hereof from time to time (the “Register”). The entries in the Register shall be conclusive absent manifest error, and Borrower and Bank shall treat each Person whose name is recorded in the Register pursuant to the terms hereof as a lender hereunder for all purposes of this Agreement. The Register shall be available for inspection by Borrower, Bank and any assignee, at any reasonable time and from time to time upon reasonable prior notice. This Section 12.3 shall be construed so that the Credit Extensions are at all times maintained in “registered form” within the meaning of Section 5f.103-1(c) or proposed Section 1.163-5(b) of the U.S. Treasury Regulations promulgated under the IRC. Each lender that sells a participation shall, acting solely for this purpose as a non-fiduciary agent of Borrower, maintain a register on which it enters the name and address of each participant and the principal amounts (and stated interest) of each participant’s interest in the loans or other obligations under the Loan Documents (the “Participant Register”); provided that no such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12.4</w:t>
      </w:r>
    </w:p>
    <w:p>
      <w:pPr>
        <w:pStyle w:val="TextBody"/>
        <w:bidi w:val="0"/>
        <w:spacing w:before="0" w:after="240"/>
        <w:jc w:val="both"/>
        <w:rPr/>
      </w:pPr>
      <w:r>
        <w:rPr>
          <w:rFonts w:ascii="Times New Roman" w:hAnsi="Times New Roman"/>
          <w:color w:val="000000"/>
          <w:sz w:val="22"/>
          <w:u w:val="single"/>
        </w:rPr>
        <w:t>Indemnification</w:t>
      </w:r>
      <w:r>
        <w:rPr>
          <w:rFonts w:ascii="Times New Roman" w:hAnsi="Times New Roman"/>
          <w:color w:val="000000"/>
          <w:sz w:val="22"/>
        </w:rPr>
        <w:t>. Each Loan Party agrees to indemnify, defend and hold Bank and its directors, officers, employees, agents, attorneys, or any other Person affiliated with or representing Bank (each, an “Indemnified Person”) harmless against: (a) all obligations, demands, claims, and liabilities (collectively, “Claims”) claimed or asserted by any other party under or in connection with the transactions contemplated by the Loan Documents and any Bank Services Agreement; and (b) all losses or expenses (including Bank Expenses) in any way suffered, incurred, or paid by such Indemnified Person as a result of, following from, or arising from transactions between Bank and any Loan Party (including reasonable attorneys’ fees and expenses) under or in connection with the Loan Documents and any Bank Services Agreement, except for Claims and/or losses directly (x) caused by any Indemnified Person’s gross negligence or willful misconduct as determined by a final and non-appealable decision of a court of competent jurisdiction or (y) resulting from a claim brought by a Loan Party against an Indemnified Person for any material breach of such Indemnified Person’s obligations hereunder or under another Loan Document, if such Loan Party has obtained a final and non-appealable judgment in its favor on such claim as determined by a court of competent jurisdiction. This Section 12.4 shall not apply with respect to Taxes other than any Taxes that represent losses or expenses arising from any non-Tax claim.</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48</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160"/>
        <w:ind w:left="0" w:right="0" w:firstLine="720"/>
        <w:jc w:val="both"/>
        <w:rPr>
          <w:rFonts w:ascii="Times New Roman" w:hAnsi="Times New Roman"/>
          <w:color w:val="000000"/>
          <w:sz w:val="22"/>
        </w:rPr>
      </w:pPr>
      <w:r>
        <w:rPr>
          <w:rFonts w:ascii="Times New Roman" w:hAnsi="Times New Roman"/>
          <w:color w:val="000000"/>
          <w:sz w:val="22"/>
        </w:rPr>
        <w:t>This Section 12.4 shall survive until all statutes of limitation with respect to the Claims, losses, and expenses for which indemnity is given shall have run.</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12.5</w:t>
      </w:r>
    </w:p>
    <w:p>
      <w:pPr>
        <w:pStyle w:val="TextBody"/>
        <w:bidi w:val="0"/>
        <w:spacing w:before="0" w:after="240"/>
        <w:jc w:val="both"/>
        <w:rPr/>
      </w:pPr>
      <w:r>
        <w:rPr>
          <w:rFonts w:ascii="Times New Roman" w:hAnsi="Times New Roman"/>
          <w:color w:val="000000"/>
          <w:sz w:val="22"/>
          <w:u w:val="single"/>
        </w:rPr>
        <w:t>Time of Essence</w:t>
      </w:r>
      <w:r>
        <w:rPr>
          <w:rFonts w:ascii="Times New Roman" w:hAnsi="Times New Roman"/>
          <w:color w:val="000000"/>
          <w:sz w:val="22"/>
        </w:rPr>
        <w:t>. Time is of the essence for the performance of all Obligations in this Agreement.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12.6</w:t>
      </w:r>
    </w:p>
    <w:p>
      <w:pPr>
        <w:pStyle w:val="TextBody"/>
        <w:bidi w:val="0"/>
        <w:spacing w:before="0" w:after="240"/>
        <w:jc w:val="both"/>
        <w:rPr/>
      </w:pPr>
      <w:r>
        <w:rPr>
          <w:rFonts w:ascii="Times New Roman" w:hAnsi="Times New Roman"/>
          <w:color w:val="000000"/>
          <w:sz w:val="22"/>
          <w:u w:val="single"/>
        </w:rPr>
        <w:t>Severability of Provisions</w:t>
      </w:r>
      <w:r>
        <w:rPr>
          <w:rFonts w:ascii="Times New Roman" w:hAnsi="Times New Roman"/>
          <w:color w:val="000000"/>
          <w:sz w:val="22"/>
        </w:rPr>
        <w:t>. Each provision of this Agreement is severable from every other provision in determining the enforceability of any provision.</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12.7</w:t>
      </w:r>
    </w:p>
    <w:p>
      <w:pPr>
        <w:pStyle w:val="TextBody"/>
        <w:bidi w:val="0"/>
        <w:spacing w:before="0" w:after="240"/>
        <w:jc w:val="both"/>
        <w:rPr/>
      </w:pPr>
      <w:r>
        <w:rPr>
          <w:rFonts w:ascii="Times New Roman" w:hAnsi="Times New Roman"/>
          <w:color w:val="000000"/>
          <w:sz w:val="22"/>
          <w:u w:val="single"/>
        </w:rPr>
        <w:t>Correction of Loan Documents</w:t>
      </w:r>
      <w:r>
        <w:rPr>
          <w:rFonts w:ascii="Times New Roman" w:hAnsi="Times New Roman"/>
          <w:color w:val="000000"/>
          <w:sz w:val="22"/>
        </w:rPr>
        <w:t>. Bank may, following prior written notice to Borrower, correct patent errors and fill in any blanks in the Loan Documents consistent with the agreement of the parties.</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12.8</w:t>
      </w:r>
    </w:p>
    <w:p>
      <w:pPr>
        <w:pStyle w:val="TextBody"/>
        <w:bidi w:val="0"/>
        <w:spacing w:before="0" w:after="240"/>
        <w:jc w:val="both"/>
        <w:rPr/>
      </w:pPr>
      <w:r>
        <w:rPr>
          <w:rFonts w:ascii="Times New Roman" w:hAnsi="Times New Roman"/>
          <w:color w:val="000000"/>
          <w:sz w:val="22"/>
          <w:u w:val="single"/>
        </w:rPr>
        <w:t>Amendments in Writing; Waiver; Integration</w:t>
      </w:r>
      <w:r>
        <w:rPr>
          <w:rFonts w:ascii="Times New Roman" w:hAnsi="Times New Roman"/>
          <w:color w:val="000000"/>
          <w:sz w:val="22"/>
        </w:rPr>
        <w:t>. No purported amendment or modification of any Loan Document, or waiver, discharge or termination of any obligation under any Loan Document, shall be enforceable or admissible unless, and only to the extent, expressly set forth in a writing signed by the party against which enforcement or admission is sought.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12.9</w:t>
      </w:r>
    </w:p>
    <w:p>
      <w:pPr>
        <w:pStyle w:val="TextBody"/>
        <w:bidi w:val="0"/>
        <w:spacing w:before="0" w:after="240"/>
        <w:jc w:val="both"/>
        <w:rPr/>
      </w:pPr>
      <w:r>
        <w:rPr>
          <w:rFonts w:ascii="Times New Roman" w:hAnsi="Times New Roman"/>
          <w:color w:val="000000"/>
          <w:sz w:val="22"/>
          <w:u w:val="single"/>
        </w:rPr>
        <w:t>Counterparts</w:t>
      </w:r>
      <w:r>
        <w:rPr>
          <w:rFonts w:ascii="Times New Roman" w:hAnsi="Times New Roman"/>
          <w:color w:val="000000"/>
          <w:sz w:val="22"/>
        </w:rPr>
        <w:t>. This Agreement may be executed in any number of counterparts and by different parties on separate counterparts, each of which, when executed and delivered, is an original, and all taken together, constitute one Agreement.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12.10</w:t>
      </w:r>
    </w:p>
    <w:p>
      <w:pPr>
        <w:pStyle w:val="TextBody"/>
        <w:bidi w:val="0"/>
        <w:spacing w:before="0" w:after="240"/>
        <w:jc w:val="both"/>
        <w:rPr/>
      </w:pPr>
      <w:r>
        <w:rPr>
          <w:rFonts w:ascii="Times New Roman" w:hAnsi="Times New Roman"/>
          <w:color w:val="000000"/>
          <w:sz w:val="22"/>
          <w:u w:val="single"/>
        </w:rPr>
        <w:t>Confidentiality</w:t>
      </w:r>
      <w:r>
        <w:rPr>
          <w:rFonts w:ascii="Times New Roman" w:hAnsi="Times New Roman"/>
          <w:color w:val="000000"/>
          <w:sz w:val="22"/>
        </w:rPr>
        <w:t>. In handling any confidential information regarding the Loan Parties and their respective Subsidiaries and their business, Bank shall exercise the same degree of care that it exercises for its own proprietary information, but disclosure of information may be made: (a) to Bank’s Subsidiaries or Affiliates (such Subsidiaries and Affiliates, together with Bank, collectively, “Bank Entities”) (provided that such Bank Entities have agreed to the terms of this provision or to terms substantially the same as those of this provision); (b) to prospective transferees or purchasers of any interest in the Credit Extensions (provided, however, Bank shall obtain any prospective transferee’s or purchaser’s agreement to the terms of this provision or to terms substantially the same as those of this provision); (c) as required by law, regulation, subpoena, or other order; (d) to Bank’s regulators or as otherwise required in connection with Bank’s examination or audit; (e) as Bank considers appropriate in exercising remedies under the Loan Documents; and (f) to third-party service providers of Bank so long as such service providers have executed a confidentiality agreement with Bank with terms no less restrictive than those contained herein. Confidential information does not include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 Bank Entities may use confidential information for the development of databases, reporting purposes, and market analysis so long as such confidential information is aggregated and anonymized prior to distribution unless otherwise expressly permitted by Borrower. The provisions of the immediately preceding sentence shall survive the termination of this Agreement.</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49</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12.11</w:t>
      </w:r>
    </w:p>
    <w:p>
      <w:pPr>
        <w:pStyle w:val="TextBody"/>
        <w:bidi w:val="0"/>
        <w:spacing w:before="0" w:after="240"/>
        <w:jc w:val="both"/>
        <w:rPr/>
      </w:pPr>
      <w:r>
        <w:rPr>
          <w:rFonts w:ascii="Times New Roman" w:hAnsi="Times New Roman"/>
          <w:color w:val="000000"/>
          <w:sz w:val="22"/>
          <w:u w:val="single"/>
        </w:rPr>
        <w:t>Taxes</w:t>
      </w:r>
      <w:r>
        <w:rPr>
          <w:rFonts w:ascii="Times New Roman" w:hAnsi="Times New Roman"/>
          <w:color w:val="000000"/>
          <w:sz w:val="22"/>
        </w:rPr>
        <w:t>.</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required by applicable law, any and all payments by any Loan Party under any Loan Document shall be made without deduction or withholding for any Taxes. If any applicable law requires the deduction or withholding of any Tax from any such payment by any Loan Party, then the applicable Loan Party shall be entitled to make such deduction or withholding and shall timely pay the full amount deducted or withheld to the relevant Governmental Authority in accordance with applicable law, and, if such Tax is imposed on or with respect to any payment made by or on account of any obligation of such Loan Party under any Loan Document or Other Taxes (an “Indemnified Tax”), then the sum payable by such Loan Party shall be increased as necessary so that after such deduction or withholding has been made (including such deductions and withholdings applicable to additional sums payable under this Section), Bank receives an amount equal to the sum it would have received had no such deduction or withholding been made; provided, however, that no participant shall be entitled to receive any greater payment under this Section 12.11(a) with respect to any participation than the participating or assigning Bank would have been entitled to receive, except to the extent such entitlement to receive a greater payment results from a Change in Law that occurs after the participant acquired the applicable participation. For purposes of this Section 12.11, the term “applicable law” includes FATCA. Notwithstanding anything in the Loan Documents, Indemnified Taxes shall not include Excluded Taxes.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Loan Party hereby indemnifies Bank, within ten (10) days after demand therefor, for the full amount of any Indemnified Taxes (including Indemnified Taxes imposed or asserted on or attributable to amounts payable under this Section) payable or paid by Bank or required to be withheld or deducted from a payment to Bank and any penalties, interest and reasonable expenses arising therefrom or with respect thereto, whether or not such Indemnified Taxes were correctly or legally imposed or asserted by the relevant Governmental Authority. Promptly upon having knowledge that any such Indemnified Taxes have been levied, imposed or assessed, and promptly upon notice by Bank, such Loan Party shall pay such Indemnified Taxes directly to the relevant taxing authority or Governmental Authority; provided that Bank shall not be under any obligation to provide any such notice to any Loan Party. A certificate as to the amount of such payment or liability delivered to Borrower by Bank shall be conclusive absent manifest error.</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Bank is entitled to an exemption from or reduction of withholding tax with respect to payments made under any Loan Document, at Borrower’s request Bank shall deliver to Borrower at the time or times reasonably requested by Borrower, such properly completed and executed documentation reasonably requested by Borrower as will permit such payments to be made without withholding or at a reduced rate of withholding. In addition, Bank, if reasonably requested by Borrower, shall deliver such other documentation prescribed by applicable law or reasonably requested by Borrower as will enable Borrower to determine whether or not Bank is subject to backup withholding or information reporting requirements. Each Person that becomes a successor, assignee or participant (or other transferee) of Bank pursuant to Section 12.3 shall, upon the effectiveness of the related transfer, be required to provide all the forms and statements required pursuant to this Section 12.11(c), as if it were “Bank” (it being understood that for participants the documentation required under this Section shall be delivered to the participating Bank). Without limiting the generality of the foregoing, Bank shall deliver whichever of IRS Form W-9, IRS Form W-8BEN-E, IRS Form W-8ECI or IRS Form W-8IMY is applicable, as well as any applicable supporting documentation or certifications. If any payment made under any Loan Document would be subject to U.S. federal withholding Tax imposed by FATCA if Bank were to fail to comply with the applicable reporting requirements of FATCA (including those contained in Section 1471(b) or 1472(b) of the IRC, as applicable), Bank shall deliver to the Borrower at the time or times prescribed by law and at such time or times reasonably requested by the Borrower such documentation prescribed by Applicable Law (including as prescribed by Section 1471(b)(3)(C)(i) of the IRC) and such additional documentation reasonably requested by the Borrower as may be necessary for the Borrower to comply with its obligations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50</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under FATCA and to determine that Bank has complied with Bank’s obligations under FATCA or to determine the amount, if any, to deduct and withhold from such payment. Solely for purposes of this paragraph (c), “FATCA” shall include any amendments made to FATCA after the date of this Agreement. Bank agrees that if any form or certification it previously delivered expires or becomes obsolete or inaccurate in any respect, it shall update such form or certification or promptly notify the Borrower in writing of its legal inability to do so.</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soon as practicable after any payment of Taxes by any Loan Party to a Governmental Authority pursuant to this Section, the applicable Loan Party shall deliver to Bank the original or a certified copy of a receipt issued by such Governmental Authority evidencing such payment, a copy of the return reporting such payment or other evidence of such payment reasonably satisfactory to Bank.</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Bank determines, in its sole discretion exercised in good faith, that it has received a refund of any Taxes as to which it has been indemnified pursuant to this Section 12.11 (including by the payment of additional amounts pursuant to this Section), it shall pay to Borrower an amount equal to such refund (but only to the extent of indemnity payments made under this Section with respect to the Taxes giving rise to such refund), net of all out-of-pocket expenses (including Taxes) of Bank and without interest (other than any interest paid by the relevant Governmental Authority with respect to such refund). Borrower, upon the request of Bank, shall repay to Bank the amount paid over pursuant to this paragraph (e) (plus any penalties, interest or other charges imposed by the relevant Governmental Authority) in the event that Bank is required to repay such refund to such Governmental Authority. Notwithstanding anything to the contrary in this paragraph (e), in no event will Bank be required to pay any amount to Borrower pursuant to this paragraph (e) the payment of which would place Bank in a less favorable net after-Tax position than Bank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Bank to make available its Tax returns (or any other information relating to its Taxes that it deems confidential) to Borrower or any other Person.</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party’s obligations under this Section shall survive any assignment of rights by, or the replacement of, Bank, the termination of the Credit Extensions and the repayment, satisfaction or discharge of all obligations under any Loan Document.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12.12</w:t>
      </w:r>
    </w:p>
    <w:p>
      <w:pPr>
        <w:pStyle w:val="TextBody"/>
        <w:bidi w:val="0"/>
        <w:spacing w:before="0" w:after="240"/>
        <w:jc w:val="both"/>
        <w:rPr/>
      </w:pPr>
      <w:r>
        <w:rPr>
          <w:rFonts w:ascii="Times New Roman" w:hAnsi="Times New Roman"/>
          <w:color w:val="000000"/>
          <w:sz w:val="22"/>
          <w:u w:val="single"/>
        </w:rPr>
        <w:t>Attorneys’ Fees, Costs and Expenses</w:t>
      </w:r>
      <w:r>
        <w:rPr>
          <w:rFonts w:ascii="Times New Roman" w:hAnsi="Times New Roman"/>
          <w:color w:val="000000"/>
          <w:sz w:val="22"/>
        </w:rPr>
        <w:t>. In any action or proceeding between any Loan Party and Bank arising out of or relating to the Loan Documents, Bank shall be entitled to recover its reasonable attorneys’ fees and other costs and expenses incurred, in addition to any other relief to which it may be entitled, including without limitation, in connection with any appeals, and the enforcement of any judgment or similar order.</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12.13</w:t>
      </w:r>
    </w:p>
    <w:p>
      <w:pPr>
        <w:pStyle w:val="TextBody"/>
        <w:bidi w:val="0"/>
        <w:spacing w:before="0" w:after="240"/>
        <w:jc w:val="both"/>
        <w:rPr/>
      </w:pPr>
      <w:r>
        <w:rPr>
          <w:rFonts w:ascii="Times New Roman" w:hAnsi="Times New Roman"/>
          <w:color w:val="000000"/>
          <w:sz w:val="22"/>
          <w:u w:val="single"/>
        </w:rPr>
        <w:t>Waiver of Consequential Damages, Etc</w:t>
      </w:r>
      <w:r>
        <w:rPr>
          <w:rFonts w:ascii="Times New Roman" w:hAnsi="Times New Roman"/>
          <w:color w:val="000000"/>
          <w:sz w:val="22"/>
        </w:rPr>
        <w:t xml:space="preserve">. To the fullest extent permitted by Applicable Law, the Borrower shall not assert, and hereby waives, any claim against Bank, or any Affiliate of Bank, any of their respective officers, directors, managers, employees, agents, attorneys or representatives, of any of the foregoing Persons (each such Person being called a “Protected Person”),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Protected Person shall be liable for any damages arising from the use by unintended recipients of any information or other materials distributed by it through telecommunications, electronic or other information transmission systems in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51</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connection with this Agreement or the other Loan Documents or the transactions contemplated hereby or thereby.</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12.14</w:t>
      </w:r>
    </w:p>
    <w:p>
      <w:pPr>
        <w:pStyle w:val="TextBody"/>
        <w:bidi w:val="0"/>
        <w:spacing w:before="0" w:after="240"/>
        <w:jc w:val="both"/>
        <w:rPr/>
      </w:pPr>
      <w:r>
        <w:rPr>
          <w:rFonts w:ascii="Times New Roman" w:hAnsi="Times New Roman"/>
          <w:color w:val="000000"/>
          <w:sz w:val="22"/>
          <w:u w:val="single"/>
        </w:rPr>
        <w:t>Electronic Execution of Documents</w:t>
      </w:r>
      <w:r>
        <w:rPr>
          <w:rFonts w:ascii="Times New Roman" w:hAnsi="Times New Roman"/>
          <w:color w:val="000000"/>
          <w:sz w:val="22"/>
        </w:rPr>
        <w:t>. The words “execution,” “signed,” “signature” and words of like import in any Loan Document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12.15</w:t>
      </w:r>
    </w:p>
    <w:p>
      <w:pPr>
        <w:pStyle w:val="TextBody"/>
        <w:bidi w:val="0"/>
        <w:spacing w:before="0" w:after="240"/>
        <w:jc w:val="both"/>
        <w:rPr/>
      </w:pPr>
      <w:r>
        <w:rPr>
          <w:rFonts w:ascii="Times New Roman" w:hAnsi="Times New Roman"/>
          <w:color w:val="000000"/>
          <w:sz w:val="22"/>
          <w:u w:val="single"/>
        </w:rPr>
        <w:t>Right of Setoff</w:t>
      </w:r>
      <w:r>
        <w:rPr>
          <w:rFonts w:ascii="Times New Roman" w:hAnsi="Times New Roman"/>
          <w:color w:val="000000"/>
          <w:sz w:val="22"/>
        </w:rPr>
        <w:t>. Each Loan Party hereby grants to Bank a Lien and a right of offset, whether by setoff, recoupment or otherwise (“Setoff”), as security for all Obligations to Bank, whether now existing or hereafter arising upon and against all deposits, credits, collateral and property, now or hereafter in the possession, custody, safekeeping or control of Bank or any entity under the control of or under common control with Bank (including HSBC Bank USA, N.A. and any other subsidiary or affiliate of Bank) or in transit to any of them. At any time after the occurrence and during the continuance of an Event of Default, without demand or notice, Bank may Setoff the same or any part thereof (other than amounts in deposit accounts exclusively used for payroll, payroll taxes, and other employee wage and benefit payments to or for the benefit of such Loan Party’s employees and identified to Bank by Borrower as such) and apply the same to any liability or Obligation of such Loan Party even though unmatured and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ANY LOAN PARTY, ARE HEREBY KNOWINGLY, VOLUNTARILY AND IRREVOCABLY WAIVED.</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12.16</w:t>
      </w:r>
    </w:p>
    <w:p>
      <w:pPr>
        <w:pStyle w:val="TextBody"/>
        <w:bidi w:val="0"/>
        <w:spacing w:before="0" w:after="240"/>
        <w:jc w:val="both"/>
        <w:rPr/>
      </w:pPr>
      <w:r>
        <w:rPr>
          <w:rFonts w:ascii="Times New Roman" w:hAnsi="Times New Roman"/>
          <w:color w:val="000000"/>
          <w:sz w:val="22"/>
          <w:u w:val="single"/>
        </w:rPr>
        <w:t>Appointment of Process Agent:</w:t>
      </w:r>
      <w:r>
        <w:rPr>
          <w:color w:val="000000"/>
        </w:rPr>
        <w:t xml:space="preserve"> </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The Irish Guarantor and each other Irish Loan Party (for the purposes of this Section 12.16 each an “</w:t>
      </w:r>
      <w:r>
        <w:rPr>
          <w:rFonts w:ascii="Times New Roman" w:hAnsi="Times New Roman"/>
          <w:b/>
          <w:color w:val="000000"/>
          <w:sz w:val="22"/>
        </w:rPr>
        <w:t>Appointing Party</w:t>
      </w:r>
      <w:r>
        <w:rPr>
          <w:color w:val="000000"/>
        </w:rPr>
        <w:t>”</w:t>
      </w:r>
      <w:r>
        <w:rPr>
          <w:rFonts w:ascii="Times New Roman" w:hAnsi="Times New Roman"/>
          <w:color w:val="000000"/>
          <w:sz w:val="22"/>
        </w:rPr>
        <w:t>) hereby appoints the Borrower to act as process agent (“</w:t>
      </w:r>
      <w:r>
        <w:rPr>
          <w:rFonts w:ascii="Times New Roman" w:hAnsi="Times New Roman"/>
          <w:b/>
          <w:color w:val="000000"/>
          <w:sz w:val="22"/>
        </w:rPr>
        <w:t>Process Agent</w:t>
      </w:r>
      <w:r>
        <w:rPr>
          <w:color w:val="000000"/>
        </w:rPr>
        <w:t>”</w:t>
      </w:r>
      <w:r>
        <w:rPr>
          <w:rFonts w:ascii="Times New Roman" w:hAnsi="Times New Roman"/>
          <w:color w:val="000000"/>
          <w:sz w:val="22"/>
        </w:rPr>
        <w:t>) to accept service of process issued out of any court in the State of New York in respect of any legal action or proceedings arising out of or in connection with any of the Loan Documents, or any ancillary documents or notices in relation to them.</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Upon receipt of any service of process issued out of any court in the State of New York addressed to an Appointing Party arising out of or in connection with any of the above documents, the Process Agent shall accept such service and promptly, and no later than three Business Days after the date of receipt, notify the relevant Appointing Party by international courier, certified U.S. mail, postage prepaid, or by electronic mail at the address for delivery or email address referred to in Section 10.</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Following such notification the Process Agent shall as soon as practicable, and no later than three Business Days after the date of receipt, confirm the acceptance of such service to the relevant Appointing Party by international courier, certified U.S. mail, postage prepaid, or by electronic mail enclosing the documents (or attaching a pdf scan of the same if sent by electronic mail) which the Process Agent has received in connection with service of process.</w:t>
      </w:r>
    </w:p>
    <w:p>
      <w:pPr>
        <w:pStyle w:val="TextBody"/>
        <w:bidi w:val="0"/>
        <w:spacing w:before="0" w:after="240"/>
        <w:ind w:left="0" w:right="0" w:firstLine="216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None of the Irish Guarantor, any Irish Loan Party or the Process Agent may terminate this appointment without having previously notified the Administrative Agent in writing of a new address for service within the jurisdiction of the courts of New York.</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52</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12.17</w:t>
      </w:r>
    </w:p>
    <w:p>
      <w:pPr>
        <w:pStyle w:val="TextBody"/>
        <w:bidi w:val="0"/>
        <w:spacing w:before="0" w:after="240"/>
        <w:jc w:val="both"/>
        <w:rPr/>
      </w:pPr>
      <w:r>
        <w:rPr>
          <w:rFonts w:ascii="Times New Roman" w:hAnsi="Times New Roman"/>
          <w:color w:val="000000"/>
          <w:sz w:val="22"/>
          <w:u w:val="single"/>
        </w:rPr>
        <w:t>Captions</w:t>
      </w:r>
      <w:r>
        <w:rPr>
          <w:rFonts w:ascii="Times New Roman" w:hAnsi="Times New Roman"/>
          <w:color w:val="000000"/>
          <w:sz w:val="22"/>
        </w:rPr>
        <w:t>. The headings used in this Agreement are for convenience only and shall not affect the interpretation of this Agreement.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12.18</w:t>
      </w:r>
    </w:p>
    <w:p>
      <w:pPr>
        <w:pStyle w:val="TextBody"/>
        <w:bidi w:val="0"/>
        <w:spacing w:before="0" w:after="240"/>
        <w:jc w:val="both"/>
        <w:rPr/>
      </w:pPr>
      <w:r>
        <w:rPr>
          <w:rFonts w:ascii="Times New Roman" w:hAnsi="Times New Roman"/>
          <w:color w:val="000000"/>
          <w:sz w:val="22"/>
          <w:u w:val="single"/>
        </w:rPr>
        <w:t>Construction of Agreement</w:t>
      </w:r>
      <w:r>
        <w:rPr>
          <w:rFonts w:ascii="Times New Roman" w:hAnsi="Times New Roman"/>
          <w:color w:val="000000"/>
          <w:sz w:val="22"/>
        </w:rPr>
        <w:t>. The parties mutually acknowledge that they and their attorneys have participated in the preparation and negotiation of this Agreement. In cases of uncertainty this Agreement shall be construed without regard to which of the parties caused the uncertainty to exist.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12.19</w:t>
      </w:r>
    </w:p>
    <w:p>
      <w:pPr>
        <w:pStyle w:val="TextBody"/>
        <w:bidi w:val="0"/>
        <w:spacing w:before="0" w:after="240"/>
        <w:jc w:val="both"/>
        <w:rPr/>
      </w:pPr>
      <w:r>
        <w:rPr>
          <w:rFonts w:ascii="Times New Roman" w:hAnsi="Times New Roman"/>
          <w:color w:val="000000"/>
          <w:sz w:val="22"/>
          <w:u w:val="single"/>
        </w:rPr>
        <w:t>Relationship</w:t>
      </w:r>
      <w:r>
        <w:rPr>
          <w:rFonts w:ascii="Times New Roman" w:hAnsi="Times New Roman"/>
          <w:color w:val="000000"/>
          <w:sz w:val="22"/>
        </w:rPr>
        <w:t>. The relationship of the parties to this Agreement is determined solely by the provisions of this Agreement. The parties do not intend to create any agency, partnership, joint venture, trust, fiduciary or other relationship with duties or incidents different from those of parties to an arm’s-length contract.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12.20</w:t>
      </w:r>
    </w:p>
    <w:p>
      <w:pPr>
        <w:pStyle w:val="TextBody"/>
        <w:bidi w:val="0"/>
        <w:spacing w:before="0" w:after="240"/>
        <w:jc w:val="both"/>
        <w:rPr/>
      </w:pPr>
      <w:r>
        <w:rPr>
          <w:rFonts w:ascii="Times New Roman" w:hAnsi="Times New Roman"/>
          <w:color w:val="000000"/>
          <w:sz w:val="22"/>
          <w:u w:val="single"/>
        </w:rPr>
        <w:t>Third Parties</w:t>
      </w:r>
      <w:r>
        <w:rPr>
          <w:rFonts w:ascii="Times New Roman" w:hAnsi="Times New Roman"/>
          <w:color w:val="000000"/>
          <w:sz w:val="22"/>
        </w:rPr>
        <w:t>. Nothing in this Agreement, whether express or implied, is intended to: (a) confer any benefits, rights or remedies under or 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12.21</w:t>
      </w:r>
    </w:p>
    <w:p>
      <w:pPr>
        <w:pStyle w:val="TextBody"/>
        <w:bidi w:val="0"/>
        <w:spacing w:before="0" w:after="240"/>
        <w:jc w:val="both"/>
        <w:rPr/>
      </w:pPr>
      <w:r>
        <w:rPr>
          <w:rFonts w:ascii="Times New Roman" w:hAnsi="Times New Roman"/>
          <w:color w:val="000000"/>
          <w:sz w:val="22"/>
          <w:u w:val="single"/>
        </w:rPr>
        <w:t>Patriot Act; Compliance with Sanctions</w:t>
      </w:r>
      <w:r>
        <w:rPr>
          <w:rFonts w:ascii="Times New Roman" w:hAnsi="Times New Roman"/>
          <w:color w:val="000000"/>
          <w:sz w:val="22"/>
        </w:rPr>
        <w:t>. Pursuant to the requirements of the Patriot Act, Borrower must provide information to Bank that enables it to verify identification information concerning Borrower, including the name and address of Borrower and other information that will allow Bank to identify Borrower in accordance with the Patriot Act.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12.22</w:t>
      </w:r>
    </w:p>
    <w:p>
      <w:pPr>
        <w:pStyle w:val="TextBody"/>
        <w:bidi w:val="0"/>
        <w:spacing w:before="0" w:after="240"/>
        <w:jc w:val="both"/>
        <w:rPr/>
      </w:pPr>
      <w:r>
        <w:rPr>
          <w:rFonts w:ascii="Times New Roman" w:hAnsi="Times New Roman"/>
          <w:color w:val="000000"/>
          <w:sz w:val="22"/>
          <w:u w:val="single"/>
        </w:rPr>
        <w:t>Marketing Consent</w:t>
      </w:r>
      <w:r>
        <w:rPr>
          <w:rFonts w:ascii="Times New Roman" w:hAnsi="Times New Roman"/>
          <w:color w:val="000000"/>
          <w:sz w:val="22"/>
        </w:rPr>
        <w:t>. Borrower hereby authorizes Bank, at its sole expense, but without any prior approval by Borrower, to publish such tombstones and give such other publicity to this Agreement as it may from time to time determine in its sole discretion. The foregoing authorization shall remain in effect unless and until Borrower notifies Bank in writing that such authorization is revoked.</w:t>
      </w:r>
    </w:p>
    <w:p>
      <w:pPr>
        <w:pStyle w:val="TextBody"/>
        <w:bidi w:val="0"/>
        <w:spacing w:before="0" w:after="240"/>
        <w:ind w:left="0" w:right="0" w:firstLine="720"/>
        <w:jc w:val="both"/>
        <w:rPr/>
      </w:pPr>
      <w:r>
        <w:rPr/>
        <w:t>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[Signature page follows.]</w:t>
      </w:r>
    </w:p>
    <w:p>
      <w:pPr>
        <w:pStyle w:val="TextBody"/>
        <w:bidi w:val="0"/>
        <w:spacing w:before="0" w:after="160"/>
        <w:jc w:val="left"/>
        <w:rPr/>
      </w:pPr>
      <w:r>
        <w:rPr/>
        <w:t>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53</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TextBody"/>
        <w:bidi w:val="0"/>
        <w:spacing w:before="0" w:after="160"/>
        <w:ind w:left="0" w:right="0" w:firstLine="720"/>
        <w:jc w:val="both"/>
        <w:rPr>
          <w:rFonts w:ascii="Times New Roman" w:hAnsi="Times New Roman"/>
          <w:sz w:val="20"/>
        </w:rPr>
      </w:pPr>
      <w:r>
        <w:rPr>
          <w:rFonts w:ascii="Times New Roman" w:hAnsi="Times New Roman"/>
          <w:color w:val="000000"/>
          <w:sz w:val="22"/>
        </w:rPr>
        <w:t>IN WITNESS WHEREOF, the parties hereto have caused this Agreement to be executed under seal as of the Effective Date.</w:t>
      </w:r>
      <w:r>
        <w:rPr>
          <w:rFonts w:ascii="Times New Roman" w:hAnsi="Times New Roman"/>
          <w:color w:val="000000"/>
          <w:sz w:val="20"/>
        </w:rPr>
        <w:t xml:space="preserve"> </w:t>
      </w:r>
    </w:p>
    <w:p>
      <w:pPr>
        <w:pStyle w:val="TextBody"/>
        <w:bidi w:val="0"/>
        <w:spacing w:before="0" w:after="160"/>
        <w:jc w:val="left"/>
        <w:rPr/>
      </w:pPr>
      <w:r>
        <w:rPr/>
        <w:t> </w:t>
      </w:r>
    </w:p>
    <w:tbl>
      <w:tblPr>
        <w:tblW w:w="4047" w:type="dxa"/>
        <w:jc w:val="left"/>
        <w:tblInd w:w="0" w:type="dxa"/>
        <w:tblLayout w:type="fixed"/>
        <w:tblCellMar>
          <w:top w:w="28" w:type="dxa"/>
          <w:left w:w="28" w:type="dxa"/>
          <w:bottom w:w="28" w:type="dxa"/>
          <w:right w:w="28" w:type="dxa"/>
        </w:tblCellMar>
      </w:tblPr>
      <w:tblGrid>
        <w:gridCol w:w="161"/>
        <w:gridCol w:w="3886"/>
      </w:tblGrid>
      <w:tr>
        <w:trPr/>
        <w:tc>
          <w:tcPr>
            <w:tcW w:w="161"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BORROWER: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ALX ONCOLOGY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By </w:t>
            </w:r>
            <w:r>
              <w:rPr>
                <w:rFonts w:ascii="Times New Roman" w:hAnsi="Times New Roman"/>
                <w:b/>
                <w:color w:val="000000"/>
                <w:sz w:val="22"/>
                <w:u w:val="single"/>
              </w:rPr>
              <w:t>/s/ Jason Lettmann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Jason Lettmann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GUARANTOR</w:t>
            </w:r>
            <w:r>
              <w:rPr>
                <w:rFonts w:ascii="Times New Roman" w:hAnsi="Times New Roman"/>
                <w:color w:val="000000"/>
                <w:sz w:val="22"/>
              </w:rPr>
              <w: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ALX ONCOLOGY HOLDINGS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By </w:t>
            </w:r>
            <w:r>
              <w:rPr>
                <w:rFonts w:ascii="Times New Roman" w:hAnsi="Times New Roman"/>
                <w:b/>
                <w:color w:val="000000"/>
                <w:sz w:val="22"/>
                <w:u w:val="single"/>
              </w:rPr>
              <w:t>/s/ Jason Lettmann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Jason Lettmann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ALX ONCOLOGY LIMITED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By </w:t>
            </w:r>
            <w:r>
              <w:rPr>
                <w:rFonts w:ascii="Times New Roman" w:hAnsi="Times New Roman"/>
                <w:b/>
                <w:color w:val="000000"/>
                <w:sz w:val="22"/>
                <w:u w:val="single"/>
              </w:rPr>
              <w:t>/s/ Jason Lettmann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Jason Lettmann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BANK:</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HSBC VENTURES USA INC.</w:t>
            </w:r>
            <w:r>
              <w:rPr>
                <w:rFonts w:ascii="Times New Roman" w:hAnsi="Times New Roman"/>
                <w:color w:val="000000"/>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By </w:t>
            </w:r>
            <w:r>
              <w:rPr>
                <w:rFonts w:ascii="Times New Roman" w:hAnsi="Times New Roman"/>
                <w:b/>
                <w:color w:val="000000"/>
                <w:sz w:val="22"/>
                <w:u w:val="single"/>
              </w:rPr>
              <w:t>/s/ Gracie Georgi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Gracie Georgi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Vice President</w:t>
            </w:r>
          </w:p>
        </w:tc>
      </w:tr>
    </w:tbl>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t> </w:t>
      </w:r>
    </w:p>
    <w:p>
      <w:pPr>
        <w:pStyle w:val="Heading1"/>
        <w:bidi w:val="0"/>
        <w:spacing w:before="0" w:after="160"/>
        <w:jc w:val="center"/>
        <w:rPr>
          <w:rFonts w:ascii="Times New Roman" w:hAnsi="Times New Roman"/>
          <w:caps/>
          <w:color w:val="000000"/>
          <w:sz w:val="22"/>
        </w:rPr>
      </w:pPr>
      <w:r>
        <w:rPr>
          <w:rFonts w:ascii="Times New Roman" w:hAnsi="Times New Roman"/>
          <w:caps/>
          <w:color w:val="000000"/>
          <w:sz w:val="22"/>
        </w:rPr>
        <w:t>EXHIBIT A</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COLLATERAL DESCRIPTION</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The Collateral consists of all of each Loan Party’s right, title and interest in and to the following personal property:</w:t>
      </w:r>
    </w:p>
    <w:p>
      <w:pPr>
        <w:pStyle w:val="TextBody"/>
        <w:bidi w:val="0"/>
        <w:spacing w:before="0" w:after="160"/>
        <w:ind w:left="0" w:right="0" w:firstLine="2160"/>
        <w:jc w:val="both"/>
        <w:rPr>
          <w:rFonts w:ascii="Times New Roman" w:hAnsi="Times New Roman"/>
          <w:color w:val="000000"/>
          <w:sz w:val="22"/>
        </w:rPr>
      </w:pPr>
      <w:r>
        <w:rPr>
          <w:rFonts w:ascii="Times New Roman" w:hAnsi="Times New Roman"/>
          <w:color w:val="000000"/>
          <w:sz w:val="22"/>
        </w:rPr>
        <w:t>(a) (i) 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securities accounts, securities entitlements and all other investment property, supporting obligations, and financial assets, whether now owned or hereafter acquired, wherever located; and (ii) all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pStyle w:val="TextBody"/>
        <w:bidi w:val="0"/>
        <w:spacing w:before="0" w:after="160"/>
        <w:ind w:left="0" w:right="0" w:firstLine="2160"/>
        <w:jc w:val="both"/>
        <w:rPr>
          <w:rFonts w:ascii="Times New Roman" w:hAnsi="Times New Roman"/>
          <w:color w:val="000000"/>
          <w:sz w:val="22"/>
        </w:rPr>
      </w:pPr>
      <w:r>
        <w:rPr>
          <w:rFonts w:ascii="Times New Roman" w:hAnsi="Times New Roman"/>
          <w:color w:val="000000"/>
          <w:sz w:val="22"/>
        </w:rPr>
        <w:t>(b) Notwithstanding the foregoing, the Collateral does not include (i) rights held under a license or other agreement that are not assignable by their terms without the consent of the licensor thereof or counterparty thereto (but only to the extent such restriction on assignment is enforceable under Applicable Law); (ii) any interest of a Loan Party as a lessee or sublessee under a real property lease; (iii) consents, authorizations, approvals, orders, licenses, franchises, permits, certificates, accreditations, registrations, filings or notice (collectively, “Approvals”) issued by or from any governmental or regulatory authority if granting a security interest or Lien thereon is prohibited or would expose a Loan Party to the risk of termination, revocation or any similar result with respect to such Approval; provided, however, that upon termination of such prohibition, such interest shall immediately become Collateral without any action by the Loan Parties or Bank; (iv) any interest of a Loan Party as a lessee under an Equipment lease if such Loan Party is prohibited by the terms of such lease from granting a security interest in such lease or the Equipment subject thereto or under which such an assignment or Lien would cause a default to occur under such lease; provided, however, that upon termination of such prohibition, such interest shall immediately become Collateral without any action by the Loan Parties or Bank; (v) any LC Collateral Account, or (vi)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each Loan Party that are proceeds of the Intellectual Property.</w:t>
      </w:r>
    </w:p>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0" w:name="alxo-ex31_1.htm"/>
      <w:bookmarkStart w:id="71" w:name="ksalxoex31_1"/>
      <w:bookmarkEnd w:id="70"/>
      <w:bookmarkEnd w:id="71"/>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Jason Lettmann,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ALX Oncology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pBdr/>
        <w:bidi w:val="0"/>
        <w:ind w:left="0" w:right="0" w:hanging="490"/>
        <w:jc w:val="left"/>
        <w:rPr/>
      </w:pPr>
      <w:r>
        <w:rPr/>
        <w:t> </w:t>
      </w:r>
    </w:p>
    <w:tbl>
      <w:tblPr>
        <w:tblW w:w="5654" w:type="dxa"/>
        <w:jc w:val="left"/>
        <w:tblInd w:w="0" w:type="dxa"/>
        <w:tblLayout w:type="fixed"/>
        <w:tblCellMar>
          <w:top w:w="28" w:type="dxa"/>
          <w:left w:w="28" w:type="dxa"/>
          <w:bottom w:w="28" w:type="dxa"/>
          <w:right w:w="28" w:type="dxa"/>
        </w:tblCellMar>
      </w:tblPr>
      <w:tblGrid>
        <w:gridCol w:w="1846"/>
        <w:gridCol w:w="146"/>
        <w:gridCol w:w="406"/>
        <w:gridCol w:w="325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Director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2" w:name="alxo-ex31_2.htm"/>
      <w:bookmarkStart w:id="73" w:name="ksalxoex31_2"/>
      <w:bookmarkEnd w:id="72"/>
      <w:bookmarkEnd w:id="73"/>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Harish Shantharam,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ALX Oncology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pBdr/>
        <w:bidi w:val="0"/>
        <w:ind w:left="0" w:right="0" w:hanging="490"/>
        <w:jc w:val="left"/>
        <w:rPr/>
      </w:pPr>
      <w:r>
        <w:rPr/>
        <w:t> </w:t>
      </w:r>
    </w:p>
    <w:tbl>
      <w:tblPr>
        <w:tblW w:w="4964" w:type="dxa"/>
        <w:jc w:val="left"/>
        <w:tblInd w:w="0" w:type="dxa"/>
        <w:tblLayout w:type="fixed"/>
        <w:tblCellMar>
          <w:top w:w="28" w:type="dxa"/>
          <w:left w:w="28" w:type="dxa"/>
          <w:bottom w:w="28" w:type="dxa"/>
          <w:right w:w="28" w:type="dxa"/>
        </w:tblCellMar>
      </w:tblPr>
      <w:tblGrid>
        <w:gridCol w:w="1846"/>
        <w:gridCol w:w="146"/>
        <w:gridCol w:w="406"/>
        <w:gridCol w:w="256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Harish Shantharam</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Harish Shantharam</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4" w:name="alxo-ex32_1.htm"/>
      <w:bookmarkStart w:id="75" w:name="ksalxoex32_1"/>
      <w:bookmarkEnd w:id="74"/>
      <w:bookmarkEnd w:id="75"/>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connection with the Quarterly Report of ALX Oncology Holdings Inc. (the “Company”), on Form 10-Q for the period ended June 30, 2026, as filed with the Securities and Exchange Commission on the date hereof (the “Report”), I certify, pursuant to 18 U.S.C. §1350, as adopted pursuant to section 906 of the Sarbanes-Oxley Act of 2002, that:</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654" w:type="dxa"/>
        <w:jc w:val="left"/>
        <w:tblInd w:w="0" w:type="dxa"/>
        <w:tblLayout w:type="fixed"/>
        <w:tblCellMar>
          <w:top w:w="28" w:type="dxa"/>
          <w:left w:w="28" w:type="dxa"/>
          <w:bottom w:w="28" w:type="dxa"/>
          <w:right w:w="28" w:type="dxa"/>
        </w:tblCellMar>
      </w:tblPr>
      <w:tblGrid>
        <w:gridCol w:w="1846"/>
        <w:gridCol w:w="146"/>
        <w:gridCol w:w="406"/>
        <w:gridCol w:w="325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Director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6" w:name="alxo-ex32_2.htm"/>
      <w:bookmarkStart w:id="77" w:name="ksalxoex32_2"/>
      <w:bookmarkEnd w:id="76"/>
      <w:bookmarkEnd w:id="77"/>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connection with the Quarterly Report of ALX Oncology Holdings Inc. (the “Company”), on Form 10-Q for the period ended June 30, 2026, as filed with the Securities and Exchange Commission on the date hereof (the “Report”), I certify, pursuant to 18 U.S.C. §1350, as adopted pursuant to section 906 of the Sarbanes-Oxley Act of 2002, that:</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pBdr/>
        <w:bidi w:val="0"/>
        <w:ind w:left="0" w:right="0" w:hanging="490"/>
        <w:jc w:val="left"/>
        <w:rPr/>
      </w:pPr>
      <w:r>
        <w:rPr/>
        <w:t> </w:t>
      </w:r>
    </w:p>
    <w:tbl>
      <w:tblPr>
        <w:tblW w:w="4964" w:type="dxa"/>
        <w:jc w:val="left"/>
        <w:tblInd w:w="0" w:type="dxa"/>
        <w:tblLayout w:type="fixed"/>
        <w:tblCellMar>
          <w:top w:w="28" w:type="dxa"/>
          <w:left w:w="28" w:type="dxa"/>
          <w:bottom w:w="28" w:type="dxa"/>
          <w:right w:w="28" w:type="dxa"/>
        </w:tblCellMar>
      </w:tblPr>
      <w:tblGrid>
        <w:gridCol w:w="1846"/>
        <w:gridCol w:w="146"/>
        <w:gridCol w:w="406"/>
        <w:gridCol w:w="256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Harish Shantharam</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Harish Shantharam</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106600</Words>
  <Characters>579394</Characters>
  <CharactersWithSpaces>685678</CharactersWithSpaces>
  <Paragraphs>8158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