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60121.htm"/>
      <w:bookmarkStart w:id="1" w:name="ksalxo2026012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January 21, 2026</w:t>
      </w:r>
    </w:p>
    <w:p>
      <w:pPr>
        <w:pStyle w:val="TextBody"/>
        <w:bidi w:val="0"/>
        <w:jc w:val="center"/>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b/>
          <w:color w:val="000000"/>
          <w:sz w:val="32"/>
        </w:rPr>
      </w:pPr>
      <w:r>
        <w:rPr>
          <w:rFonts w:ascii="Times New Roman" w:hAnsi="Times New Roman"/>
          <w:b/>
          <w:color w:val="000000"/>
          <w:sz w:val="32"/>
        </w:rPr>
        <w:t>REGISTRATION STATEMENT</w:t>
      </w:r>
    </w:p>
    <w:p>
      <w:pPr>
        <w:pStyle w:val="TextBody"/>
        <w:bidi w:val="0"/>
        <w:jc w:val="center"/>
        <w:rPr>
          <w:rFonts w:ascii="Times New Roman" w:hAnsi="Times New Roman"/>
          <w:b/>
          <w:i/>
          <w:color w:val="000000"/>
          <w:sz w:val="20"/>
        </w:rPr>
      </w:pPr>
      <w:r>
        <w:rPr>
          <w:rFonts w:ascii="Times New Roman" w:hAnsi="Times New Roman"/>
          <w:b/>
          <w:i/>
          <w:color w:val="000000"/>
          <w:sz w:val="20"/>
        </w:rPr>
        <w:t>Under</w:t>
      </w:r>
    </w:p>
    <w:p>
      <w:pPr>
        <w:pStyle w:val="TextBody"/>
        <w:bidi w:val="0"/>
        <w:spacing w:before="80" w:after="283"/>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3"/>
        </w:rPr>
      </w:pPr>
      <w:r>
        <w:rPr>
          <w:rFonts w:ascii="Times New Roman" w:hAnsi="Times New Roman"/>
          <w:b/>
          <w:color w:val="000000"/>
          <w:sz w:val="43"/>
        </w:rPr>
        <w:t>ALX ONCOLOGY HOLDINGS INC.</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3943" w:type="dxa"/>
        <w:jc w:val="left"/>
        <w:tblInd w:w="0" w:type="dxa"/>
        <w:tblLayout w:type="fixed"/>
        <w:tblCellMar>
          <w:top w:w="28" w:type="dxa"/>
          <w:left w:w="28" w:type="dxa"/>
          <w:bottom w:w="28" w:type="dxa"/>
          <w:right w:w="28" w:type="dxa"/>
        </w:tblCellMar>
      </w:tblPr>
      <w:tblGrid>
        <w:gridCol w:w="2866"/>
        <w:gridCol w:w="146"/>
        <w:gridCol w:w="93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Amended and Restated 2020 Equity Incentive Plan</w:t>
      </w:r>
    </w:p>
    <w:p>
      <w:pPr>
        <w:pStyle w:val="TextBody"/>
        <w:bidi w:val="0"/>
        <w:jc w:val="center"/>
        <w:rPr>
          <w:rFonts w:ascii="Times New Roman" w:hAnsi="Times New Roman"/>
          <w:b/>
          <w:color w:val="000000"/>
          <w:sz w:val="20"/>
        </w:rPr>
      </w:pPr>
      <w:r>
        <w:rPr>
          <w:rFonts w:ascii="Times New Roman" w:hAnsi="Times New Roman"/>
          <w:b/>
          <w:color w:val="000000"/>
          <w:sz w:val="20"/>
        </w:rPr>
        <w:t>2020 Employee Stock Purchase Plan</w:t>
      </w:r>
    </w:p>
    <w:p>
      <w:pPr>
        <w:pStyle w:val="TextBody"/>
        <w:bidi w:val="0"/>
        <w:jc w:val="center"/>
        <w:rPr>
          <w:rFonts w:ascii="Times New Roman" w:hAnsi="Times New Roman"/>
          <w:b/>
          <w:color w:val="000000"/>
          <w:sz w:val="20"/>
        </w:rPr>
      </w:pPr>
      <w:r>
        <w:rPr>
          <w:rFonts w:ascii="Times New Roman" w:hAnsi="Times New Roman"/>
          <w:b/>
          <w:color w:val="000000"/>
          <w:sz w:val="20"/>
        </w:rPr>
        <w:t>2025 Inducement Equity Incentive Plan</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(Full title of the plans)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Jason Lettmann</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extBody"/>
        <w:bidi w:val="0"/>
        <w:jc w:val="center"/>
        <w:rPr>
          <w:rFonts w:ascii="Times New Roman" w:hAnsi="Times New Roman"/>
          <w:b/>
          <w:color w:val="000000"/>
          <w:sz w:val="20"/>
        </w:rPr>
      </w:pPr>
      <w:r>
        <w:rPr>
          <w:rFonts w:ascii="Times New Roman" w:hAnsi="Times New Roman"/>
          <w:b/>
          <w:color w:val="000000"/>
          <w:sz w:val="20"/>
        </w:rPr>
        <w:t>South San Francisco, California 94080</w:t>
      </w:r>
    </w:p>
    <w:p>
      <w:pPr>
        <w:pStyle w:val="TextBody"/>
        <w:bidi w:val="0"/>
        <w:jc w:val="center"/>
        <w:rPr>
          <w:rFonts w:ascii="Times New Roman" w:hAnsi="Times New Roman"/>
          <w:b/>
          <w:color w:val="000000"/>
          <w:sz w:val="20"/>
        </w:rPr>
      </w:pPr>
      <w:r>
        <w:rPr>
          <w:rFonts w:ascii="Times New Roman" w:hAnsi="Times New Roman"/>
          <w:b/>
          <w:color w:val="000000"/>
          <w:sz w:val="20"/>
        </w:rPr>
        <w:t>(Name and address of agent for service)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650-466-7125</w:t>
      </w:r>
    </w:p>
    <w:p>
      <w:pPr>
        <w:pStyle w:val="TextBody"/>
        <w:bidi w:val="0"/>
        <w:jc w:val="center"/>
        <w:rPr>
          <w:rFonts w:ascii="Times New Roman" w:hAnsi="Times New Roman"/>
          <w:b/>
          <w:color w:val="000000"/>
          <w:sz w:val="20"/>
        </w:rPr>
      </w:pPr>
      <w:r>
        <w:rPr>
          <w:rFonts w:ascii="Times New Roman" w:hAnsi="Times New Roman"/>
          <w:b/>
          <w:color w:val="000000"/>
          <w:sz w:val="20"/>
        </w:rPr>
        <w:t>(Telephone number, including area code, of agent for service)</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Copies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Kenneth A. Clark</w:t>
      </w:r>
    </w:p>
    <w:p>
      <w:pPr>
        <w:pStyle w:val="TextBody"/>
        <w:bidi w:val="0"/>
        <w:jc w:val="center"/>
        <w:rPr>
          <w:rFonts w:ascii="Times New Roman" w:hAnsi="Times New Roman"/>
          <w:b/>
          <w:color w:val="000000"/>
          <w:sz w:val="20"/>
        </w:rPr>
      </w:pPr>
      <w:r>
        <w:rPr>
          <w:rFonts w:ascii="Times New Roman" w:hAnsi="Times New Roman"/>
          <w:b/>
          <w:color w:val="000000"/>
          <w:sz w:val="20"/>
        </w:rPr>
        <w:t>Michael E. Coke</w:t>
      </w:r>
    </w:p>
    <w:p>
      <w:pPr>
        <w:pStyle w:val="TextBody"/>
        <w:bidi w:val="0"/>
        <w:jc w:val="center"/>
        <w:rPr>
          <w:rFonts w:ascii="Times New Roman" w:hAnsi="Times New Roman"/>
          <w:b/>
          <w:color w:val="000000"/>
          <w:sz w:val="20"/>
        </w:rPr>
      </w:pPr>
      <w:r>
        <w:rPr>
          <w:rFonts w:ascii="Times New Roman" w:hAnsi="Times New Roman"/>
          <w:b/>
          <w:color w:val="000000"/>
          <w:sz w:val="20"/>
        </w:rPr>
        <w:t>Christina L. Poulsen</w:t>
      </w:r>
    </w:p>
    <w:p>
      <w:pPr>
        <w:pStyle w:val="TextBody"/>
        <w:bidi w:val="0"/>
        <w:jc w:val="center"/>
        <w:rPr>
          <w:rFonts w:ascii="Times New Roman" w:hAnsi="Times New Roman"/>
          <w:b/>
          <w:color w:val="000000"/>
          <w:sz w:val="20"/>
        </w:rPr>
      </w:pPr>
      <w:r>
        <w:rPr>
          <w:rFonts w:ascii="Times New Roman" w:hAnsi="Times New Roman"/>
          <w:b/>
          <w:color w:val="000000"/>
          <w:sz w:val="20"/>
        </w:rPr>
        <w:t>Wilson Sonsini Goodrich &amp; Rosati, P.C.</w:t>
      </w:r>
    </w:p>
    <w:p>
      <w:pPr>
        <w:pStyle w:val="TextBody"/>
        <w:bidi w:val="0"/>
        <w:jc w:val="center"/>
        <w:rPr>
          <w:rFonts w:ascii="Times New Roman" w:hAnsi="Times New Roman"/>
          <w:b/>
          <w:color w:val="000000"/>
          <w:sz w:val="20"/>
        </w:rPr>
      </w:pPr>
      <w:r>
        <w:rPr>
          <w:rFonts w:ascii="Times New Roman" w:hAnsi="Times New Roman"/>
          <w:b/>
          <w:color w:val="000000"/>
          <w:sz w:val="20"/>
        </w:rPr>
        <w:t>650 Page Mill Road</w:t>
      </w:r>
    </w:p>
    <w:p>
      <w:pPr>
        <w:pStyle w:val="TextBody"/>
        <w:bidi w:val="0"/>
        <w:jc w:val="center"/>
        <w:rPr>
          <w:rFonts w:ascii="Times New Roman" w:hAnsi="Times New Roman"/>
          <w:b/>
          <w:color w:val="000000"/>
          <w:sz w:val="20"/>
        </w:rPr>
      </w:pPr>
      <w:r>
        <w:rPr>
          <w:rFonts w:ascii="Times New Roman" w:hAnsi="Times New Roman"/>
          <w:b/>
          <w:color w:val="000000"/>
          <w:sz w:val="20"/>
        </w:rPr>
        <w:t>Palo Alto, California 94304</w:t>
      </w:r>
    </w:p>
    <w:p>
      <w:pPr>
        <w:pStyle w:val="TextBody"/>
        <w:bidi w:val="0"/>
        <w:jc w:val="center"/>
        <w:rPr>
          <w:rFonts w:ascii="Times New Roman" w:hAnsi="Times New Roman"/>
          <w:b/>
          <w:color w:val="000000"/>
          <w:sz w:val="20"/>
        </w:rPr>
      </w:pPr>
      <w:r>
        <w:rPr>
          <w:rFonts w:ascii="Times New Roman" w:hAnsi="Times New Roman"/>
          <w:b/>
          <w:color w:val="000000"/>
          <w:sz w:val="20"/>
        </w:rPr>
        <w:t>650-493-9300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2236"/>
        <w:gridCol w:w="146"/>
        <w:gridCol w:w="316"/>
        <w:gridCol w:w="146"/>
        <w:gridCol w:w="2026"/>
        <w:gridCol w:w="146"/>
        <w:gridCol w:w="5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(the “Registrant”) hereby incorporates by reference into this Registration Statement the following documents previously filed with the Securities and Exchange Commission (the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for the fiscal year ended December 31, 2024, filed with the Commission on March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reports filed pursuant to Section 13(a) or 15(d) of the Securities Exchange Act of 1934, as amended (the “Exchange Act”) since the end of the fiscal year covered by the Registrant’s Annual Report on Form 10-K referred to in (1) above (other than the portions of these documents not deemed to be filed);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color w:val="000000"/>
          <w:sz w:val="20"/>
        </w:rPr>
        <w:t xml:space="preserve">The description of the Registrant’s common stock contained in the Company’s Registration Statement on </w:t>
      </w:r>
      <w:hyperlink r:id="rId3">
        <w:r>
          <w:rPr>
            <w:rStyle w:val="InternetLink"/>
            <w:rFonts w:ascii="Times New Roman" w:hAnsi="Times New Roman"/>
            <w:color w:val="0000FF"/>
            <w:sz w:val="20"/>
            <w:u w:val="single"/>
          </w:rPr>
          <w:t>Form 8-A</w:t>
        </w:r>
      </w:hyperlink>
      <w:r>
        <w:rPr>
          <w:color w:val="000000"/>
        </w:rPr>
        <w:t xml:space="preserve"> </w:t>
      </w:r>
      <w:r>
        <w:rPr>
          <w:rFonts w:ascii="Times New Roman" w:hAnsi="Times New Roman"/>
          <w:color w:val="000000"/>
          <w:sz w:val="20"/>
        </w:rPr>
        <w:t>(File No. 001-39386) filed with the Commission on July 13, 2020, pursuant to Section 12(b) of the Exchange Act, including any amendment or report filed for the purpose of updating such description.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hAnsi="Times New Roman"/>
          <w:i/>
          <w:color w:val="000000"/>
          <w:sz w:val="20"/>
        </w:rPr>
        <w:t>provided, however,</w:t>
      </w:r>
      <w:r>
        <w:rPr>
          <w:rFonts w:ascii="Times New Roman" w:hAnsi="Times New Roman"/>
          <w:color w:val="000000"/>
          <w:sz w:val="20"/>
        </w:rPr>
        <w:t xml:space="preserve"> that documents or information deemed to have been furnished and not filed in accordance with the rules of the Commission shall not be deemed incorporated by reference into this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145 of the Delaware General Corporation Law authorizes a corporation’s board of directors to grant, and authorizes a court to award, indemnity to officers, directors, and other corporate agents, provided that the person acted in good faith and in a manner the person reasonably believed to be in the corporation’s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amendment to, or repeal of, these provisions will not eliminate or reduce the effect of these provisions in respect of any act, omission, or claim that occurred or arose prior to that amendment or repeal. If the Delaware General Corporation Law is amended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further limitations on the personal liability of directors or officers of corporations, then the personal liability of the Registrant’s directors and officers will be further limited to the greatest extent permitted by the Delaware General Corporation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Registrant’s amended and restated bylaws provide that the Registrant will indemnify, to the fullest extent permitted by law, any person who is or was a party or is threatened to be made a party to any action, suit, or proceeding by reason of the fact that they are or were one of the Registrant’s directors or officers or is or was serving at the Registrant’s request as a director, officer, employee or agent of another corporation, partnership, joint venture, trust or other enterprise, against expenses. The Registrant’s amended and restated bylaws also provide that the Registrant must advance expenses incurred by or on behalf of a director or officer in advance of the final disposition of any action or proceeding, subject to limited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an officer in any action by or in the right of the corporation. The Registrant’s amended and restated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as permitted by the Delaware General Corporation Law, the Registrant has entered into separate indemnification agreements with each of its directors and certain executive officers that may be broader than the specific indemnification provisions contained in the Delaware General Corporation Law. These indemnification agreements require the Registrant, among other things, to indemnify its directors and executive officers against certain liabilities that may arise by reason of their status or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has obtained insurance policies under which, within the limits and subject to the limitations of the policies, coverage is provided to the Registrant’s directors and executive officers against certain expenses in connection with the defense of, and certain liabilities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The coverage provided by these policies may apply whether or not the Registrant would have the power to indemnify such person against such liability under the provisions of the Delaware General Corporation Law.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indemnification provisions and the indemnification agreements entered into between the Registrant and the Registrant’s directors and executive officers may be sufficiently broad to permit indemnification of the Registrant’s directors and executive officers for liabilities (including reimbursement of expenses incurred) arising under the Securities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389"/>
        <w:gridCol w:w="146"/>
        <w:gridCol w:w="586"/>
        <w:gridCol w:w="146"/>
        <w:gridCol w:w="993"/>
        <w:gridCol w:w="146"/>
        <w:gridCol w:w="736"/>
        <w:gridCol w:w="146"/>
        <w:gridCol w:w="960"/>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6/26/2020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2020 Equity Incentive Plan and forms of agreements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7/13/2020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333-239490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7/13/2020</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8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2025 Inducement Equity Incentive Plan, as amended, and forms of agreement thereunder.</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1/21/2026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80"/>
                  <w:sz w:val="20"/>
                </w:rPr>
                <w:t>5.1</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pPr>
            <w:hyperlink w:anchor="alxo-ex5_1.htm">
              <w:r>
                <w:rPr>
                  <w:rStyle w:val="InternetLink"/>
                  <w:rFonts w:ascii="Times New Roman" w:hAnsi="Times New Roman"/>
                  <w:color w:val="0000FF"/>
                  <w:sz w:val="20"/>
                  <w:u w:val="single"/>
                </w:rPr>
                <w:t>Opinion of Wilson Sonsini Goodrich &amp; Rosati, P.C.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pPr>
            <w:hyperlink w:anchor="alxo-ex23_1.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pPr>
            <w:hyperlink w:anchor="alxo-ex5_1.htm">
              <w:r>
                <w:rPr>
                  <w:rStyle w:val="InternetLink"/>
                  <w:rFonts w:ascii="Times New Roman" w:hAnsi="Times New Roman"/>
                  <w:color w:val="0000FF"/>
                  <w:sz w:val="20"/>
                  <w:u w:val="single"/>
                </w:rPr>
                <w:t>Consent of Wilson Sonsini Goodrich &amp; Rosati, P.C. (included in Exhibit 5.1).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(contained on signature page 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tcBorders/>
            <w:tcMar>
              <w:top w:w="0" w:type="dxa"/>
              <w:left w:w="0" w:type="dxa"/>
              <w:bottom w:w="0" w:type="dxa"/>
              <w:right w:w="0" w:type="dxa"/>
            </w:tcMar>
            <w:vAlign w:val="center"/>
          </w:tcPr>
          <w:p>
            <w:pPr>
              <w:pStyle w:val="TableContents"/>
              <w:bidi w:val="0"/>
              <w:spacing w:before="0" w:after="283"/>
              <w:jc w:val="left"/>
              <w:rPr/>
            </w:pPr>
            <w:hyperlink w:anchor="alxo_exfiling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top w:val="single" w:sz="4" w:space="1" w:color="000000"/>
        </w:pBdr>
        <w:bidi w:val="0"/>
        <w:jc w:val="left"/>
        <w:rPr>
          <w:rFonts w:ascii="Times New Roman" w:hAnsi="Times New Roman"/>
          <w:color w:val="000000"/>
          <w:sz w:val="20"/>
        </w:rPr>
      </w:pPr>
      <w:r>
        <w:rPr>
          <w:rFonts w:ascii="Times New Roman" w:hAnsi="Times New Roman"/>
          <w:color w:val="000000"/>
          <w:sz w:val="20"/>
        </w:rPr>
        <w:t>*Filed herewith.</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rFonts w:ascii="Times New Roman" w:hAnsi="Times New Roman"/>
          <w:color w:val="000000"/>
          <w:sz w:val="20"/>
        </w:rPr>
      </w:pPr>
      <w:r>
        <w:rPr>
          <w:rFonts w:ascii="Times New Roman" w:hAnsi="Times New Roman"/>
          <w:color w:val="000000"/>
          <w:sz w:val="20"/>
        </w:rPr>
        <w:t>To include any prospectus required by Section 10(a)(3) of the Securities Act;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(iii)</w:t>
      </w:r>
    </w:p>
    <w:p>
      <w:pPr>
        <w:pStyle w:val="TextBody"/>
        <w:bidi w:val="0"/>
        <w:jc w:val="left"/>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Provided, however, </w:t>
      </w:r>
      <w:r>
        <w:rPr>
          <w:rFonts w:ascii="Times New Roman" w:hAnsi="Times New Roman"/>
          <w:color w:val="000000"/>
          <w:sz w:val="20"/>
        </w:rPr>
        <w:t>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will remove from registration by means of a post-effective amendment any of the securities being registered which remain unsold at the termination of the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ignatures"/>
      <w:bookmarkEnd w:id="2"/>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California, on the 21st day of January 2026.</w:t>
      </w:r>
    </w:p>
    <w:p>
      <w:pPr>
        <w:pStyle w:val="TextBody"/>
        <w:bidi w:val="0"/>
        <w:jc w:val="left"/>
        <w:rPr/>
      </w:pPr>
      <w:r>
        <w:rPr/>
        <w:t> </w:t>
      </w:r>
    </w:p>
    <w:tbl>
      <w:tblPr>
        <w:tblW w:w="3562" w:type="dxa"/>
        <w:jc w:val="left"/>
        <w:tblInd w:w="0" w:type="dxa"/>
        <w:tblLayout w:type="fixed"/>
        <w:tblCellMar>
          <w:top w:w="28" w:type="dxa"/>
          <w:left w:w="28" w:type="dxa"/>
          <w:bottom w:w="28" w:type="dxa"/>
          <w:right w:w="28" w:type="dxa"/>
        </w:tblCellMar>
      </w:tblPr>
      <w:tblGrid>
        <w:gridCol w:w="161"/>
        <w:gridCol w:w="146"/>
        <w:gridCol w:w="533"/>
        <w:gridCol w:w="272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7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272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3" w:name="power_of_attorney"/>
      <w:bookmarkEnd w:id="3"/>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Jason Lettmann and Harish Shantharam,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on Form S-8 has been signed by the following persons in the capacities and on the dates indicated:</w:t>
      </w:r>
    </w:p>
    <w:p>
      <w:pPr>
        <w:pStyle w:val="TextBody"/>
        <w:bidi w:val="0"/>
        <w:jc w:val="left"/>
        <w:rPr/>
      </w:pPr>
      <w:r>
        <w:rPr/>
        <w:t> </w:t>
      </w:r>
    </w:p>
    <w:tbl>
      <w:tblPr>
        <w:tblW w:w="10030" w:type="dxa"/>
        <w:jc w:val="left"/>
        <w:tblInd w:w="0" w:type="dxa"/>
        <w:tblLayout w:type="fixed"/>
        <w:tblCellMar>
          <w:top w:w="28" w:type="dxa"/>
          <w:left w:w="28" w:type="dxa"/>
          <w:bottom w:w="28" w:type="dxa"/>
          <w:right w:w="28" w:type="dxa"/>
        </w:tblCellMar>
      </w:tblPr>
      <w:tblGrid>
        <w:gridCol w:w="3166"/>
        <w:gridCol w:w="146"/>
        <w:gridCol w:w="5026"/>
        <w:gridCol w:w="146"/>
        <w:gridCol w:w="154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Jason Lettmann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Harish Shantharam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Finance and 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Shelly Pinto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Corey Goodman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Chairman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Corey Goodman,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Curran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Curran,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Garland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Garland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Rekha Hemrajani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Rekha Hemrajani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Sandler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Alan Sandler,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 Takimoto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21, 2026</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 Takimoto, M.D., Ph.D., F.A.C.P.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alxo-ex5_1.htm"/>
      <w:bookmarkStart w:id="5" w:name="ksalxoex5_1"/>
      <w:bookmarkStart w:id="6" w:name="alxo-ex5_1.htm"/>
      <w:bookmarkStart w:id="7" w:name="ksalxoex5_1"/>
      <w:bookmarkEnd w:id="6"/>
      <w:bookmarkEnd w:id="7"/>
      <w:r>
        <w:br w:type="page"/>
      </w:r>
    </w:p>
    <w:tbl>
      <w:tblPr>
        <w:tblW w:w="8874" w:type="dxa"/>
        <w:jc w:val="left"/>
        <w:tblInd w:w="0" w:type="dxa"/>
        <w:tblLayout w:type="fixed"/>
        <w:tblCellMar>
          <w:top w:w="28" w:type="dxa"/>
          <w:left w:w="28" w:type="dxa"/>
          <w:bottom w:w="28" w:type="dxa"/>
          <w:right w:w="28" w:type="dxa"/>
        </w:tblCellMar>
      </w:tblPr>
      <w:tblGrid>
        <w:gridCol w:w="3962"/>
        <w:gridCol w:w="4912"/>
      </w:tblGrid>
      <w:tr>
        <w:trPr/>
        <w:tc>
          <w:tcPr>
            <w:tcW w:w="3962" w:type="dxa"/>
            <w:tcBorders/>
            <w:vAlign w:val="center"/>
          </w:tcPr>
          <w:p>
            <w:pPr>
              <w:pStyle w:val="TableContents"/>
              <w:bidi w:val="0"/>
              <w:spacing w:before="0" w:after="283"/>
              <w:jc w:val="left"/>
              <w:rPr>
                <w:sz w:val="4"/>
                <w:szCs w:val="4"/>
              </w:rPr>
            </w:pPr>
            <w:r>
              <w:rPr>
                <w:sz w:val="4"/>
                <w:szCs w:val="4"/>
              </w:rPr>
            </w:r>
          </w:p>
        </w:tc>
        <w:tc>
          <w:tcPr>
            <w:tcW w:w="4912" w:type="dxa"/>
            <w:tcBorders/>
            <w:vAlign w:val="center"/>
          </w:tcPr>
          <w:p>
            <w:pPr>
              <w:pStyle w:val="TableContents"/>
              <w:bidi w:val="0"/>
              <w:spacing w:before="0" w:after="283"/>
              <w:jc w:val="left"/>
              <w:rPr>
                <w:sz w:val="4"/>
                <w:szCs w:val="4"/>
              </w:rPr>
            </w:pPr>
            <w:r>
              <w:rPr>
                <w:sz w:val="4"/>
                <w:szCs w:val="4"/>
              </w:rPr>
            </w:r>
          </w:p>
        </w:tc>
      </w:tr>
      <w:tr>
        <w:trPr/>
        <w:tc>
          <w:tcPr>
            <w:tcW w:w="3962"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ind w:left="0" w:right="0" w:firstLine="1941"/>
              <w:jc w:val="left"/>
              <w:rPr/>
            </w:pPr>
            <w:r>
              <w:rPr/>
              <w:drawing>
                <wp:inline distT="0" distB="0" distL="0" distR="0">
                  <wp:extent cx="1219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1219200" cy="457200"/>
                          </a:xfrm>
                          <a:prstGeom prst="rect">
                            <a:avLst/>
                          </a:prstGeom>
                        </pic:spPr>
                      </pic:pic>
                    </a:graphicData>
                  </a:graphic>
                </wp:inline>
              </w:drawing>
            </w:r>
          </w:p>
        </w:tc>
        <w:tc>
          <w:tcPr>
            <w:tcW w:w="4912" w:type="dxa"/>
            <w:tcBorders/>
            <w:tcMar>
              <w:top w:w="0" w:type="dxa"/>
              <w:left w:w="0" w:type="dxa"/>
              <w:bottom w:w="0" w:type="dxa"/>
              <w:right w:w="0" w:type="dxa"/>
            </w:tcMar>
            <w:vAlign w:val="center"/>
          </w:tcPr>
          <w:p>
            <w:pPr>
              <w:pStyle w:val="TableContents"/>
              <w:bidi w:val="0"/>
              <w:spacing w:before="120" w:after="283"/>
              <w:ind w:left="0" w:right="0" w:firstLine="1941"/>
              <w:jc w:val="left"/>
              <w:rPr/>
            </w:pPr>
            <w:r>
              <w:rPr/>
              <w:t> </w:t>
            </w:r>
          </w:p>
          <w:p>
            <w:pPr>
              <w:pStyle w:val="TableContents"/>
              <w:bidi w:val="0"/>
              <w:spacing w:before="120" w:after="283"/>
              <w:ind w:left="0" w:right="0" w:firstLine="1941"/>
              <w:jc w:val="left"/>
              <w:rPr>
                <w:rFonts w:ascii="Times New Roman" w:hAnsi="Times New Roman"/>
                <w:color w:val="000000"/>
                <w:sz w:val="20"/>
              </w:rPr>
            </w:pPr>
            <w:r>
              <w:rPr>
                <w:rFonts w:ascii="Times New Roman" w:hAnsi="Times New Roman"/>
                <w:color w:val="000000"/>
                <w:sz w:val="20"/>
              </w:rPr>
              <w:t>Wilson Sonsini Goodrich &amp; Rosati</w:t>
              <w:br/>
              <w:t>Professional Corporation</w:t>
            </w:r>
          </w:p>
          <w:p>
            <w:pPr>
              <w:pStyle w:val="TableContents"/>
              <w:bidi w:val="0"/>
              <w:spacing w:before="80" w:after="283"/>
              <w:ind w:left="0" w:right="0" w:firstLine="1941"/>
              <w:jc w:val="left"/>
              <w:rPr>
                <w:rFonts w:ascii="Times New Roman" w:hAnsi="Times New Roman"/>
                <w:color w:val="000000"/>
                <w:sz w:val="20"/>
              </w:rPr>
            </w:pPr>
            <w:r>
              <w:rPr>
                <w:rFonts w:ascii="Times New Roman" w:hAnsi="Times New Roman"/>
                <w:color w:val="000000"/>
                <w:sz w:val="20"/>
              </w:rPr>
              <w:t>650 Page Mill Road</w:t>
              <w:br/>
              <w:t>Palo Alto, California 94304-1050</w:t>
            </w:r>
          </w:p>
          <w:p>
            <w:pPr>
              <w:pStyle w:val="TableContents"/>
              <w:bidi w:val="0"/>
              <w:ind w:left="0" w:right="0" w:firstLine="1941"/>
              <w:jc w:val="left"/>
              <w:rPr/>
            </w:pPr>
            <w:r>
              <w:rPr/>
              <w:t> </w:t>
            </w:r>
          </w:p>
          <w:p>
            <w:pPr>
              <w:pStyle w:val="TableContents"/>
              <w:bidi w:val="0"/>
              <w:ind w:left="0" w:right="0" w:firstLine="1941"/>
              <w:jc w:val="left"/>
              <w:rPr>
                <w:rFonts w:ascii="Times New Roman" w:hAnsi="Times New Roman"/>
                <w:sz w:val="20"/>
              </w:rPr>
            </w:pPr>
            <w:r>
              <w:rPr>
                <w:rFonts w:ascii="Times New Roman" w:hAnsi="Times New Roman"/>
                <w:smallCaps/>
                <w:color w:val="000000"/>
                <w:sz w:val="20"/>
              </w:rPr>
              <w:t>o</w:t>
            </w:r>
            <w:r>
              <w:rPr>
                <w:rFonts w:ascii="Times New Roman" w:hAnsi="Times New Roman"/>
                <w:color w:val="000000"/>
                <w:sz w:val="20"/>
              </w:rPr>
              <w:t>: 650.493.9300</w:t>
            </w:r>
          </w:p>
          <w:p>
            <w:pPr>
              <w:pStyle w:val="TableContents"/>
              <w:bidi w:val="0"/>
              <w:spacing w:before="0" w:after="283"/>
              <w:ind w:left="0" w:right="0" w:firstLine="1941"/>
              <w:jc w:val="left"/>
              <w:rPr>
                <w:rFonts w:ascii="Times New Roman" w:hAnsi="Times New Roman"/>
                <w:sz w:val="20"/>
              </w:rPr>
            </w:pPr>
            <w:r>
              <w:rPr>
                <w:rFonts w:ascii="Times New Roman" w:hAnsi="Times New Roman"/>
                <w:smallCaps/>
                <w:color w:val="000000"/>
                <w:sz w:val="20"/>
              </w:rPr>
              <w:t>f</w:t>
            </w:r>
            <w:r>
              <w:rPr>
                <w:rFonts w:ascii="Times New Roman" w:hAnsi="Times New Roman"/>
                <w:color w:val="000000"/>
                <w:sz w:val="20"/>
              </w:rPr>
              <w:t>: 650.493.6811</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January 21,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ALX Oncology Holdings Inc.</w:t>
      </w:r>
    </w:p>
    <w:p>
      <w:pPr>
        <w:pStyle w:val="TextBody"/>
        <w:bidi w:val="0"/>
        <w:jc w:val="left"/>
        <w:rPr>
          <w:rFonts w:ascii="Times New Roman" w:hAnsi="Times New Roman"/>
          <w:color w:val="000000"/>
          <w:sz w:val="22"/>
        </w:rPr>
      </w:pPr>
      <w:r>
        <w:rPr>
          <w:rFonts w:ascii="Times New Roman" w:hAnsi="Times New Roman"/>
          <w:color w:val="000000"/>
          <w:sz w:val="22"/>
        </w:rPr>
        <w:t>323 Allerton Avenue</w:t>
      </w:r>
    </w:p>
    <w:p>
      <w:pPr>
        <w:pStyle w:val="TextBody"/>
        <w:bidi w:val="0"/>
        <w:jc w:val="left"/>
        <w:rPr>
          <w:rFonts w:ascii="Times New Roman" w:hAnsi="Times New Roman"/>
          <w:color w:val="000000"/>
          <w:sz w:val="22"/>
        </w:rPr>
      </w:pPr>
      <w:r>
        <w:rPr>
          <w:rFonts w:ascii="Times New Roman" w:hAnsi="Times New Roman"/>
          <w:color w:val="000000"/>
          <w:sz w:val="22"/>
        </w:rPr>
        <w:t>South San Francisco, California 94080</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Re: Registration Statement on Form S</w:t>
        <w:noBreakHyphen/>
        <w:t>8</w:t>
      </w:r>
    </w:p>
    <w:p>
      <w:pPr>
        <w:pStyle w:val="TextBody"/>
        <w:bidi w:val="0"/>
        <w:spacing w:before="240" w:after="283"/>
        <w:jc w:val="left"/>
        <w:rPr>
          <w:rFonts w:ascii="Times New Roman" w:hAnsi="Times New Roman"/>
          <w:sz w:val="20"/>
        </w:rPr>
      </w:pPr>
      <w:r>
        <w:rPr>
          <w:rFonts w:ascii="Times New Roman" w:hAnsi="Times New Roman"/>
          <w:color w:val="000000"/>
          <w:sz w:val="22"/>
        </w:rPr>
        <w:t>Ladies and Gentlemen: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have examined the Registration Statement on Form S-8 (the “Registration Statement”) to be filed by ALX Oncology Holdings Inc., a Delaware corporation (the “Company”), with the Securities and Exchange Commission (the “Commission”) on or about the date hereof, relating to the registration under the Securities Act of 1933, as amended (the “Act”), of (i) 2,175,521 shares of common stock, par value $0.001 per share (“Common Stock”), reserved for issuance pursuant to the Company’s Amended and Restated 2020 Equity Incentive Plan, (ii) 543,880 shares of Common Stock reserved for issuance pursuant to the Company’s 2020 Employee Stock Purchase Plan, as amended and (iii) 1,300,000 shares of Common Stock reserved for issuance pursuant to the Company’s 2025 Inducement Equity Incentive Plan, as amended (which plans are referred to herein as the “Plans” and which shares of Common Stock are referred to herein as the “Shares”).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Very truly yours,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WILSON SONSINI GOODRICH &amp; ROSATI</w:t>
      </w:r>
    </w:p>
    <w:p>
      <w:pPr>
        <w:pStyle w:val="TextBody"/>
        <w:bidi w:val="0"/>
        <w:jc w:val="both"/>
        <w:rPr>
          <w:rFonts w:ascii="Times New Roman" w:hAnsi="Times New Roman"/>
          <w:color w:val="000000"/>
          <w:sz w:val="22"/>
        </w:rPr>
      </w:pPr>
      <w:r>
        <w:rPr>
          <w:rFonts w:ascii="Times New Roman" w:hAnsi="Times New Roman"/>
          <w:color w:val="000000"/>
          <w:sz w:val="22"/>
        </w:rPr>
        <w:t>Professional Corporation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Wilson Sonsini Goodrich &amp; Rosati, P.C.</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alxo-ex23_1.htm"/>
      <w:bookmarkStart w:id="9" w:name="ksalxoex23_1"/>
      <w:bookmarkEnd w:id="8"/>
      <w:bookmarkEnd w:id="9"/>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consent to the use of our report dated March 6, 2025, with respect to the consolidated financial statements of ALX Oncology Holdings Inc.,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jc w:val="left"/>
        <w:rPr>
          <w:rFonts w:ascii="Times New Roman" w:hAnsi="Times New Roman"/>
          <w:color w:val="000000"/>
          <w:sz w:val="20"/>
        </w:rPr>
      </w:pPr>
      <w:r>
        <w:rPr>
          <w:rFonts w:ascii="Times New Roman" w:hAnsi="Times New Roman"/>
          <w:color w:val="000000"/>
          <w:sz w:val="20"/>
        </w:rPr>
        <w:t>January 21,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 w:name="alxo_exfilingfees.htm"/>
      <w:bookmarkStart w:id="11" w:name="ksalxo_exfilingfees"/>
      <w:bookmarkEnd w:id="10"/>
      <w:bookmarkEnd w:id="11"/>
      <w:r>
        <w:rPr>
          <w:rFonts w:ascii="Times New Roman" w:hAnsi="Times New Roman"/>
          <w:b/>
          <w:color w:val="000000"/>
          <w:sz w:val="20"/>
        </w:rPr>
        <w:t>Exhibit 107.1</w:t>
      </w:r>
      <w:r>
        <w:br w:type="page"/>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Calculation of Filing Fee Table</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ALX ONCOLOGY HOLDINGS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786"/>
        <w:gridCol w:w="2208"/>
        <w:gridCol w:w="1073"/>
        <w:gridCol w:w="1010"/>
        <w:gridCol w:w="1201"/>
        <w:gridCol w:w="1472"/>
        <w:gridCol w:w="991"/>
        <w:gridCol w:w="1238"/>
      </w:tblGrid>
      <w:tr>
        <w:trPr/>
        <w:tc>
          <w:tcPr>
            <w:tcW w:w="22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226" w:type="dxa"/>
            <w:tcBorders>
              <w:bottom w:val="single" w:sz="4" w:space="0" w:color="000000"/>
            </w:tcBorders>
            <w:tcMar>
              <w:top w:w="0" w:type="dxa"/>
              <w:left w:w="0" w:type="dxa"/>
              <w:right w:w="0" w:type="dxa"/>
            </w:tcMar>
            <w:vAlign w:val="center"/>
          </w:tcPr>
          <w:p>
            <w:pPr>
              <w:pStyle w:val="TableContents"/>
              <w:bidi w:val="0"/>
              <w:spacing w:before="240" w:after="240"/>
              <w:jc w:val="center"/>
              <w:rPr/>
            </w:pPr>
            <w:r>
              <w:rPr/>
              <w:t> </w:t>
            </w:r>
          </w:p>
        </w:tc>
        <w:tc>
          <w:tcPr>
            <w:tcW w:w="9979" w:type="dxa"/>
            <w:gridSpan w:val="8"/>
            <w:tcBorders>
              <w:bottom w:val="single" w:sz="4" w:space="0" w:color="000000"/>
            </w:tcBorders>
            <w:tcMar>
              <w:top w:w="0" w:type="dxa"/>
              <w:left w:w="0" w:type="dxa"/>
              <w:right w:w="0" w:type="dxa"/>
            </w:tcMar>
            <w:vAlign w:val="center"/>
          </w:tcPr>
          <w:p>
            <w:pPr>
              <w:pStyle w:val="TableContents"/>
              <w:bidi w:val="0"/>
              <w:spacing w:before="240" w:after="240"/>
              <w:jc w:val="center"/>
              <w:rPr>
                <w:rFonts w:ascii="Times New Roman" w:hAnsi="Times New Roman"/>
                <w:b/>
                <w:color w:val="000000"/>
                <w:sz w:val="20"/>
              </w:rPr>
            </w:pPr>
            <w:r>
              <w:rPr>
                <w:rFonts w:ascii="Times New Roman" w:hAnsi="Times New Roman"/>
                <w:b/>
                <w:color w:val="000000"/>
                <w:sz w:val="20"/>
              </w:rPr>
              <w:t>Table 1 – Newly Registered Securities</w:t>
            </w:r>
          </w:p>
        </w:tc>
      </w:tr>
      <w:tr>
        <w:trPr/>
        <w:tc>
          <w:tcPr>
            <w:tcW w:w="226"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pPr>
            <w:r>
              <w:rPr/>
              <w:t> </w:t>
            </w:r>
          </w:p>
        </w:tc>
        <w:tc>
          <w:tcPr>
            <w:tcW w:w="78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Type</w:t>
            </w:r>
          </w:p>
        </w:tc>
        <w:tc>
          <w:tcPr>
            <w:tcW w:w="220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Class Title</w:t>
            </w:r>
          </w:p>
        </w:tc>
        <w:tc>
          <w:tcPr>
            <w:tcW w:w="1073"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Calculation Rule</w:t>
            </w:r>
          </w:p>
        </w:tc>
        <w:tc>
          <w:tcPr>
            <w:tcW w:w="1010"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Registered</w:t>
            </w:r>
          </w:p>
        </w:tc>
        <w:tc>
          <w:tcPr>
            <w:tcW w:w="12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Proposed Maximum Offering Price Per Unit</w:t>
            </w:r>
          </w:p>
        </w:tc>
        <w:tc>
          <w:tcPr>
            <w:tcW w:w="1472"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Aggregate Offering Price</w:t>
            </w:r>
          </w:p>
        </w:tc>
        <w:tc>
          <w:tcPr>
            <w:tcW w:w="99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Rate</w:t>
            </w:r>
          </w:p>
        </w:tc>
        <w:tc>
          <w:tcPr>
            <w:tcW w:w="123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 Registration Fee</w:t>
            </w:r>
          </w:p>
        </w:tc>
      </w:tr>
      <w:tr>
        <w:trPr/>
        <w:tc>
          <w:tcPr>
            <w:tcW w:w="226"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78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20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 reserved for issuance pursuant to the Amended and Restated 2020 Equity Incentive Plan</w:t>
            </w:r>
          </w:p>
        </w:tc>
        <w:tc>
          <w:tcPr>
            <w:tcW w:w="1073"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010"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2,175,521</w:t>
            </w:r>
          </w:p>
        </w:tc>
        <w:tc>
          <w:tcPr>
            <w:tcW w:w="12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1472"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$2,654,135.62</w:t>
            </w:r>
          </w:p>
        </w:tc>
        <w:tc>
          <w:tcPr>
            <w:tcW w:w="99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2B2E2F"/>
                <w:sz w:val="20"/>
              </w:rPr>
            </w:pPr>
            <w:r>
              <w:rPr>
                <w:rFonts w:ascii="Times New Roman" w:hAnsi="Times New Roman"/>
                <w:color w:val="2B2E2F"/>
                <w:sz w:val="20"/>
              </w:rPr>
              <w:t>0.0001381</w:t>
            </w:r>
          </w:p>
        </w:tc>
        <w:tc>
          <w:tcPr>
            <w:tcW w:w="123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$366.54</w:t>
            </w:r>
          </w:p>
        </w:tc>
      </w:tr>
      <w:tr>
        <w:trPr/>
        <w:tc>
          <w:tcPr>
            <w:tcW w:w="226"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78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20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 reserved for issuance pursuant to the 2020 Employee Stock Purchase Plan</w:t>
            </w:r>
          </w:p>
        </w:tc>
        <w:tc>
          <w:tcPr>
            <w:tcW w:w="1073"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010"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543,880</w:t>
            </w:r>
          </w:p>
        </w:tc>
        <w:tc>
          <w:tcPr>
            <w:tcW w:w="12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72"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$565,635.20</w:t>
            </w:r>
          </w:p>
        </w:tc>
        <w:tc>
          <w:tcPr>
            <w:tcW w:w="99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2B2E2F"/>
                <w:sz w:val="20"/>
              </w:rPr>
            </w:pPr>
            <w:r>
              <w:rPr>
                <w:rFonts w:ascii="Times New Roman" w:hAnsi="Times New Roman"/>
                <w:color w:val="2B2E2F"/>
                <w:sz w:val="20"/>
              </w:rPr>
              <w:t>0.0001381</w:t>
            </w:r>
          </w:p>
        </w:tc>
        <w:tc>
          <w:tcPr>
            <w:tcW w:w="123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$78.11</w:t>
            </w:r>
          </w:p>
        </w:tc>
      </w:tr>
      <w:tr>
        <w:trPr/>
        <w:tc>
          <w:tcPr>
            <w:tcW w:w="226"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786"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220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 reserved for issuance pursuant to the 2025 Inducement Equity Plan, as amended</w:t>
            </w:r>
          </w:p>
        </w:tc>
        <w:tc>
          <w:tcPr>
            <w:tcW w:w="1073"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010"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1,300,000</w:t>
            </w:r>
          </w:p>
        </w:tc>
        <w:tc>
          <w:tcPr>
            <w:tcW w:w="12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w:t>
            </w:r>
          </w:p>
        </w:tc>
        <w:tc>
          <w:tcPr>
            <w:tcW w:w="1472"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$1,586,000.00</w:t>
            </w:r>
          </w:p>
        </w:tc>
        <w:tc>
          <w:tcPr>
            <w:tcW w:w="99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2B2E2F"/>
                <w:sz w:val="20"/>
              </w:rPr>
            </w:pPr>
            <w:r>
              <w:rPr>
                <w:rFonts w:ascii="Times New Roman" w:hAnsi="Times New Roman"/>
                <w:color w:val="2B2E2F"/>
                <w:sz w:val="20"/>
              </w:rPr>
              <w:t>0.0001381</w:t>
            </w:r>
          </w:p>
        </w:tc>
        <w:tc>
          <w:tcPr>
            <w:tcW w:w="123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$219.03</w:t>
            </w:r>
          </w:p>
        </w:tc>
      </w:tr>
      <w:tr>
        <w:trPr/>
        <w:tc>
          <w:tcPr>
            <w:tcW w:w="226"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pPr>
            <w:r>
              <w:rPr/>
              <w:t> </w:t>
            </w:r>
          </w:p>
        </w:tc>
        <w:tc>
          <w:tcPr>
            <w:tcW w:w="5077" w:type="dxa"/>
            <w:gridSpan w:val="4"/>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Offering Amount</w:t>
            </w:r>
          </w:p>
        </w:tc>
        <w:tc>
          <w:tcPr>
            <w:tcW w:w="12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1472"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$4,805,770.82</w:t>
            </w:r>
          </w:p>
        </w:tc>
        <w:tc>
          <w:tcPr>
            <w:tcW w:w="99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123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$663.68</w:t>
            </w:r>
          </w:p>
        </w:tc>
      </w:tr>
      <w:tr>
        <w:trPr/>
        <w:tc>
          <w:tcPr>
            <w:tcW w:w="226"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pPr>
            <w:r>
              <w:rPr/>
              <w:t> </w:t>
            </w:r>
          </w:p>
        </w:tc>
        <w:tc>
          <w:tcPr>
            <w:tcW w:w="5077" w:type="dxa"/>
            <w:gridSpan w:val="4"/>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Fee Offsets</w:t>
            </w:r>
          </w:p>
        </w:tc>
        <w:tc>
          <w:tcPr>
            <w:tcW w:w="12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1472"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123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color w:val="000000"/>
              </w:rPr>
            </w:pPr>
            <w:r>
              <w:rPr>
                <w:color w:val="000000"/>
              </w:rPr>
              <w:t>–</w:t>
            </w:r>
          </w:p>
        </w:tc>
      </w:tr>
      <w:tr>
        <w:trPr/>
        <w:tc>
          <w:tcPr>
            <w:tcW w:w="226" w:type="dxa"/>
            <w:tcBorders>
              <w:left w:val="single" w:sz="4" w:space="0" w:color="000000"/>
              <w:bottom w:val="single" w:sz="4" w:space="0" w:color="000000"/>
              <w:right w:val="single" w:sz="4" w:space="0" w:color="000000"/>
            </w:tcBorders>
            <w:tcMar>
              <w:top w:w="0" w:type="dxa"/>
              <w:left w:w="72" w:type="dxa"/>
              <w:right w:w="72" w:type="dxa"/>
            </w:tcMar>
            <w:vAlign w:val="center"/>
          </w:tcPr>
          <w:p>
            <w:pPr>
              <w:pStyle w:val="TableContents"/>
              <w:bidi w:val="0"/>
              <w:spacing w:before="0" w:after="283"/>
              <w:jc w:val="center"/>
              <w:rPr/>
            </w:pPr>
            <w:r>
              <w:rPr/>
              <w:t> </w:t>
            </w:r>
          </w:p>
        </w:tc>
        <w:tc>
          <w:tcPr>
            <w:tcW w:w="5077" w:type="dxa"/>
            <w:gridSpan w:val="4"/>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Fee Due</w:t>
            </w:r>
          </w:p>
        </w:tc>
        <w:tc>
          <w:tcPr>
            <w:tcW w:w="120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1472"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991"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left"/>
              <w:rPr/>
            </w:pPr>
            <w:r>
              <w:rPr/>
              <w:t> </w:t>
            </w:r>
          </w:p>
        </w:tc>
        <w:tc>
          <w:tcPr>
            <w:tcW w:w="1238" w:type="dxa"/>
            <w:tcBorders>
              <w:bottom w:val="single" w:sz="4" w:space="0" w:color="000000"/>
              <w:right w:val="single" w:sz="4" w:space="0" w:color="000000"/>
            </w:tcBorders>
            <w:tcMar>
              <w:top w:w="0" w:type="dxa"/>
              <w:left w:w="0" w:type="dxa"/>
              <w:right w:w="72"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$663.68</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Rule 416(a) of the Securities Act of 1933, as amended (the “Securities Act”), this Registration Statement shall also cover any additional shares of the Registrant’s common stock, par value $0.001 per share (“Common Stock”) that become issuable under the Registrant’s Amended and Restated 2020 Equity Incentive Plan (the “2020 Plan”), 2020 Employee Stock Purchase Plan (the “2020 ESPP”) and 2025 Inducement Equity Incentive Plan, as amended (the “2025 Plan”) by reason of any stock dividend, stock split, recapitalization or other similar transaction effected without the Registrant's receipt of consideration that results in an increase in the number of the outstanding shares of common stock.</w:t>
        <w:br/>
        <w:br/>
        <w:t>Reflects an automatic increase on January 1, 2026 to the number of shares of Common Stock reserved for issuance pursuant to future awards under the 2020 Plan, which annual increase is provided for in the 2020 Plan.</w:t>
        <w:br/>
        <w:br/>
        <w:t>Estimated in accordance with paragraphs (c) and (h) of Rule 457 of the Securities Act solely for the purpose of calculating the registration fee on the basis of $1.22 per share, which is the average of the high and low prices of the Registrant’s Common Stock, as reported on the Nasdaq Global Select Market, on January 16,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Rule 416(a) of the Securities Act of 1933, as amended (the “Securities Act”), this Registration Statement shall also cover any additional shares of the Registrant's Common Stock that become issuable under the 2020 Plan, the 2020 ESPP and the 2025 Plan by reason of any stock dividend, stock split, recapitalization or other similar transaction effected without the Registrant's receipt of consideration that results in an increase in the number of the outstanding shares of common stock.</w:t>
        <w:br/>
        <w:br/>
        <w:t>Reflects an automatic increase on January 1, 2026 to the number of shares of Common Stock reserved for issuance under the 2020 ESPP, which annual increase is provided for in the 2020 ESPP.</w:t>
        <w:br/>
        <w:br/>
        <w:t>Estimated in accordance with Rules 457(h) solely for the purpose of calculating the registration fee on the basis of 85% of $1.22 per share, which is the average of the high and low prices of the Registrant’s Common Stock, as reported on the Nasdaq Global Select Market, on January 16, 2026. Pursuant to the 2020 ESPP, the purchase price of the shares of Common Stock reserved for issuance thereunder will be at least 85% of the lower of the fair market value of Common Stock on the Enrollment Date or the Exercise Date (as such terms are defined in the 2020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Rule 416(a) of the Securities Act of 1933, as amended (the “Securities Act”), this Registration Statement shall also cover any additional shares of the Registrant's Common Stock that become issuable under the 2020 Plan, the 2020 ESPP and the 2025 Plan by reason of any stock dividend, stock split, recapitalization or other similar transaction effected without the Registrant's receipt of consideration that results in an increase in the number of the outstanding shares of common stock.</w:t>
        <w:br/>
        <w:br/>
        <w:t>Reflects an increase of 1,300,000 shares of Common Stock reserved for issuance under the 2025 Plan.</w:t>
        <w:br/>
        <w:br/>
        <w:t>Estimated in accordance with paragraphs (c) and (h) of Rule 457 of the Securities Act solely for the purpose of calculating the registration fee on the basis of $1.22 per share, which is the average of the high and low prices of the Registrant’s Common Stock, as reported on the Nasdaq Global Select Market, on January 16, 2026.</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24"/>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10182/000095017025034761/alxo-20241231.htm" TargetMode="External"/><Relationship Id="rId3" Type="http://schemas.openxmlformats.org/officeDocument/2006/relationships/hyperlink" Target="https://www.sec.gov/Archives/edgar/data/1810182/000119312520191878/d936945d8a12b.htm" TargetMode="External"/><Relationship Id="rId4" Type="http://schemas.openxmlformats.org/officeDocument/2006/relationships/hyperlink" Target="https://www.sec.gov/Archives/edgar/data/1810182/000119312520181021/d913838dex42.htm" TargetMode="External"/><Relationship Id="rId5" Type="http://schemas.openxmlformats.org/officeDocument/2006/relationships/hyperlink" Target="https://www.sec.gov/Archives/edgar/data/1810182/000119312520191500/d913838dex102.htm" TargetMode="External"/><Relationship Id="rId6" Type="http://schemas.openxmlformats.org/officeDocument/2006/relationships/hyperlink" Target="https://www.sec.gov/Archives/edgar/data/1810182/000119312520191500/d913838dex103.htm" TargetMode="External"/><Relationship Id="rId7" Type="http://schemas.openxmlformats.org/officeDocument/2006/relationships/hyperlink" Target="https://www.sec.gov/Archives/edgar/data/1810182/000119312526018094/alxo-ex10_1.htm" TargetMode="External"/><Relationship Id="rId8" Type="http://schemas.openxmlformats.org/officeDocument/2006/relationships/hyperlink" Target="https://www.sec.gov/Archives/edgar/data/1710072/000110465921039429/tm2037601d10_ex10-3.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3932</Words>
  <Characters>21231</Characters>
  <CharactersWithSpaces>25071</CharactersWithSpaces>
  <Paragraphs>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