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Arial" w:cs="Arial" w:eastAsia="Arial" w:hAnsi="Arial"/>
          <w:sz w:val="32"/>
          <w:szCs w:val="32"/>
          <w:b w:val="1"/>
          <w:bCs w:val="1"/>
          <w:color w:val="auto"/>
        </w:rPr>
        <w:t>UNITED STATES</w:t>
      </w:r>
    </w:p>
    <w:p>
      <w:pPr>
        <w:spacing w:after="0" w:line="30"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ind w:left="4380"/>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SCHEDULE 14A</w:t>
      </w:r>
    </w:p>
    <w:p>
      <w:pPr>
        <w:spacing w:after="0" w:line="79" w:lineRule="exact"/>
        <w:rPr>
          <w:sz w:val="24"/>
          <w:szCs w:val="24"/>
          <w:color w:val="auto"/>
        </w:rPr>
      </w:pPr>
    </w:p>
    <w:p>
      <w:pPr>
        <w:jc w:val="center"/>
        <w:ind w:right="-10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2" w:lineRule="exact"/>
        <w:rPr>
          <w:sz w:val="24"/>
          <w:szCs w:val="24"/>
          <w:color w:val="auto"/>
        </w:rPr>
      </w:pPr>
    </w:p>
    <w:p>
      <w:pPr>
        <w:jc w:val="center"/>
        <w:ind w:right="-1060"/>
        <w:spacing w:after="0"/>
        <w:rPr>
          <w:sz w:val="20"/>
          <w:szCs w:val="20"/>
          <w:color w:val="auto"/>
        </w:rPr>
      </w:pPr>
      <w:r>
        <w:rPr>
          <w:rFonts w:ascii="Arial" w:cs="Arial" w:eastAsia="Arial" w:hAnsi="Arial"/>
          <w:sz w:val="22"/>
          <w:szCs w:val="22"/>
          <w:b w:val="1"/>
          <w:bCs w:val="1"/>
          <w:color w:val="auto"/>
        </w:rPr>
        <w:t>SECURITIES EXCHANGE ACT OF 1934</w:t>
      </w:r>
    </w:p>
    <w:p>
      <w:pPr>
        <w:spacing w:after="0" w:line="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4"/>
          <w:szCs w:val="24"/>
          <w:color w:val="auto"/>
        </w:rPr>
      </w:pPr>
    </w:p>
    <w:p>
      <w:pPr>
        <w:ind w:left="580" w:hanging="56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9" w:lineRule="exact"/>
        <w:rPr>
          <w:rFonts w:ascii="MS PGothic" w:cs="MS PGothic" w:eastAsia="MS PGothic" w:hAnsi="MS PGothic"/>
          <w:sz w:val="18"/>
          <w:szCs w:val="18"/>
          <w:color w:val="auto"/>
        </w:rPr>
      </w:pPr>
    </w:p>
    <w:p>
      <w:pPr>
        <w:ind w:left="580" w:hanging="56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7"/>
          <w:szCs w:val="17"/>
          <w:color w:val="auto"/>
        </w:rPr>
        <w:t>Definitive Proxy Statement</w:t>
      </w:r>
    </w:p>
    <w:p>
      <w:pPr>
        <w:spacing w:after="0" w:line="51" w:lineRule="exact"/>
        <w:rPr>
          <w:rFonts w:ascii="MS PGothic" w:cs="MS PGothic" w:eastAsia="MS PGothic" w:hAnsi="MS PGothic"/>
          <w:sz w:val="18"/>
          <w:szCs w:val="18"/>
          <w:color w:val="auto"/>
        </w:rPr>
      </w:pPr>
    </w:p>
    <w:p>
      <w:pPr>
        <w:ind w:left="580" w:hanging="56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49" w:lineRule="exact"/>
        <w:rPr>
          <w:rFonts w:ascii="MS PGothic" w:cs="MS PGothic" w:eastAsia="MS PGothic" w:hAnsi="MS PGothic"/>
          <w:sz w:val="18"/>
          <w:szCs w:val="18"/>
          <w:color w:val="auto"/>
        </w:rPr>
      </w:pPr>
    </w:p>
    <w:p>
      <w:pPr>
        <w:ind w:left="580" w:hanging="56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§240.14a-11(c) or §240.14a-2</w:t>
      </w:r>
    </w:p>
    <w:p>
      <w:pPr>
        <w:spacing w:after="0" w:line="116" w:lineRule="exact"/>
        <w:rPr>
          <w:sz w:val="24"/>
          <w:szCs w:val="24"/>
          <w:color w:val="auto"/>
        </w:rPr>
      </w:pPr>
    </w:p>
    <w:p>
      <w:pPr>
        <w:jc w:val="center"/>
        <w:ind w:right="-1000"/>
        <w:spacing w:after="0"/>
        <w:rPr>
          <w:sz w:val="20"/>
          <w:szCs w:val="20"/>
          <w:color w:val="auto"/>
        </w:rPr>
      </w:pPr>
      <w:r>
        <w:rPr>
          <w:rFonts w:ascii="Arial" w:cs="Arial" w:eastAsia="Arial" w:hAnsi="Arial"/>
          <w:sz w:val="40"/>
          <w:szCs w:val="40"/>
          <w:b w:val="1"/>
          <w:bCs w:val="1"/>
          <w:color w:val="auto"/>
        </w:rPr>
        <w:t>ALX Oncology Holdings Inc.</w:t>
      </w:r>
    </w:p>
    <w:p>
      <w:pPr>
        <w:spacing w:after="0" w:line="32"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2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239" w:lineRule="exact"/>
        <w:rPr>
          <w:sz w:val="24"/>
          <w:szCs w:val="24"/>
          <w:color w:val="auto"/>
        </w:rPr>
      </w:pPr>
    </w:p>
    <w:p>
      <w:pPr>
        <w:ind w:left="580" w:hanging="564"/>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58" w:lineRule="exact"/>
        <w:rPr>
          <w:sz w:val="24"/>
          <w:szCs w:val="24"/>
          <w:color w:val="auto"/>
        </w:rPr>
      </w:pPr>
    </w:p>
    <w:p>
      <w:pPr>
        <w:ind w:left="580" w:hanging="564"/>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580" w:hanging="564"/>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1" w:right="1440" w:bottom="1440" w:gutter="0" w:footer="0" w:header="0"/>
        </w:sectPr>
      </w:pPr>
    </w:p>
    <w:bookmarkStart w:id="1" w:name="page2"/>
    <w:bookmarkEnd w:id="1"/>
    <w:p>
      <w:pPr>
        <w:spacing w:after="0" w:line="3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2780030</wp:posOffset>
            </wp:positionH>
            <wp:positionV relativeFrom="page">
              <wp:posOffset>243205</wp:posOffset>
            </wp:positionV>
            <wp:extent cx="1954530" cy="7029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954530" cy="7029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April 22,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0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are pleased to invite you to attend the 2022 Annual Meeting of Stockholders (the Annual Meeting) of ALX Oncology Holdings Inc. (ALX or the Company) and will be conducted virtually via a live webcast on Tuesday, June 14, 2022 at 1 p.m. Pacific Time. The Annual Meeting will be held in a virtual format this year to support the health and safety of our stockholders, and to afford the same rights and opportunities to participate as would be available at an in-person meeting. You will be able to attend the Annual Meeting virtually by visiting www.virtualshareholdermeeting.com/ALXO2022, where you will be able to listen to the meeting live, submit questions and vote online by entering the control number located on your proxy card.</w:t>
      </w:r>
    </w:p>
    <w:p>
      <w:pPr>
        <w:spacing w:after="0" w:line="17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attached Notice of Annual Meeting of Stockholders and Proxy Statement contain details of the business to be conducted at the Annual Meeting.</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Whether or not you attend the Annual Meeting virtually, it is important that your shares be represented and voted at the meeting. Therefore, we urge you to promptly vote and submit your proxy via the Internet, by phone, or by signing, dating and returning the enclosed proxy card in the enclosed envelope. If you decide to attend the Annual Meeting, you will be able to change your vote or revoke your proxy, even if you have previously submitted your proxy.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Company’s Board of Directors, we would like to thank you for your continued support of and interest in ALX.</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697355" cy="5911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59118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137795</wp:posOffset>
            </wp:positionV>
            <wp:extent cx="1560195" cy="54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019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ind w:left="20"/>
              <w:spacing w:after="0"/>
              <w:rPr>
                <w:sz w:val="20"/>
                <w:szCs w:val="20"/>
                <w:color w:val="auto"/>
              </w:rPr>
            </w:pPr>
            <w:r>
              <w:rPr>
                <w:rFonts w:ascii="Arial" w:cs="Arial" w:eastAsia="Arial" w:hAnsi="Arial"/>
                <w:sz w:val="18"/>
                <w:szCs w:val="18"/>
                <w:color w:val="auto"/>
              </w:rPr>
              <w:t>Corey Goodman, Ph.D.</w:t>
            </w:r>
          </w:p>
        </w:tc>
        <w:tc>
          <w:tcPr>
            <w:tcW w:w="6440" w:type="dxa"/>
            <w:vAlign w:val="bottom"/>
          </w:tcPr>
          <w:p>
            <w:pPr>
              <w:ind w:left="1160"/>
              <w:spacing w:after="0"/>
              <w:rPr>
                <w:sz w:val="20"/>
                <w:szCs w:val="20"/>
                <w:color w:val="auto"/>
              </w:rPr>
            </w:pPr>
            <w:r>
              <w:rPr>
                <w:rFonts w:ascii="Arial" w:cs="Arial" w:eastAsia="Arial" w:hAnsi="Arial"/>
                <w:sz w:val="18"/>
                <w:szCs w:val="18"/>
                <w:color w:val="auto"/>
              </w:rPr>
              <w:t>Jaume Pons, Ph.D.</w:t>
            </w: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i w:val="1"/>
                <w:iCs w:val="1"/>
                <w:color w:val="auto"/>
              </w:rPr>
              <w:t>Executive Chairman of the Board of Directors</w:t>
            </w:r>
          </w:p>
        </w:tc>
        <w:tc>
          <w:tcPr>
            <w:tcW w:w="6440" w:type="dxa"/>
            <w:vAlign w:val="bottom"/>
          </w:tcPr>
          <w:p>
            <w:pPr>
              <w:ind w:left="1160"/>
              <w:spacing w:after="0"/>
              <w:rPr>
                <w:sz w:val="20"/>
                <w:szCs w:val="20"/>
                <w:color w:val="auto"/>
              </w:rPr>
            </w:pPr>
            <w:r>
              <w:rPr>
                <w:rFonts w:ascii="Arial" w:cs="Arial" w:eastAsia="Arial" w:hAnsi="Arial"/>
                <w:sz w:val="18"/>
                <w:szCs w:val="18"/>
                <w:i w:val="1"/>
                <w:iCs w:val="1"/>
                <w:color w:val="auto"/>
              </w:rPr>
              <w:t>President, Chief Executive Officer and Director</w:t>
            </w:r>
          </w:p>
        </w:tc>
      </w:tr>
      <w:tr>
        <w:trPr>
          <w:trHeight w:val="543"/>
        </w:trPr>
        <w:tc>
          <w:tcPr>
            <w:tcW w:w="480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ALX ONCOLOGY HOLDINGS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323 Allerton Avenue</w:t>
      </w:r>
    </w:p>
    <w:p>
      <w:pPr>
        <w:jc w:val="center"/>
        <w:ind w:right="-7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NOTICE OF ANNUAL MEETING OF STOCKHOLDERS</w:t>
      </w:r>
    </w:p>
    <w:p>
      <w:pPr>
        <w:sectPr>
          <w:pgSz w:w="11900" w:h="16838" w:orient="portrait"/>
          <w:cols w:equalWidth="0" w:num="1">
            <w:col w:w="11180"/>
          </w:cols>
          <w:pgMar w:left="320" w:top="364" w:right="399" w:bottom="1440" w:gutter="0" w:footer="0" w:header="0"/>
        </w:sect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Time and Date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Tuesday, June 14, 2022 at 1 p.m. Pacific Time</w:t>
      </w:r>
    </w:p>
    <w:p>
      <w:pPr>
        <w:spacing w:after="0" w:line="102" w:lineRule="exact"/>
        <w:rPr>
          <w:sz w:val="20"/>
          <w:szCs w:val="20"/>
          <w:color w:val="auto"/>
        </w:rPr>
      </w:pPr>
    </w:p>
    <w:p>
      <w:pPr>
        <w:sectPr>
          <w:pgSz w:w="11900" w:h="16838" w:orient="portrait"/>
          <w:cols w:equalWidth="0" w:num="2">
            <w:col w:w="2440" w:space="720"/>
            <w:col w:w="8020"/>
          </w:cols>
          <w:pgMar w:left="320" w:top="364" w:right="39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Place</w:t>
      </w:r>
    </w:p>
    <w:p>
      <w:pPr>
        <w:spacing w:after="0" w:line="20" w:lineRule="exact"/>
        <w:rPr>
          <w:sz w:val="20"/>
          <w:szCs w:val="20"/>
          <w:color w:val="auto"/>
        </w:rPr>
      </w:pPr>
      <w:r>
        <w:rPr>
          <w:sz w:val="20"/>
          <w:szCs w:val="20"/>
          <w:color w:val="auto"/>
        </w:rPr>
        <w:br w:type="column"/>
      </w:r>
    </w:p>
    <w:p>
      <w:pPr>
        <w:ind w:right="200"/>
        <w:spacing w:after="0" w:line="238" w:lineRule="auto"/>
        <w:rPr>
          <w:sz w:val="20"/>
          <w:szCs w:val="20"/>
          <w:color w:val="auto"/>
        </w:rPr>
      </w:pPr>
      <w:r>
        <w:rPr>
          <w:rFonts w:ascii="Arial" w:cs="Arial" w:eastAsia="Arial" w:hAnsi="Arial"/>
          <w:sz w:val="18"/>
          <w:szCs w:val="18"/>
          <w:color w:val="auto"/>
        </w:rPr>
        <w:t>The Annual Meeting will be a completely virtual meeting of stockholders, to be conducted via a live webcast. You will be able to attend the Annual Meeting virtually, submit questions and vote online during the meeting by visiting www.virtualshareholdermeeting.com/ALXO2022.</w:t>
      </w:r>
    </w:p>
    <w:p>
      <w:pPr>
        <w:spacing w:after="0" w:line="59" w:lineRule="exact"/>
        <w:rPr>
          <w:sz w:val="20"/>
          <w:szCs w:val="20"/>
          <w:color w:val="auto"/>
        </w:rPr>
      </w:pPr>
    </w:p>
    <w:p>
      <w:pPr>
        <w:sectPr>
          <w:pgSz w:w="11900" w:h="16838" w:orient="portrait"/>
          <w:cols w:equalWidth="0" w:num="2">
            <w:col w:w="2440" w:space="720"/>
            <w:col w:w="8020"/>
          </w:cols>
          <w:pgMar w:left="320" w:top="364" w:right="39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Items of Business</w:t>
      </w:r>
    </w:p>
    <w:p>
      <w:pPr>
        <w:spacing w:after="0" w:line="90" w:lineRule="exact"/>
        <w:rPr>
          <w:sz w:val="20"/>
          <w:szCs w:val="20"/>
          <w:color w:val="auto"/>
        </w:rPr>
      </w:pPr>
    </w:p>
    <w:p>
      <w:pPr>
        <w:ind w:left="3240"/>
        <w:spacing w:after="0" w:line="256" w:lineRule="auto"/>
        <w:rPr>
          <w:sz w:val="20"/>
          <w:szCs w:val="20"/>
          <w:color w:val="auto"/>
        </w:rPr>
      </w:pPr>
      <w:r>
        <w:rPr>
          <w:rFonts w:ascii="Arial" w:cs="Arial" w:eastAsia="Arial" w:hAnsi="Arial"/>
          <w:sz w:val="18"/>
          <w:szCs w:val="18"/>
          <w:color w:val="auto"/>
        </w:rPr>
        <w:t>•   To elect two Class II directors to serve until the 2025 annual meeting of stockholders or until their successors are duly elected and qualified;</w:t>
      </w:r>
    </w:p>
    <w:p>
      <w:pPr>
        <w:spacing w:after="0" w:line="31" w:lineRule="exact"/>
        <w:rPr>
          <w:sz w:val="20"/>
          <w:szCs w:val="20"/>
          <w:color w:val="auto"/>
        </w:rPr>
      </w:pPr>
    </w:p>
    <w:p>
      <w:pPr>
        <w:ind w:left="3240" w:right="540"/>
        <w:spacing w:after="0" w:line="256" w:lineRule="auto"/>
        <w:rPr>
          <w:sz w:val="20"/>
          <w:szCs w:val="20"/>
          <w:color w:val="auto"/>
        </w:rPr>
      </w:pPr>
      <w:r>
        <w:rPr>
          <w:rFonts w:ascii="Arial" w:cs="Arial" w:eastAsia="Arial" w:hAnsi="Arial"/>
          <w:sz w:val="18"/>
          <w:szCs w:val="18"/>
          <w:color w:val="auto"/>
        </w:rPr>
        <w:t>•   To conduct an advisory vote to approve the compensation of our named executive officers (NEO);</w:t>
      </w:r>
    </w:p>
    <w:p>
      <w:pPr>
        <w:spacing w:after="0" w:line="44" w:lineRule="exact"/>
        <w:rPr>
          <w:sz w:val="20"/>
          <w:szCs w:val="20"/>
          <w:color w:val="auto"/>
        </w:rPr>
      </w:pPr>
    </w:p>
    <w:p>
      <w:pPr>
        <w:ind w:left="3240" w:right="80"/>
        <w:spacing w:after="0" w:line="256" w:lineRule="auto"/>
        <w:rPr>
          <w:sz w:val="20"/>
          <w:szCs w:val="20"/>
          <w:color w:val="auto"/>
        </w:rPr>
      </w:pPr>
      <w:r>
        <w:rPr>
          <w:rFonts w:ascii="Arial" w:cs="Arial" w:eastAsia="Arial" w:hAnsi="Arial"/>
          <w:sz w:val="18"/>
          <w:szCs w:val="18"/>
          <w:color w:val="auto"/>
        </w:rPr>
        <w:t>•   To hold an advisory vote on the frequency of future advisory votes to approve the compensation of our named executive officers;</w:t>
      </w:r>
    </w:p>
    <w:p>
      <w:pPr>
        <w:spacing w:after="0" w:line="44" w:lineRule="exact"/>
        <w:rPr>
          <w:sz w:val="20"/>
          <w:szCs w:val="20"/>
          <w:color w:val="auto"/>
        </w:rPr>
      </w:pPr>
    </w:p>
    <w:p>
      <w:pPr>
        <w:ind w:left="3240" w:right="80"/>
        <w:spacing w:after="0" w:line="256" w:lineRule="auto"/>
        <w:rPr>
          <w:sz w:val="20"/>
          <w:szCs w:val="20"/>
          <w:color w:val="auto"/>
        </w:rPr>
      </w:pPr>
      <w:r>
        <w:rPr>
          <w:rFonts w:ascii="Arial" w:cs="Arial" w:eastAsia="Arial" w:hAnsi="Arial"/>
          <w:sz w:val="18"/>
          <w:szCs w:val="18"/>
          <w:color w:val="auto"/>
        </w:rPr>
        <w:t>•   To ratify the appointment of KPMG LLP as our independent registered public accounting firm for our fiscal year ending December 31, 2022; and</w:t>
      </w:r>
    </w:p>
    <w:p>
      <w:pPr>
        <w:spacing w:after="0" w:line="44" w:lineRule="exact"/>
        <w:rPr>
          <w:sz w:val="20"/>
          <w:szCs w:val="20"/>
          <w:color w:val="auto"/>
        </w:rPr>
      </w:pPr>
    </w:p>
    <w:p>
      <w:pPr>
        <w:ind w:left="3240" w:right="620"/>
        <w:spacing w:after="0" w:line="256" w:lineRule="auto"/>
        <w:rPr>
          <w:sz w:val="20"/>
          <w:szCs w:val="20"/>
          <w:color w:val="auto"/>
        </w:rPr>
      </w:pPr>
      <w:r>
        <w:rPr>
          <w:rFonts w:ascii="Arial" w:cs="Arial" w:eastAsia="Arial" w:hAnsi="Arial"/>
          <w:sz w:val="18"/>
          <w:szCs w:val="18"/>
          <w:color w:val="auto"/>
        </w:rPr>
        <w:t>•   To transact such other business as may properly come before the Annual Meeting or any adjournments or postponements thereof.</w:t>
      </w:r>
    </w:p>
    <w:p>
      <w:pPr>
        <w:sectPr>
          <w:pgSz w:w="11900" w:h="16838" w:orient="portrait"/>
          <w:cols w:equalWidth="0" w:num="1">
            <w:col w:w="11180"/>
          </w:cols>
          <w:pgMar w:left="320" w:top="364" w:right="399" w:bottom="1440" w:gutter="0" w:footer="0" w:header="0"/>
          <w:type w:val="continuous"/>
        </w:sectPr>
      </w:pP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Record Date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Monday, April 18, 2022 (the Record Date). Only stockholders of record at the close of business on the Record Date are entitled to receive notice of, and to vote at, the Annual Meeting.</w:t>
      </w:r>
    </w:p>
    <w:p>
      <w:pPr>
        <w:spacing w:after="0" w:line="58" w:lineRule="exact"/>
        <w:rPr>
          <w:sz w:val="20"/>
          <w:szCs w:val="20"/>
          <w:color w:val="auto"/>
        </w:rPr>
      </w:pPr>
    </w:p>
    <w:p>
      <w:pPr>
        <w:sectPr>
          <w:pgSz w:w="11900" w:h="16838" w:orient="portrait"/>
          <w:cols w:equalWidth="0" w:num="2">
            <w:col w:w="2440" w:space="720"/>
            <w:col w:w="8020"/>
          </w:cols>
          <w:pgMar w:left="320" w:top="364" w:right="399" w:bottom="1440" w:gutter="0" w:footer="0" w:header="0"/>
          <w:type w:val="continuous"/>
        </w:sectPr>
      </w:pPr>
    </w:p>
    <w:p>
      <w:pPr>
        <w:ind w:right="60"/>
        <w:spacing w:after="0" w:line="250" w:lineRule="auto"/>
        <w:rPr>
          <w:sz w:val="20"/>
          <w:szCs w:val="20"/>
          <w:color w:val="auto"/>
        </w:rPr>
      </w:pPr>
      <w:r>
        <w:rPr>
          <w:rFonts w:ascii="Arial" w:cs="Arial" w:eastAsia="Arial" w:hAnsi="Arial"/>
          <w:sz w:val="18"/>
          <w:szCs w:val="18"/>
          <w:b w:val="1"/>
          <w:bCs w:val="1"/>
          <w:color w:val="auto"/>
        </w:rPr>
        <w:t>YOUR VOTE IS IMPORTANT. Whether or not you plan to attend the Annual Meeting virtually, we urge you to submit your vote via the Internet, telephone or mail as soon as possible to ensure your shares are represented. For additional instructions for each of these voting options, please refer to the proxy card. Returning the proxy does not deprive you of your right to attend the Annual Meeting and to vote your shares at the Annual Meeting. The proxy statement explains proxy voting and the matters to be voted on in more detail.</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to Be Held on June 14, 2022. </w:t>
      </w:r>
      <w:r>
        <w:rPr>
          <w:rFonts w:ascii="Arial" w:cs="Arial" w:eastAsia="Arial" w:hAnsi="Arial"/>
          <w:sz w:val="18"/>
          <w:szCs w:val="18"/>
          <w:color w:val="auto"/>
        </w:rPr>
        <w:t>Our proxy</w:t>
      </w:r>
    </w:p>
    <w:p>
      <w:pPr>
        <w:spacing w:after="0" w:line="27" w:lineRule="exact"/>
        <w:rPr>
          <w:sz w:val="20"/>
          <w:szCs w:val="20"/>
          <w:color w:val="auto"/>
        </w:rPr>
      </w:pPr>
    </w:p>
    <w:p>
      <w:pPr>
        <w:ind w:right="420"/>
        <w:spacing w:after="0" w:line="242" w:lineRule="auto"/>
        <w:rPr>
          <w:sz w:val="20"/>
          <w:szCs w:val="20"/>
          <w:color w:val="auto"/>
        </w:rPr>
      </w:pPr>
      <w:r>
        <w:rPr>
          <w:rFonts w:ascii="Arial" w:cs="Arial" w:eastAsia="Arial" w:hAnsi="Arial"/>
          <w:sz w:val="18"/>
          <w:szCs w:val="18"/>
          <w:color w:val="auto"/>
        </w:rPr>
        <w:t>statement and Annual Report to Stockholders are being made available on or about April 22, 2022 on our investor relations website at https://ir.alxoncology.com/ under “Financials &amp; Filings.” We are providing access to our proxy materials over the Internet under the rules adopted by the Securities and Exchange Commission.</w:t>
      </w:r>
    </w:p>
    <w:p>
      <w:pPr>
        <w:spacing w:after="0" w:line="8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163195</wp:posOffset>
            </wp:positionV>
            <wp:extent cx="156019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019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Jaume Pons</w:t>
      </w:r>
    </w:p>
    <w:p>
      <w:pPr>
        <w:ind w:left="678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12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 San Francisco, California</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April 22, 2022</w:t>
      </w:r>
    </w:p>
    <w:p>
      <w:pPr>
        <w:spacing w:after="0" w:line="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This proxy statement is being mailed to stockholders on or about April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0" w:type="dxa"/>
            <w:vAlign w:val="bottom"/>
            <w:gridSpan w:val="47"/>
          </w:tcPr>
          <w:p>
            <w:pPr>
              <w:spacing w:after="0"/>
              <w:rPr>
                <w:sz w:val="20"/>
                <w:szCs w:val="20"/>
                <w:color w:val="auto"/>
              </w:rPr>
            </w:pPr>
            <w:r>
              <w:rPr>
                <w:rFonts w:ascii="Arial" w:cs="Arial" w:eastAsia="Arial" w:hAnsi="Arial"/>
                <w:sz w:val="18"/>
                <w:szCs w:val="18"/>
                <w:color w:val="0000EE"/>
              </w:rPr>
              <w:t>QUESTIONS AND ANSWERS ABOUT THE ANNUAL MEETING</w:t>
            </w: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top w:val="single" w:sz="8" w:color="0000EE"/>
            </w:tcBorders>
            <w:gridSpan w:val="38"/>
          </w:tcPr>
          <w:p>
            <w:pPr>
              <w:spacing w:after="0" w:line="196" w:lineRule="exact"/>
              <w:rPr>
                <w:sz w:val="20"/>
                <w:szCs w:val="20"/>
                <w:color w:val="auto"/>
              </w:rPr>
            </w:pPr>
            <w:r>
              <w:rPr>
                <w:rFonts w:ascii="Arial" w:cs="Arial" w:eastAsia="Arial" w:hAnsi="Arial"/>
                <w:sz w:val="18"/>
                <w:szCs w:val="18"/>
                <w:color w:val="0000FF"/>
              </w:rPr>
              <w:t>BOARD OF DIRECTORS AND CORPORATE GOVERNANCE</w:t>
            </w:r>
          </w:p>
        </w:tc>
        <w:tc>
          <w:tcPr>
            <w:tcW w:w="4820" w:type="dxa"/>
            <w:vAlign w:val="bottom"/>
            <w:gridSpan w:val="9"/>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420" w:type="dxa"/>
            <w:vAlign w:val="bottom"/>
            <w:tcBorders>
              <w:top w:val="single" w:sz="8" w:color="0000FF"/>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3"/>
              </w:rPr>
              <w:t>Director Nominees</w:t>
            </w:r>
          </w:p>
        </w:tc>
        <w:tc>
          <w:tcPr>
            <w:tcW w:w="3120" w:type="dxa"/>
            <w:vAlign w:val="bottom"/>
            <w:tcBorders>
              <w:top w:val="single" w:sz="8" w:color="0000FF"/>
            </w:tcBorders>
            <w:gridSpan w:val="31"/>
          </w:tcPr>
          <w:p>
            <w:pPr>
              <w:spacing w:after="0"/>
              <w:rPr>
                <w:sz w:val="17"/>
                <w:szCs w:val="17"/>
                <w:color w:val="auto"/>
              </w:rPr>
            </w:pPr>
          </w:p>
        </w:tc>
        <w:tc>
          <w:tcPr>
            <w:tcW w:w="5020" w:type="dxa"/>
            <w:vAlign w:val="bottom"/>
            <w:gridSpan w:val="10"/>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4"/>
              </w:rPr>
              <w:t>Continuing Directors</w:t>
            </w:r>
          </w:p>
        </w:tc>
        <w:tc>
          <w:tcPr>
            <w:tcW w:w="7980" w:type="dxa"/>
            <w:vAlign w:val="bottom"/>
            <w:gridSpan w:val="38"/>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60" w:type="dxa"/>
            <w:vAlign w:val="bottom"/>
            <w:gridSpan w:val="46"/>
          </w:tcPr>
          <w:p>
            <w:pPr>
              <w:spacing w:after="0" w:line="196" w:lineRule="exact"/>
              <w:rPr>
                <w:sz w:val="20"/>
                <w:szCs w:val="20"/>
                <w:color w:val="auto"/>
              </w:rPr>
            </w:pPr>
            <w:r>
              <w:rPr>
                <w:rFonts w:ascii="Arial" w:cs="Arial" w:eastAsia="Arial" w:hAnsi="Arial"/>
                <w:sz w:val="18"/>
                <w:szCs w:val="18"/>
                <w:color w:val="0000EE"/>
              </w:rPr>
              <w:t>Family Relationships</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60" w:type="dxa"/>
            <w:vAlign w:val="bottom"/>
            <w:gridSpan w:val="46"/>
          </w:tcPr>
          <w:p>
            <w:pPr>
              <w:spacing w:after="0" w:line="196" w:lineRule="exact"/>
              <w:rPr>
                <w:sz w:val="20"/>
                <w:szCs w:val="20"/>
                <w:color w:val="auto"/>
              </w:rPr>
            </w:pPr>
            <w:r>
              <w:rPr>
                <w:rFonts w:ascii="Arial" w:cs="Arial" w:eastAsia="Arial" w:hAnsi="Arial"/>
                <w:sz w:val="18"/>
                <w:szCs w:val="18"/>
                <w:color w:val="0000EE"/>
              </w:rPr>
              <w:t>Director Independence</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60" w:type="dxa"/>
            <w:vAlign w:val="bottom"/>
            <w:gridSpan w:val="46"/>
          </w:tcPr>
          <w:p>
            <w:pPr>
              <w:spacing w:after="0" w:line="196" w:lineRule="exact"/>
              <w:rPr>
                <w:sz w:val="20"/>
                <w:szCs w:val="20"/>
                <w:color w:val="auto"/>
              </w:rPr>
            </w:pPr>
            <w:r>
              <w:rPr>
                <w:rFonts w:ascii="Arial" w:cs="Arial" w:eastAsia="Arial" w:hAnsi="Arial"/>
                <w:sz w:val="18"/>
                <w:szCs w:val="18"/>
                <w:color w:val="0000FF"/>
              </w:rPr>
              <w:t>Board Leadership Structure</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20" w:type="dxa"/>
            <w:vAlign w:val="bottom"/>
            <w:tcBorders>
              <w:top w:val="single" w:sz="8" w:color="0000FF"/>
            </w:tcBorders>
            <w:gridSpan w:val="16"/>
          </w:tcPr>
          <w:p>
            <w:pPr>
              <w:spacing w:after="0" w:line="196" w:lineRule="exact"/>
              <w:rPr>
                <w:sz w:val="20"/>
                <w:szCs w:val="20"/>
                <w:color w:val="auto"/>
              </w:rPr>
            </w:pPr>
            <w:r>
              <w:rPr>
                <w:rFonts w:ascii="Arial" w:cs="Arial" w:eastAsia="Arial" w:hAnsi="Arial"/>
                <w:sz w:val="18"/>
                <w:szCs w:val="18"/>
                <w:color w:val="0000FF"/>
              </w:rPr>
              <w:t>Board Diversity</w:t>
            </w:r>
          </w:p>
        </w:tc>
        <w:tc>
          <w:tcPr>
            <w:tcW w:w="7440" w:type="dxa"/>
            <w:vAlign w:val="bottom"/>
            <w:gridSpan w:val="30"/>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40" w:type="dxa"/>
            <w:vAlign w:val="bottom"/>
            <w:tcBorders>
              <w:bottom w:val="single" w:sz="8" w:color="0000FF"/>
            </w:tcBorders>
            <w:gridSpan w:val="21"/>
          </w:tcPr>
          <w:p>
            <w:pPr>
              <w:spacing w:after="0" w:line="196" w:lineRule="exact"/>
              <w:rPr>
                <w:sz w:val="20"/>
                <w:szCs w:val="20"/>
                <w:color w:val="auto"/>
              </w:rPr>
            </w:pPr>
            <w:r>
              <w:rPr>
                <w:rFonts w:ascii="Arial" w:cs="Arial" w:eastAsia="Arial" w:hAnsi="Arial"/>
                <w:sz w:val="18"/>
                <w:szCs w:val="18"/>
                <w:color w:val="0000FF"/>
                <w:w w:val="96"/>
              </w:rPr>
              <w:t>Role of the Board in Risk Oversight</w:t>
            </w:r>
          </w:p>
        </w:tc>
        <w:tc>
          <w:tcPr>
            <w:tcW w:w="6820" w:type="dxa"/>
            <w:vAlign w:val="bottom"/>
            <w:gridSpan w:val="25"/>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60" w:type="dxa"/>
            <w:vAlign w:val="bottom"/>
            <w:gridSpan w:val="46"/>
          </w:tcPr>
          <w:p>
            <w:pPr>
              <w:spacing w:after="0" w:line="196" w:lineRule="exact"/>
              <w:rPr>
                <w:sz w:val="20"/>
                <w:szCs w:val="20"/>
                <w:color w:val="auto"/>
              </w:rPr>
            </w:pPr>
            <w:r>
              <w:rPr>
                <w:rFonts w:ascii="Arial" w:cs="Arial" w:eastAsia="Arial" w:hAnsi="Arial"/>
                <w:sz w:val="18"/>
                <w:szCs w:val="18"/>
                <w:color w:val="0000FF"/>
              </w:rPr>
              <w:t>Environmental, Social and Governance (ESG) Practices</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0" w:type="dxa"/>
            <w:vAlign w:val="bottom"/>
            <w:gridSpan w:val="47"/>
          </w:tcPr>
          <w:p>
            <w:pPr>
              <w:ind w:left="360"/>
              <w:spacing w:after="0" w:line="196" w:lineRule="exact"/>
              <w:rPr>
                <w:sz w:val="20"/>
                <w:szCs w:val="20"/>
                <w:color w:val="auto"/>
              </w:rPr>
            </w:pPr>
            <w:r>
              <w:rPr>
                <w:rFonts w:ascii="Arial" w:cs="Arial" w:eastAsia="Arial" w:hAnsi="Arial"/>
                <w:sz w:val="18"/>
                <w:szCs w:val="18"/>
                <w:color w:val="0000FF"/>
              </w:rPr>
              <w:t>Committees of our Board of Directors</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00" w:type="dxa"/>
            <w:vAlign w:val="bottom"/>
            <w:tcBorders>
              <w:bottom w:val="single" w:sz="8" w:color="0000EE"/>
            </w:tcBorders>
            <w:gridSpan w:val="32"/>
          </w:tcPr>
          <w:p>
            <w:pPr>
              <w:spacing w:after="0" w:line="196" w:lineRule="exact"/>
              <w:rPr>
                <w:sz w:val="20"/>
                <w:szCs w:val="20"/>
                <w:color w:val="auto"/>
              </w:rPr>
            </w:pPr>
            <w:r>
              <w:rPr>
                <w:rFonts w:ascii="Arial" w:cs="Arial" w:eastAsia="Arial" w:hAnsi="Arial"/>
                <w:sz w:val="18"/>
                <w:szCs w:val="18"/>
                <w:color w:val="0000EE"/>
                <w:w w:val="97"/>
              </w:rPr>
              <w:t>Attendance at Board and Stockholder Meetings</w:t>
            </w:r>
          </w:p>
        </w:tc>
        <w:tc>
          <w:tcPr>
            <w:tcW w:w="5860" w:type="dxa"/>
            <w:vAlign w:val="bottom"/>
            <w:gridSpan w:val="14"/>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60" w:type="dxa"/>
            <w:vAlign w:val="bottom"/>
            <w:gridSpan w:val="46"/>
          </w:tcPr>
          <w:p>
            <w:pPr>
              <w:spacing w:after="0" w:line="196" w:lineRule="exact"/>
              <w:rPr>
                <w:sz w:val="20"/>
                <w:szCs w:val="20"/>
                <w:color w:val="auto"/>
              </w:rPr>
            </w:pPr>
            <w:r>
              <w:rPr>
                <w:rFonts w:ascii="Arial" w:cs="Arial" w:eastAsia="Arial" w:hAnsi="Arial"/>
                <w:sz w:val="18"/>
                <w:szCs w:val="18"/>
                <w:color w:val="0000EE"/>
              </w:rPr>
              <w:t>Compensation Committee Interlocks and Insider Participation</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0" w:type="dxa"/>
            <w:vAlign w:val="bottom"/>
            <w:tcBorders>
              <w:top w:val="single" w:sz="8" w:color="0000EE"/>
            </w:tcBorders>
            <w:gridSpan w:val="38"/>
          </w:tcPr>
          <w:p>
            <w:pPr>
              <w:spacing w:after="0" w:line="196" w:lineRule="exact"/>
              <w:rPr>
                <w:sz w:val="20"/>
                <w:szCs w:val="20"/>
                <w:color w:val="auto"/>
              </w:rPr>
            </w:pPr>
            <w:r>
              <w:rPr>
                <w:rFonts w:ascii="Arial" w:cs="Arial" w:eastAsia="Arial" w:hAnsi="Arial"/>
                <w:sz w:val="18"/>
                <w:szCs w:val="18"/>
                <w:color w:val="0000EE"/>
              </w:rPr>
              <w:t>Considerations in Evaluating Director Nominees</w:t>
            </w:r>
          </w:p>
        </w:tc>
        <w:tc>
          <w:tcPr>
            <w:tcW w:w="4760" w:type="dxa"/>
            <w:vAlign w:val="bottom"/>
            <w:gridSpan w:val="8"/>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40" w:type="dxa"/>
            <w:vAlign w:val="bottom"/>
            <w:tcBorders>
              <w:bottom w:val="single" w:sz="8" w:color="0000EE"/>
            </w:tcBorders>
            <w:gridSpan w:val="40"/>
          </w:tcPr>
          <w:p>
            <w:pPr>
              <w:spacing w:after="0" w:line="196" w:lineRule="exact"/>
              <w:rPr>
                <w:sz w:val="20"/>
                <w:szCs w:val="20"/>
                <w:color w:val="auto"/>
              </w:rPr>
            </w:pPr>
            <w:r>
              <w:rPr>
                <w:rFonts w:ascii="Arial" w:cs="Arial" w:eastAsia="Arial" w:hAnsi="Arial"/>
                <w:sz w:val="18"/>
                <w:szCs w:val="18"/>
                <w:color w:val="0000EE"/>
                <w:w w:val="98"/>
              </w:rPr>
              <w:t>Stockholder Recommendations for Nominations to the Board of Directors</w:t>
            </w:r>
          </w:p>
        </w:tc>
        <w:tc>
          <w:tcPr>
            <w:tcW w:w="3820" w:type="dxa"/>
            <w:vAlign w:val="bottom"/>
            <w:gridSpan w:val="6"/>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40" w:type="dxa"/>
            <w:vAlign w:val="bottom"/>
            <w:tcBorders>
              <w:bottom w:val="single" w:sz="8" w:color="0000FF"/>
            </w:tcBorders>
            <w:gridSpan w:val="28"/>
          </w:tcPr>
          <w:p>
            <w:pPr>
              <w:spacing w:after="0" w:line="196" w:lineRule="exact"/>
              <w:rPr>
                <w:sz w:val="20"/>
                <w:szCs w:val="20"/>
                <w:color w:val="auto"/>
              </w:rPr>
            </w:pPr>
            <w:r>
              <w:rPr>
                <w:rFonts w:ascii="Arial" w:cs="Arial" w:eastAsia="Arial" w:hAnsi="Arial"/>
                <w:sz w:val="18"/>
                <w:szCs w:val="18"/>
                <w:color w:val="0000FF"/>
                <w:w w:val="97"/>
              </w:rPr>
              <w:t>Communications with the Board of Directors</w:t>
            </w:r>
          </w:p>
        </w:tc>
        <w:tc>
          <w:tcPr>
            <w:tcW w:w="6120" w:type="dxa"/>
            <w:vAlign w:val="bottom"/>
            <w:gridSpan w:val="18"/>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80" w:type="dxa"/>
            <w:vAlign w:val="bottom"/>
            <w:tcBorders>
              <w:bottom w:val="single" w:sz="8" w:color="0000EE"/>
            </w:tcBorders>
            <w:gridSpan w:val="41"/>
          </w:tcPr>
          <w:p>
            <w:pPr>
              <w:spacing w:after="0" w:line="196" w:lineRule="exact"/>
              <w:rPr>
                <w:sz w:val="20"/>
                <w:szCs w:val="20"/>
                <w:color w:val="auto"/>
              </w:rPr>
            </w:pPr>
            <w:r>
              <w:rPr>
                <w:rFonts w:ascii="Arial" w:cs="Arial" w:eastAsia="Arial" w:hAnsi="Arial"/>
                <w:sz w:val="18"/>
                <w:szCs w:val="18"/>
                <w:color w:val="0000EE"/>
                <w:w w:val="98"/>
              </w:rPr>
              <w:t>Corporate Governance Guidelines and Code of Business Conduct and Ethics</w:t>
            </w:r>
          </w:p>
        </w:tc>
        <w:tc>
          <w:tcPr>
            <w:tcW w:w="3480" w:type="dxa"/>
            <w:vAlign w:val="bottom"/>
            <w:gridSpan w:val="5"/>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80" w:type="dxa"/>
            <w:vAlign w:val="bottom"/>
            <w:tcBorders>
              <w:bottom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95"/>
              </w:rPr>
              <w:t>Director Compensation</w:t>
            </w:r>
          </w:p>
        </w:tc>
        <w:tc>
          <w:tcPr>
            <w:tcW w:w="7780" w:type="dxa"/>
            <w:vAlign w:val="bottom"/>
            <w:gridSpan w:val="35"/>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0000FF"/>
            </w:tcBorders>
            <w:gridSpan w:val="31"/>
          </w:tcPr>
          <w:p>
            <w:pPr>
              <w:spacing w:after="0" w:line="196" w:lineRule="exact"/>
              <w:rPr>
                <w:sz w:val="20"/>
                <w:szCs w:val="20"/>
                <w:color w:val="auto"/>
              </w:rPr>
            </w:pPr>
            <w:r>
              <w:rPr>
                <w:rFonts w:ascii="Arial" w:cs="Arial" w:eastAsia="Arial" w:hAnsi="Arial"/>
                <w:sz w:val="18"/>
                <w:szCs w:val="18"/>
                <w:color w:val="0000FF"/>
                <w:w w:val="99"/>
              </w:rPr>
              <w:t>PROPOSAL NO. 1—ELECTION OF DIRECTORS</w:t>
            </w:r>
          </w:p>
        </w:tc>
        <w:tc>
          <w:tcPr>
            <w:tcW w:w="6000" w:type="dxa"/>
            <w:vAlign w:val="bottom"/>
            <w:gridSpan w:val="16"/>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8"/>
              </w:rPr>
              <w:t>Nominees</w:t>
            </w:r>
          </w:p>
        </w:tc>
        <w:tc>
          <w:tcPr>
            <w:tcW w:w="8820" w:type="dxa"/>
            <w:vAlign w:val="bottom"/>
            <w:gridSpan w:val="45"/>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60" w:type="dxa"/>
            <w:vAlign w:val="bottom"/>
            <w:gridSpan w:val="46"/>
          </w:tcPr>
          <w:p>
            <w:pPr>
              <w:spacing w:after="0" w:line="196" w:lineRule="exact"/>
              <w:rPr>
                <w:sz w:val="20"/>
                <w:szCs w:val="20"/>
                <w:color w:val="auto"/>
              </w:rPr>
            </w:pPr>
            <w:r>
              <w:rPr>
                <w:rFonts w:ascii="Arial" w:cs="Arial" w:eastAsia="Arial" w:hAnsi="Arial"/>
                <w:sz w:val="18"/>
                <w:szCs w:val="18"/>
                <w:color w:val="0000FF"/>
              </w:rPr>
              <w:t>Vote Required</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80" w:type="dxa"/>
            <w:vAlign w:val="bottom"/>
            <w:tcBorders>
              <w:bottom w:val="single" w:sz="8" w:color="0000FF"/>
            </w:tcBorders>
            <w:gridSpan w:val="43"/>
          </w:tcPr>
          <w:p>
            <w:pPr>
              <w:spacing w:after="0" w:line="196" w:lineRule="exact"/>
              <w:rPr>
                <w:sz w:val="20"/>
                <w:szCs w:val="20"/>
                <w:color w:val="auto"/>
              </w:rPr>
            </w:pPr>
            <w:r>
              <w:rPr>
                <w:rFonts w:ascii="Arial" w:cs="Arial" w:eastAsia="Arial" w:hAnsi="Arial"/>
                <w:sz w:val="18"/>
                <w:szCs w:val="18"/>
                <w:color w:val="0000FF"/>
                <w:w w:val="99"/>
              </w:rPr>
              <w:t>PROPOSAL NO. 2—ADVISORY VOTE TO APPROVE NAMED EXECUTIVE OFFICER COMPENSATION</w:t>
            </w:r>
          </w:p>
        </w:tc>
        <w:tc>
          <w:tcPr>
            <w:tcW w:w="1520" w:type="dxa"/>
            <w:vAlign w:val="bottom"/>
            <w:gridSpan w:val="4"/>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0" w:type="dxa"/>
            <w:vAlign w:val="bottom"/>
            <w:gridSpan w:val="47"/>
          </w:tcPr>
          <w:p>
            <w:pPr>
              <w:spacing w:after="0" w:line="196" w:lineRule="exact"/>
              <w:rPr>
                <w:sz w:val="20"/>
                <w:szCs w:val="20"/>
                <w:color w:val="auto"/>
              </w:rPr>
            </w:pPr>
            <w:r>
              <w:rPr>
                <w:rFonts w:ascii="Arial" w:cs="Arial" w:eastAsia="Arial" w:hAnsi="Arial"/>
                <w:sz w:val="18"/>
                <w:szCs w:val="18"/>
                <w:color w:val="0000FF"/>
              </w:rPr>
              <w:t>PROPOSAL NO. 3—ADVISORY VOTE ON THE FREQUENCY OF FUTURE ADVISORY VOTES ON NAMED</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60" w:type="dxa"/>
            <w:vAlign w:val="bottom"/>
            <w:tcBorders>
              <w:top w:val="single" w:sz="8" w:color="0000FF"/>
              <w:bottom w:val="single" w:sz="8" w:color="0000FF"/>
            </w:tcBorders>
            <w:gridSpan w:val="24"/>
          </w:tcPr>
          <w:p>
            <w:pPr>
              <w:spacing w:after="0" w:line="169" w:lineRule="exact"/>
              <w:rPr>
                <w:sz w:val="20"/>
                <w:szCs w:val="20"/>
                <w:color w:val="auto"/>
              </w:rPr>
            </w:pPr>
            <w:r>
              <w:rPr>
                <w:rFonts w:ascii="Arial" w:cs="Arial" w:eastAsia="Arial" w:hAnsi="Arial"/>
                <w:sz w:val="18"/>
                <w:szCs w:val="18"/>
                <w:color w:val="0000FF"/>
                <w:w w:val="99"/>
              </w:rPr>
              <w:t>EXECUTIVE OFFICER COMPENSATION</w:t>
            </w:r>
          </w:p>
        </w:tc>
        <w:tc>
          <w:tcPr>
            <w:tcW w:w="5500" w:type="dxa"/>
            <w:vAlign w:val="bottom"/>
            <w:tcBorders>
              <w:top w:val="single" w:sz="8" w:color="0000FF"/>
            </w:tcBorders>
            <w:gridSpan w:val="20"/>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0" w:type="dxa"/>
            <w:vAlign w:val="bottom"/>
            <w:gridSpan w:val="47"/>
          </w:tcPr>
          <w:p>
            <w:pPr>
              <w:spacing w:after="0" w:line="196" w:lineRule="exact"/>
              <w:rPr>
                <w:sz w:val="20"/>
                <w:szCs w:val="20"/>
                <w:color w:val="auto"/>
              </w:rPr>
            </w:pPr>
            <w:r>
              <w:rPr>
                <w:rFonts w:ascii="Arial" w:cs="Arial" w:eastAsia="Arial" w:hAnsi="Arial"/>
                <w:sz w:val="18"/>
                <w:szCs w:val="18"/>
                <w:color w:val="0000FF"/>
              </w:rPr>
              <w:t>PROPOSAL NO. 4—RATIFICATION OF APPOINTMENT OF INDEPENDENT REGISTERED PUBLIC ACCOUNTING</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40" w:type="dxa"/>
            <w:vAlign w:val="bottom"/>
            <w:tcBorders>
              <w:top w:val="single" w:sz="8" w:color="0000FF"/>
            </w:tcBorders>
            <w:gridSpan w:val="46"/>
          </w:tcPr>
          <w:p>
            <w:pPr>
              <w:spacing w:after="0" w:line="169" w:lineRule="exact"/>
              <w:rPr>
                <w:sz w:val="20"/>
                <w:szCs w:val="20"/>
                <w:color w:val="auto"/>
              </w:rPr>
            </w:pPr>
            <w:r>
              <w:rPr>
                <w:rFonts w:ascii="Arial" w:cs="Arial" w:eastAsia="Arial" w:hAnsi="Arial"/>
                <w:sz w:val="18"/>
                <w:szCs w:val="18"/>
                <w:color w:val="0000FF"/>
              </w:rPr>
              <w:t>FIRM</w:t>
            </w:r>
          </w:p>
        </w:tc>
        <w:tc>
          <w:tcPr>
            <w:tcW w:w="5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tcBorders>
              <w:bottom w:val="single" w:sz="8" w:color="0000EE"/>
            </w:tcBorders>
            <w:gridSpan w:val="39"/>
          </w:tcPr>
          <w:p>
            <w:pPr>
              <w:spacing w:after="0" w:line="196" w:lineRule="exact"/>
              <w:rPr>
                <w:sz w:val="20"/>
                <w:szCs w:val="20"/>
                <w:color w:val="auto"/>
              </w:rPr>
            </w:pPr>
            <w:r>
              <w:rPr>
                <w:rFonts w:ascii="Arial" w:cs="Arial" w:eastAsia="Arial" w:hAnsi="Arial"/>
                <w:sz w:val="18"/>
                <w:szCs w:val="18"/>
                <w:color w:val="0000EE"/>
                <w:w w:val="98"/>
              </w:rPr>
              <w:t>Fees Paid to the Independent Registered Public Accounting Firm</w:t>
            </w:r>
          </w:p>
        </w:tc>
        <w:tc>
          <w:tcPr>
            <w:tcW w:w="4420" w:type="dxa"/>
            <w:vAlign w:val="bottom"/>
            <w:gridSpan w:val="7"/>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60" w:type="dxa"/>
            <w:vAlign w:val="bottom"/>
            <w:gridSpan w:val="46"/>
          </w:tcPr>
          <w:p>
            <w:pPr>
              <w:spacing w:after="0" w:line="196" w:lineRule="exact"/>
              <w:rPr>
                <w:sz w:val="20"/>
                <w:szCs w:val="20"/>
                <w:color w:val="auto"/>
              </w:rPr>
            </w:pPr>
            <w:r>
              <w:rPr>
                <w:rFonts w:ascii="Arial" w:cs="Arial" w:eastAsia="Arial" w:hAnsi="Arial"/>
                <w:sz w:val="18"/>
                <w:szCs w:val="18"/>
                <w:color w:val="0000EE"/>
              </w:rPr>
              <w:t>Auditor Independence</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520" w:type="dxa"/>
            <w:vAlign w:val="bottom"/>
            <w:gridSpan w:val="9"/>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60" w:type="dxa"/>
            <w:vAlign w:val="bottom"/>
            <w:gridSpan w:val="46"/>
          </w:tcPr>
          <w:p>
            <w:pPr>
              <w:spacing w:after="0" w:line="196" w:lineRule="exact"/>
              <w:rPr>
                <w:sz w:val="20"/>
                <w:szCs w:val="20"/>
                <w:color w:val="auto"/>
              </w:rPr>
            </w:pPr>
            <w:r>
              <w:rPr>
                <w:rFonts w:ascii="Arial" w:cs="Arial" w:eastAsia="Arial" w:hAnsi="Arial"/>
                <w:sz w:val="18"/>
                <w:szCs w:val="18"/>
                <w:color w:val="0000EE"/>
              </w:rPr>
              <w:t>Audit Committee Policy on Pre-Approval of Audit and Permissible Non-Audit Services of Independent Registered</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940" w:type="dxa"/>
            <w:vAlign w:val="bottom"/>
            <w:tcBorders>
              <w:top w:val="single" w:sz="8" w:color="0000EE"/>
            </w:tcBorders>
            <w:gridSpan w:val="44"/>
          </w:tcPr>
          <w:p>
            <w:pPr>
              <w:spacing w:after="0" w:line="169" w:lineRule="exact"/>
              <w:rPr>
                <w:sz w:val="20"/>
                <w:szCs w:val="20"/>
                <w:color w:val="auto"/>
              </w:rPr>
            </w:pPr>
            <w:r>
              <w:rPr>
                <w:rFonts w:ascii="Arial" w:cs="Arial" w:eastAsia="Arial" w:hAnsi="Arial"/>
                <w:sz w:val="18"/>
                <w:szCs w:val="18"/>
                <w:color w:val="0000EE"/>
              </w:rPr>
              <w:t>Public Accounting Firm</w:t>
            </w:r>
          </w:p>
        </w:tc>
        <w:tc>
          <w:tcPr>
            <w:tcW w:w="620" w:type="dxa"/>
            <w:vAlign w:val="bottom"/>
            <w:gridSpan w:val="2"/>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6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FF"/>
              </w:rPr>
              <w:t>Vote Required</w:t>
            </w:r>
          </w:p>
        </w:tc>
        <w:tc>
          <w:tcPr>
            <w:tcW w:w="7800" w:type="dxa"/>
            <w:vAlign w:val="bottom"/>
            <w:gridSpan w:val="36"/>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5140" w:type="dxa"/>
            <w:vAlign w:val="bottom"/>
            <w:gridSpan w:val="11"/>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80" w:type="dxa"/>
            <w:vAlign w:val="bottom"/>
            <w:tcBorders>
              <w:bottom w:val="single" w:sz="8" w:color="0000FF"/>
            </w:tcBorders>
            <w:gridSpan w:val="15"/>
          </w:tcPr>
          <w:p>
            <w:pPr>
              <w:spacing w:after="0" w:line="196" w:lineRule="exact"/>
              <w:rPr>
                <w:sz w:val="20"/>
                <w:szCs w:val="20"/>
                <w:color w:val="auto"/>
              </w:rPr>
            </w:pPr>
            <w:r>
              <w:rPr>
                <w:rFonts w:ascii="Arial" w:cs="Arial" w:eastAsia="Arial" w:hAnsi="Arial"/>
                <w:sz w:val="18"/>
                <w:szCs w:val="18"/>
                <w:color w:val="0000FF"/>
                <w:w w:val="99"/>
              </w:rPr>
              <w:t>AUDIT COMMITTEE REPORT</w:t>
            </w:r>
          </w:p>
        </w:tc>
        <w:tc>
          <w:tcPr>
            <w:tcW w:w="7520" w:type="dxa"/>
            <w:vAlign w:val="bottom"/>
            <w:gridSpan w:val="32"/>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2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99"/>
              </w:rPr>
              <w:t>EXECUTIVE OFFICERS</w:t>
            </w:r>
          </w:p>
        </w:tc>
        <w:tc>
          <w:tcPr>
            <w:tcW w:w="7980" w:type="dxa"/>
            <w:vAlign w:val="bottom"/>
            <w:gridSpan w:val="38"/>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Borders>
              <w:bottom w:val="single" w:sz="8" w:color="0000FF"/>
            </w:tcBorders>
            <w:gridSpan w:val="16"/>
          </w:tcPr>
          <w:p>
            <w:pPr>
              <w:spacing w:after="0" w:line="196" w:lineRule="exact"/>
              <w:rPr>
                <w:sz w:val="20"/>
                <w:szCs w:val="20"/>
                <w:color w:val="auto"/>
              </w:rPr>
            </w:pPr>
            <w:r>
              <w:rPr>
                <w:rFonts w:ascii="Arial" w:cs="Arial" w:eastAsia="Arial" w:hAnsi="Arial"/>
                <w:sz w:val="18"/>
                <w:szCs w:val="18"/>
                <w:color w:val="0000FF"/>
                <w:w w:val="98"/>
              </w:rPr>
              <w:t>EXECUTIVE COMPENSATION</w:t>
            </w:r>
          </w:p>
        </w:tc>
        <w:tc>
          <w:tcPr>
            <w:tcW w:w="7480" w:type="dxa"/>
            <w:vAlign w:val="bottom"/>
            <w:gridSpan w:val="31"/>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80" w:type="dxa"/>
            <w:vAlign w:val="bottom"/>
            <w:tcBorders>
              <w:bottom w:val="single" w:sz="8" w:color="0000FF"/>
            </w:tcBorders>
            <w:gridSpan w:val="25"/>
          </w:tcPr>
          <w:p>
            <w:pPr>
              <w:spacing w:after="0" w:line="196" w:lineRule="exact"/>
              <w:rPr>
                <w:sz w:val="20"/>
                <w:szCs w:val="20"/>
                <w:color w:val="auto"/>
              </w:rPr>
            </w:pPr>
            <w:r>
              <w:rPr>
                <w:rFonts w:ascii="Arial" w:cs="Arial" w:eastAsia="Arial" w:hAnsi="Arial"/>
                <w:sz w:val="18"/>
                <w:szCs w:val="18"/>
                <w:color w:val="0000FF"/>
                <w:w w:val="97"/>
              </w:rPr>
              <w:t>Compensation Discussion and Analysis</w:t>
            </w:r>
          </w:p>
        </w:tc>
        <w:tc>
          <w:tcPr>
            <w:tcW w:w="6480" w:type="dxa"/>
            <w:vAlign w:val="bottom"/>
            <w:gridSpan w:val="21"/>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60" w:type="dxa"/>
            <w:vAlign w:val="bottom"/>
            <w:gridSpan w:val="46"/>
          </w:tcPr>
          <w:p>
            <w:pPr>
              <w:spacing w:after="0" w:line="196" w:lineRule="exact"/>
              <w:rPr>
                <w:sz w:val="20"/>
                <w:szCs w:val="20"/>
                <w:color w:val="auto"/>
              </w:rPr>
            </w:pPr>
            <w:r>
              <w:rPr>
                <w:rFonts w:ascii="Arial" w:cs="Arial" w:eastAsia="Arial" w:hAnsi="Arial"/>
                <w:sz w:val="18"/>
                <w:szCs w:val="18"/>
                <w:color w:val="0000FF"/>
              </w:rPr>
              <w:t>Named Executive Officers</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0" w:type="dxa"/>
            <w:vAlign w:val="bottom"/>
            <w:tcBorders>
              <w:top w:val="single" w:sz="8" w:color="0000FF"/>
            </w:tcBorders>
            <w:gridSpan w:val="12"/>
          </w:tcPr>
          <w:p>
            <w:pPr>
              <w:spacing w:after="0" w:line="196" w:lineRule="exact"/>
              <w:rPr>
                <w:sz w:val="20"/>
                <w:szCs w:val="20"/>
                <w:color w:val="auto"/>
              </w:rPr>
            </w:pPr>
            <w:r>
              <w:rPr>
                <w:rFonts w:ascii="Arial" w:cs="Arial" w:eastAsia="Arial" w:hAnsi="Arial"/>
                <w:sz w:val="18"/>
                <w:szCs w:val="18"/>
                <w:color w:val="0000FF"/>
              </w:rPr>
              <w:t>Executive Summary</w:t>
            </w:r>
          </w:p>
        </w:tc>
        <w:tc>
          <w:tcPr>
            <w:tcW w:w="7560" w:type="dxa"/>
            <w:vAlign w:val="bottom"/>
            <w:gridSpan w:val="34"/>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5140" w:type="dxa"/>
            <w:vAlign w:val="bottom"/>
            <w:gridSpan w:val="11"/>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20" w:type="dxa"/>
            <w:vAlign w:val="bottom"/>
            <w:tcBorders>
              <w:bottom w:val="single" w:sz="8" w:color="0000FF"/>
            </w:tcBorders>
            <w:gridSpan w:val="13"/>
          </w:tcPr>
          <w:p>
            <w:pPr>
              <w:spacing w:after="0" w:line="196" w:lineRule="exact"/>
              <w:rPr>
                <w:sz w:val="20"/>
                <w:szCs w:val="20"/>
                <w:color w:val="auto"/>
              </w:rPr>
            </w:pPr>
            <w:r>
              <w:rPr>
                <w:rFonts w:ascii="Arial" w:cs="Arial" w:eastAsia="Arial" w:hAnsi="Arial"/>
                <w:sz w:val="18"/>
                <w:szCs w:val="18"/>
                <w:color w:val="0000FF"/>
                <w:w w:val="95"/>
              </w:rPr>
              <w:t>Compensation Philosophy</w:t>
            </w:r>
          </w:p>
        </w:tc>
        <w:tc>
          <w:tcPr>
            <w:tcW w:w="7540" w:type="dxa"/>
            <w:vAlign w:val="bottom"/>
            <w:gridSpan w:val="33"/>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40" w:type="dxa"/>
            <w:vAlign w:val="bottom"/>
            <w:tcBorders>
              <w:bottom w:val="single" w:sz="8" w:color="0000FF"/>
            </w:tcBorders>
            <w:gridSpan w:val="7"/>
          </w:tcPr>
          <w:p>
            <w:pPr>
              <w:spacing w:after="0" w:line="196" w:lineRule="exact"/>
              <w:rPr>
                <w:sz w:val="20"/>
                <w:szCs w:val="20"/>
                <w:color w:val="auto"/>
              </w:rPr>
            </w:pPr>
            <w:r>
              <w:rPr>
                <w:rFonts w:ascii="Arial" w:cs="Arial" w:eastAsia="Arial" w:hAnsi="Arial"/>
                <w:sz w:val="18"/>
                <w:szCs w:val="18"/>
                <w:color w:val="0000FF"/>
                <w:w w:val="93"/>
              </w:rPr>
              <w:t>“Say-on-Pay” Voting</w:t>
            </w:r>
          </w:p>
        </w:tc>
        <w:tc>
          <w:tcPr>
            <w:tcW w:w="8020" w:type="dxa"/>
            <w:vAlign w:val="bottom"/>
            <w:gridSpan w:val="39"/>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60" w:type="dxa"/>
            <w:vAlign w:val="bottom"/>
            <w:tcBorders>
              <w:bottom w:val="single" w:sz="8" w:color="0000FF"/>
            </w:tcBorders>
            <w:gridSpan w:val="24"/>
          </w:tcPr>
          <w:p>
            <w:pPr>
              <w:spacing w:after="0" w:line="196" w:lineRule="exact"/>
              <w:rPr>
                <w:sz w:val="20"/>
                <w:szCs w:val="20"/>
                <w:color w:val="auto"/>
              </w:rPr>
            </w:pPr>
            <w:r>
              <w:rPr>
                <w:rFonts w:ascii="Arial" w:cs="Arial" w:eastAsia="Arial" w:hAnsi="Arial"/>
                <w:sz w:val="18"/>
                <w:szCs w:val="18"/>
                <w:color w:val="0000FF"/>
                <w:w w:val="96"/>
              </w:rPr>
              <w:t>Compensation Determination Process</w:t>
            </w:r>
          </w:p>
        </w:tc>
        <w:tc>
          <w:tcPr>
            <w:tcW w:w="6600" w:type="dxa"/>
            <w:vAlign w:val="bottom"/>
            <w:gridSpan w:val="22"/>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60" w:type="dxa"/>
            <w:vAlign w:val="bottom"/>
            <w:gridSpan w:val="46"/>
          </w:tcPr>
          <w:p>
            <w:pPr>
              <w:spacing w:after="0" w:line="196" w:lineRule="exact"/>
              <w:rPr>
                <w:sz w:val="20"/>
                <w:szCs w:val="20"/>
                <w:color w:val="auto"/>
              </w:rPr>
            </w:pPr>
            <w:r>
              <w:rPr>
                <w:rFonts w:ascii="Arial" w:cs="Arial" w:eastAsia="Arial" w:hAnsi="Arial"/>
                <w:sz w:val="18"/>
                <w:szCs w:val="18"/>
                <w:color w:val="0000FF"/>
              </w:rPr>
              <w:t>Pay Components</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5140" w:type="dxa"/>
            <w:vAlign w:val="bottom"/>
            <w:gridSpan w:val="11"/>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60" w:type="dxa"/>
            <w:vAlign w:val="bottom"/>
            <w:gridSpan w:val="46"/>
          </w:tcPr>
          <w:p>
            <w:pPr>
              <w:spacing w:after="0" w:line="196" w:lineRule="exact"/>
              <w:rPr>
                <w:sz w:val="20"/>
                <w:szCs w:val="20"/>
                <w:color w:val="auto"/>
              </w:rPr>
            </w:pPr>
            <w:r>
              <w:rPr>
                <w:rFonts w:ascii="Arial" w:cs="Arial" w:eastAsia="Arial" w:hAnsi="Arial"/>
                <w:sz w:val="18"/>
                <w:szCs w:val="18"/>
                <w:color w:val="0000FF"/>
              </w:rPr>
              <w:t>Severance and Change in Control Protections</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80" w:type="dxa"/>
            <w:vAlign w:val="bottom"/>
            <w:tcBorders>
              <w:top w:val="single" w:sz="8" w:color="0000FF"/>
            </w:tcBorders>
            <w:gridSpan w:val="31"/>
          </w:tcPr>
          <w:p>
            <w:pPr>
              <w:spacing w:after="0" w:line="196" w:lineRule="exact"/>
              <w:rPr>
                <w:sz w:val="20"/>
                <w:szCs w:val="20"/>
                <w:color w:val="auto"/>
              </w:rPr>
            </w:pPr>
            <w:r>
              <w:rPr>
                <w:rFonts w:ascii="Arial" w:cs="Arial" w:eastAsia="Arial" w:hAnsi="Arial"/>
                <w:sz w:val="18"/>
                <w:szCs w:val="18"/>
                <w:color w:val="0000FF"/>
              </w:rPr>
              <w:t>Other Compensation</w:t>
            </w:r>
          </w:p>
        </w:tc>
        <w:tc>
          <w:tcPr>
            <w:tcW w:w="5980" w:type="dxa"/>
            <w:vAlign w:val="bottom"/>
            <w:gridSpan w:val="15"/>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580" w:type="dxa"/>
            <w:vAlign w:val="bottom"/>
            <w:tcBorders>
              <w:right w:val="single" w:sz="8" w:color="0000FF"/>
            </w:tcBorders>
            <w:gridSpan w:val="8"/>
            <w:shd w:val="clear" w:color="auto" w:fill="0000FF"/>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5140" w:type="dxa"/>
            <w:vAlign w:val="bottom"/>
            <w:gridSpan w:val="11"/>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60" w:type="dxa"/>
            <w:vAlign w:val="bottom"/>
            <w:gridSpan w:val="46"/>
          </w:tcPr>
          <w:p>
            <w:pPr>
              <w:spacing w:after="0" w:line="196" w:lineRule="exact"/>
              <w:rPr>
                <w:sz w:val="20"/>
                <w:szCs w:val="20"/>
                <w:color w:val="auto"/>
              </w:rPr>
            </w:pPr>
            <w:r>
              <w:rPr>
                <w:rFonts w:ascii="Arial" w:cs="Arial" w:eastAsia="Arial" w:hAnsi="Arial"/>
                <w:sz w:val="18"/>
                <w:szCs w:val="18"/>
                <w:color w:val="0000FF"/>
              </w:rPr>
              <w:t>Additional Policies and Practices</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2280" w:type="dxa"/>
            <w:vAlign w:val="bottom"/>
            <w:gridSpan w:val="17"/>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5140" w:type="dxa"/>
            <w:vAlign w:val="bottom"/>
            <w:gridSpan w:val="11"/>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60" w:type="dxa"/>
            <w:vAlign w:val="bottom"/>
            <w:gridSpan w:val="46"/>
          </w:tcPr>
          <w:p>
            <w:pPr>
              <w:spacing w:after="0" w:line="196" w:lineRule="exact"/>
              <w:rPr>
                <w:sz w:val="20"/>
                <w:szCs w:val="20"/>
                <w:color w:val="auto"/>
              </w:rPr>
            </w:pPr>
            <w:r>
              <w:rPr>
                <w:rFonts w:ascii="Arial" w:cs="Arial" w:eastAsia="Arial" w:hAnsi="Arial"/>
                <w:sz w:val="18"/>
                <w:szCs w:val="18"/>
                <w:color w:val="0000FF"/>
              </w:rPr>
              <w:t>Tax and Accounting Considerations</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0" w:type="dxa"/>
            <w:vAlign w:val="bottom"/>
            <w:tcBorders>
              <w:top w:val="single" w:sz="8" w:color="0000FF"/>
              <w:bottom w:val="single" w:sz="8" w:color="0000FF"/>
            </w:tcBorders>
            <w:gridSpan w:val="20"/>
          </w:tcPr>
          <w:p>
            <w:pPr>
              <w:spacing w:after="0" w:line="196" w:lineRule="exact"/>
              <w:rPr>
                <w:sz w:val="20"/>
                <w:szCs w:val="20"/>
                <w:color w:val="auto"/>
              </w:rPr>
            </w:pPr>
            <w:r>
              <w:rPr>
                <w:rFonts w:ascii="Arial" w:cs="Arial" w:eastAsia="Arial" w:hAnsi="Arial"/>
                <w:sz w:val="18"/>
                <w:szCs w:val="18"/>
                <w:color w:val="0000FF"/>
                <w:w w:val="96"/>
              </w:rPr>
              <w:t>Compensation Committee Report</w:t>
            </w:r>
          </w:p>
        </w:tc>
        <w:tc>
          <w:tcPr>
            <w:tcW w:w="140" w:type="dxa"/>
            <w:vAlign w:val="bottom"/>
            <w:tcBorders>
              <w:top w:val="single" w:sz="8" w:color="0000FF"/>
            </w:tcBorders>
          </w:tcPr>
          <w:p>
            <w:pPr>
              <w:spacing w:after="0"/>
              <w:rPr>
                <w:sz w:val="17"/>
                <w:szCs w:val="17"/>
                <w:color w:val="auto"/>
              </w:rPr>
            </w:pPr>
          </w:p>
        </w:tc>
        <w:tc>
          <w:tcPr>
            <w:tcW w:w="6820" w:type="dxa"/>
            <w:vAlign w:val="bottom"/>
            <w:gridSpan w:val="25"/>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60" w:type="dxa"/>
            <w:vAlign w:val="bottom"/>
            <w:gridSpan w:val="46"/>
          </w:tcPr>
          <w:p>
            <w:pPr>
              <w:spacing w:after="0" w:line="196" w:lineRule="exact"/>
              <w:rPr>
                <w:sz w:val="20"/>
                <w:szCs w:val="20"/>
                <w:color w:val="auto"/>
              </w:rPr>
            </w:pPr>
            <w:r>
              <w:rPr>
                <w:rFonts w:ascii="Arial" w:cs="Arial" w:eastAsia="Arial" w:hAnsi="Arial"/>
                <w:sz w:val="18"/>
                <w:szCs w:val="18"/>
                <w:color w:val="0000FF"/>
              </w:rPr>
              <w:t>Summary Compensation Table</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80" w:type="dxa"/>
            <w:vAlign w:val="bottom"/>
            <w:tcBorders>
              <w:top w:val="single" w:sz="8" w:color="0000FF"/>
            </w:tcBorders>
            <w:gridSpan w:val="18"/>
          </w:tcPr>
          <w:p>
            <w:pPr>
              <w:spacing w:after="0" w:line="196" w:lineRule="exact"/>
              <w:rPr>
                <w:sz w:val="20"/>
                <w:szCs w:val="20"/>
                <w:color w:val="auto"/>
              </w:rPr>
            </w:pPr>
            <w:r>
              <w:rPr>
                <w:rFonts w:ascii="Arial" w:cs="Arial" w:eastAsia="Arial" w:hAnsi="Arial"/>
                <w:sz w:val="18"/>
                <w:szCs w:val="18"/>
                <w:color w:val="0000FF"/>
                <w:w w:val="99"/>
              </w:rPr>
              <w:t>Grants of Plan Based Awards</w:t>
            </w:r>
          </w:p>
        </w:tc>
        <w:tc>
          <w:tcPr>
            <w:tcW w:w="7180" w:type="dxa"/>
            <w:vAlign w:val="bottom"/>
            <w:gridSpan w:val="28"/>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2280" w:type="dxa"/>
            <w:vAlign w:val="bottom"/>
            <w:gridSpan w:val="17"/>
            <w:shd w:val="clear" w:color="auto" w:fill="0000FF"/>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5140" w:type="dxa"/>
            <w:vAlign w:val="bottom"/>
            <w:gridSpan w:val="11"/>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40" w:type="dxa"/>
            <w:vAlign w:val="bottom"/>
            <w:tcBorders>
              <w:bottom w:val="single" w:sz="8" w:color="0000FF"/>
            </w:tcBorders>
            <w:gridSpan w:val="29"/>
          </w:tcPr>
          <w:p>
            <w:pPr>
              <w:spacing w:after="0" w:line="196" w:lineRule="exact"/>
              <w:rPr>
                <w:sz w:val="20"/>
                <w:szCs w:val="20"/>
                <w:color w:val="auto"/>
              </w:rPr>
            </w:pPr>
            <w:r>
              <w:rPr>
                <w:rFonts w:ascii="Arial" w:cs="Arial" w:eastAsia="Arial" w:hAnsi="Arial"/>
                <w:sz w:val="18"/>
                <w:szCs w:val="18"/>
                <w:color w:val="0000FF"/>
                <w:w w:val="96"/>
              </w:rPr>
              <w:t>Outstanding Equity Awards at 2021 Year-End</w:t>
            </w:r>
          </w:p>
        </w:tc>
        <w:tc>
          <w:tcPr>
            <w:tcW w:w="6020" w:type="dxa"/>
            <w:vAlign w:val="bottom"/>
            <w:gridSpan w:val="17"/>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60" w:type="dxa"/>
            <w:vAlign w:val="bottom"/>
            <w:gridSpan w:val="46"/>
          </w:tcPr>
          <w:p>
            <w:pPr>
              <w:spacing w:after="0" w:line="196" w:lineRule="exact"/>
              <w:rPr>
                <w:sz w:val="20"/>
                <w:szCs w:val="20"/>
                <w:color w:val="auto"/>
              </w:rPr>
            </w:pPr>
            <w:r>
              <w:rPr>
                <w:rFonts w:ascii="Arial" w:cs="Arial" w:eastAsia="Arial" w:hAnsi="Arial"/>
                <w:sz w:val="18"/>
                <w:szCs w:val="18"/>
                <w:color w:val="0000FF"/>
              </w:rPr>
              <w:t>Option Exercises During Fiscal Year 2021</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3240" w:type="dxa"/>
            <w:vAlign w:val="bottom"/>
            <w:gridSpan w:val="2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5140" w:type="dxa"/>
            <w:vAlign w:val="bottom"/>
            <w:gridSpan w:val="11"/>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60" w:type="dxa"/>
            <w:vAlign w:val="bottom"/>
            <w:gridSpan w:val="46"/>
          </w:tcPr>
          <w:p>
            <w:pPr>
              <w:spacing w:after="0" w:line="196" w:lineRule="exact"/>
              <w:rPr>
                <w:sz w:val="20"/>
                <w:szCs w:val="20"/>
                <w:color w:val="auto"/>
              </w:rPr>
            </w:pPr>
            <w:r>
              <w:rPr>
                <w:rFonts w:ascii="Arial" w:cs="Arial" w:eastAsia="Arial" w:hAnsi="Arial"/>
                <w:sz w:val="18"/>
                <w:szCs w:val="18"/>
                <w:color w:val="0000FF"/>
              </w:rPr>
              <w:t>Executive Employment Letter Agreements</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3280" w:type="dxa"/>
            <w:vAlign w:val="bottom"/>
            <w:gridSpan w:val="27"/>
            <w:shd w:val="clear" w:color="auto" w:fill="0000FF"/>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5140" w:type="dxa"/>
            <w:vAlign w:val="bottom"/>
            <w:gridSpan w:val="11"/>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60" w:type="dxa"/>
            <w:vAlign w:val="bottom"/>
            <w:gridSpan w:val="46"/>
          </w:tcPr>
          <w:p>
            <w:pPr>
              <w:spacing w:after="0" w:line="196" w:lineRule="exact"/>
              <w:rPr>
                <w:sz w:val="20"/>
                <w:szCs w:val="20"/>
                <w:color w:val="auto"/>
              </w:rPr>
            </w:pPr>
            <w:r>
              <w:rPr>
                <w:rFonts w:ascii="Arial" w:cs="Arial" w:eastAsia="Arial" w:hAnsi="Arial"/>
                <w:sz w:val="18"/>
                <w:szCs w:val="18"/>
                <w:color w:val="0000FF"/>
              </w:rPr>
              <w:t>Potential Payments on Termination or Change in Control</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94"/>
        </w:trPr>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Executive Incentive Compensation Plan</w:t>
            </w:r>
          </w:p>
        </w:tc>
        <w:tc>
          <w:tcPr>
            <w:tcW w:w="5420" w:type="dxa"/>
            <w:vAlign w:val="bottom"/>
            <w:gridSpan w:val="6"/>
          </w:tcPr>
          <w:p>
            <w:pPr>
              <w:spacing w:after="0"/>
              <w:rPr>
                <w:sz w:val="17"/>
                <w:szCs w:val="17"/>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9"/>
              </w:rPr>
              <w:t>Equity Compensation Plan Information</w:t>
            </w:r>
          </w:p>
        </w:tc>
        <w:tc>
          <w:tcPr>
            <w:tcW w:w="5520" w:type="dxa"/>
            <w:vAlign w:val="bottom"/>
            <w:gridSpan w:val="7"/>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00" w:type="dxa"/>
            <w:vAlign w:val="bottom"/>
            <w:tcBorders>
              <w:bottom w:val="single" w:sz="8" w:color="0000FF"/>
            </w:tcBorders>
            <w:gridSpan w:val="10"/>
          </w:tcPr>
          <w:p>
            <w:pPr>
              <w:spacing w:after="0" w:line="196" w:lineRule="exact"/>
              <w:rPr>
                <w:sz w:val="20"/>
                <w:szCs w:val="20"/>
                <w:color w:val="auto"/>
              </w:rPr>
            </w:pPr>
            <w:r>
              <w:rPr>
                <w:rFonts w:ascii="Arial" w:cs="Arial" w:eastAsia="Arial" w:hAnsi="Arial"/>
                <w:sz w:val="18"/>
                <w:szCs w:val="18"/>
                <w:color w:val="0000FF"/>
                <w:w w:val="99"/>
              </w:rPr>
              <w:t>Risk Analysis of our Compensation Plans</w:t>
            </w:r>
          </w:p>
        </w:tc>
        <w:tc>
          <w:tcPr>
            <w:tcW w:w="5300" w:type="dxa"/>
            <w:vAlign w:val="bottom"/>
            <w:gridSpan w:val="5"/>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gridSpan w:val="16"/>
          </w:tcPr>
          <w:p>
            <w:pPr>
              <w:spacing w:after="0" w:line="196" w:lineRule="exact"/>
              <w:rPr>
                <w:sz w:val="20"/>
                <w:szCs w:val="20"/>
                <w:color w:val="auto"/>
              </w:rPr>
            </w:pPr>
            <w:r>
              <w:rPr>
                <w:rFonts w:ascii="Arial" w:cs="Arial" w:eastAsia="Arial" w:hAnsi="Arial"/>
                <w:sz w:val="18"/>
                <w:szCs w:val="18"/>
                <w:color w:val="0000FF"/>
              </w:rPr>
              <w:t>SECURITY OWNERSHIP OF CERTAIN BENEFICIAL OWNERS AND MANAGEMENT</w:t>
            </w: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Borders>
              <w:top w:val="single" w:sz="8" w:color="0000FF"/>
            </w:tcBorders>
            <w:gridSpan w:val="15"/>
          </w:tcPr>
          <w:p>
            <w:pPr>
              <w:spacing w:after="0" w:line="196" w:lineRule="exact"/>
              <w:rPr>
                <w:sz w:val="20"/>
                <w:szCs w:val="20"/>
                <w:color w:val="auto"/>
              </w:rPr>
            </w:pPr>
            <w:r>
              <w:rPr>
                <w:rFonts w:ascii="Arial" w:cs="Arial" w:eastAsia="Arial" w:hAnsi="Arial"/>
                <w:sz w:val="18"/>
                <w:szCs w:val="18"/>
                <w:color w:val="0000FF"/>
              </w:rPr>
              <w:t>CERTAIN RELATIONSHIPS, RELATED PARTY AND OTHER TRANSACTIONS</w:t>
            </w:r>
          </w:p>
        </w:tc>
        <w:tc>
          <w:tcPr>
            <w:tcW w:w="2040" w:type="dxa"/>
            <w:vAlign w:val="bottom"/>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320" w:type="dxa"/>
            <w:vAlign w:val="bottom"/>
            <w:tcBorders>
              <w:top w:val="single" w:sz="8" w:color="0000FF"/>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Investors’ Rights Agreement</w:t>
            </w:r>
          </w:p>
        </w:tc>
        <w:tc>
          <w:tcPr>
            <w:tcW w:w="3680" w:type="dxa"/>
            <w:vAlign w:val="bottom"/>
            <w:tcBorders>
              <w:top w:val="single" w:sz="8" w:color="0000FF"/>
            </w:tcBorders>
            <w:gridSpan w:val="10"/>
          </w:tcPr>
          <w:p>
            <w:pPr>
              <w:spacing w:after="0"/>
              <w:rPr>
                <w:sz w:val="17"/>
                <w:szCs w:val="17"/>
                <w:color w:val="auto"/>
              </w:rPr>
            </w:pPr>
          </w:p>
        </w:tc>
        <w:tc>
          <w:tcPr>
            <w:tcW w:w="2600" w:type="dxa"/>
            <w:vAlign w:val="bottom"/>
            <w:gridSpan w:val="2"/>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4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9"/>
              </w:rPr>
              <w:t>venBIO Consulting Agreement</w:t>
            </w:r>
          </w:p>
        </w:tc>
        <w:tc>
          <w:tcPr>
            <w:tcW w:w="6160" w:type="dxa"/>
            <w:vAlign w:val="bottom"/>
            <w:gridSpan w:val="11"/>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8"/>
              </w:rPr>
              <w:t>Tallac Therapeutics Agreements</w:t>
            </w:r>
          </w:p>
        </w:tc>
        <w:tc>
          <w:tcPr>
            <w:tcW w:w="6020" w:type="dxa"/>
            <w:vAlign w:val="bottom"/>
            <w:gridSpan w:val="10"/>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2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9"/>
              </w:rPr>
              <w:t>Acquisition of ScalmiBio, Inc.</w:t>
            </w:r>
          </w:p>
        </w:tc>
        <w:tc>
          <w:tcPr>
            <w:tcW w:w="6280" w:type="dxa"/>
            <w:vAlign w:val="bottom"/>
            <w:gridSpan w:val="12"/>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9"/>
              </w:rPr>
              <w:t>Indemnification Agreements</w:t>
            </w:r>
          </w:p>
        </w:tc>
        <w:tc>
          <w:tcPr>
            <w:tcW w:w="6360" w:type="dxa"/>
            <w:vAlign w:val="bottom"/>
            <w:gridSpan w:val="13"/>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9"/>
              </w:rPr>
              <w:t>Related-Party Transaction Policy</w:t>
            </w:r>
          </w:p>
        </w:tc>
        <w:tc>
          <w:tcPr>
            <w:tcW w:w="5980" w:type="dxa"/>
            <w:vAlign w:val="bottom"/>
            <w:gridSpan w:val="9"/>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gridSpan w:val="16"/>
          </w:tcPr>
          <w:p>
            <w:pPr>
              <w:spacing w:after="0" w:line="196" w:lineRule="exact"/>
              <w:rPr>
                <w:sz w:val="20"/>
                <w:szCs w:val="20"/>
                <w:color w:val="auto"/>
              </w:rPr>
            </w:pPr>
            <w:r>
              <w:rPr>
                <w:rFonts w:ascii="Arial" w:cs="Arial" w:eastAsia="Arial" w:hAnsi="Arial"/>
                <w:sz w:val="18"/>
                <w:szCs w:val="18"/>
                <w:color w:val="0000FF"/>
              </w:rPr>
              <w:t>OTHER MATTERS</w:t>
            </w: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226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0" w:type="dxa"/>
            <w:vAlign w:val="bottom"/>
            <w:gridSpan w:val="15"/>
          </w:tcPr>
          <w:p>
            <w:pPr>
              <w:spacing w:after="0" w:line="196" w:lineRule="exact"/>
              <w:rPr>
                <w:sz w:val="20"/>
                <w:szCs w:val="20"/>
                <w:color w:val="auto"/>
              </w:rPr>
            </w:pPr>
            <w:r>
              <w:rPr>
                <w:rFonts w:ascii="Arial" w:cs="Arial" w:eastAsia="Arial" w:hAnsi="Arial"/>
                <w:sz w:val="18"/>
                <w:szCs w:val="18"/>
                <w:color w:val="0000EE"/>
              </w:rPr>
              <w:t>Delinquent Section 16(a) Reports</w:t>
            </w:r>
          </w:p>
        </w:tc>
        <w:tc>
          <w:tcPr>
            <w:tcW w:w="2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60" w:type="dxa"/>
            <w:vAlign w:val="bottom"/>
            <w:gridSpan w:val="7"/>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226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0" w:type="dxa"/>
            <w:vAlign w:val="bottom"/>
            <w:gridSpan w:val="15"/>
          </w:tcPr>
          <w:p>
            <w:pPr>
              <w:spacing w:after="0" w:line="196" w:lineRule="exact"/>
              <w:rPr>
                <w:sz w:val="20"/>
                <w:szCs w:val="20"/>
                <w:color w:val="auto"/>
              </w:rPr>
            </w:pPr>
            <w:r>
              <w:rPr>
                <w:rFonts w:ascii="Arial" w:cs="Arial" w:eastAsia="Arial" w:hAnsi="Arial"/>
                <w:sz w:val="18"/>
                <w:szCs w:val="18"/>
                <w:color w:val="0000EE"/>
              </w:rPr>
              <w:t>Fiscal Year 2021 Annual Report and SEC Filings</w:t>
            </w:r>
          </w:p>
        </w:tc>
        <w:tc>
          <w:tcPr>
            <w:tcW w:w="2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top w:val="single" w:sz="8" w:color="0000EE"/>
              <w:bottom w:val="single" w:sz="8" w:color="auto"/>
            </w:tcBorders>
          </w:tcPr>
          <w:p>
            <w:pPr>
              <w:spacing w:after="0"/>
              <w:rPr>
                <w:sz w:val="21"/>
                <w:szCs w:val="21"/>
                <w:color w:val="auto"/>
              </w:rPr>
            </w:pPr>
          </w:p>
        </w:tc>
        <w:tc>
          <w:tcPr>
            <w:tcW w:w="1080" w:type="dxa"/>
            <w:vAlign w:val="bottom"/>
            <w:tcBorders>
              <w:top w:val="single" w:sz="8" w:color="0000EE"/>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120" w:type="dxa"/>
            <w:vAlign w:val="bottom"/>
            <w:tcBorders>
              <w:top w:val="single" w:sz="8" w:color="0000EE"/>
              <w:bottom w:val="single" w:sz="8" w:color="auto"/>
            </w:tcBorders>
          </w:tcPr>
          <w:p>
            <w:pPr>
              <w:spacing w:after="0"/>
              <w:rPr>
                <w:sz w:val="21"/>
                <w:szCs w:val="21"/>
                <w:color w:val="auto"/>
              </w:rPr>
            </w:pPr>
          </w:p>
        </w:tc>
        <w:tc>
          <w:tcPr>
            <w:tcW w:w="140" w:type="dxa"/>
            <w:vAlign w:val="bottom"/>
            <w:tcBorders>
              <w:top w:val="single" w:sz="8" w:color="0000EE"/>
              <w:bottom w:val="single" w:sz="8" w:color="auto"/>
            </w:tcBorders>
          </w:tcPr>
          <w:p>
            <w:pPr>
              <w:spacing w:after="0"/>
              <w:rPr>
                <w:sz w:val="21"/>
                <w:szCs w:val="21"/>
                <w:color w:val="auto"/>
              </w:rPr>
            </w:pPr>
          </w:p>
        </w:tc>
        <w:tc>
          <w:tcPr>
            <w:tcW w:w="40" w:type="dxa"/>
            <w:vAlign w:val="bottom"/>
            <w:tcBorders>
              <w:top w:val="single" w:sz="8" w:color="0000EE"/>
              <w:bottom w:val="single" w:sz="8" w:color="auto"/>
            </w:tcBorders>
          </w:tcPr>
          <w:p>
            <w:pPr>
              <w:spacing w:after="0"/>
              <w:rPr>
                <w:sz w:val="21"/>
                <w:szCs w:val="21"/>
                <w:color w:val="auto"/>
              </w:rPr>
            </w:pPr>
          </w:p>
        </w:tc>
        <w:tc>
          <w:tcPr>
            <w:tcW w:w="40" w:type="dxa"/>
            <w:vAlign w:val="bottom"/>
            <w:tcBorders>
              <w:top w:val="single" w:sz="8" w:color="0000EE"/>
              <w:bottom w:val="single" w:sz="8" w:color="auto"/>
            </w:tcBorders>
          </w:tcPr>
          <w:p>
            <w:pPr>
              <w:spacing w:after="0"/>
              <w:rPr>
                <w:sz w:val="21"/>
                <w:szCs w:val="21"/>
                <w:color w:val="auto"/>
              </w:rPr>
            </w:pPr>
          </w:p>
        </w:tc>
        <w:tc>
          <w:tcPr>
            <w:tcW w:w="420" w:type="dxa"/>
            <w:vAlign w:val="bottom"/>
            <w:tcBorders>
              <w:top w:val="single" w:sz="8" w:color="0000EE"/>
              <w:bottom w:val="single" w:sz="8" w:color="auto"/>
            </w:tcBorders>
          </w:tcPr>
          <w:p>
            <w:pPr>
              <w:spacing w:after="0"/>
              <w:rPr>
                <w:sz w:val="21"/>
                <w:szCs w:val="21"/>
                <w:color w:val="auto"/>
              </w:rPr>
            </w:pPr>
          </w:p>
        </w:tc>
        <w:tc>
          <w:tcPr>
            <w:tcW w:w="100" w:type="dxa"/>
            <w:vAlign w:val="bottom"/>
            <w:tcBorders>
              <w:top w:val="single" w:sz="8" w:color="0000EE"/>
              <w:bottom w:val="single" w:sz="8" w:color="auto"/>
            </w:tcBorders>
          </w:tcPr>
          <w:p>
            <w:pPr>
              <w:spacing w:after="0"/>
              <w:rPr>
                <w:sz w:val="21"/>
                <w:szCs w:val="21"/>
                <w:color w:val="auto"/>
              </w:rPr>
            </w:pPr>
          </w:p>
        </w:tc>
        <w:tc>
          <w:tcPr>
            <w:tcW w:w="120" w:type="dxa"/>
            <w:vAlign w:val="bottom"/>
            <w:tcBorders>
              <w:top w:val="single" w:sz="8" w:color="0000EE"/>
              <w:bottom w:val="single" w:sz="8" w:color="auto"/>
            </w:tcBorders>
          </w:tcPr>
          <w:p>
            <w:pPr>
              <w:spacing w:after="0"/>
              <w:rPr>
                <w:sz w:val="21"/>
                <w:szCs w:val="21"/>
                <w:color w:val="auto"/>
              </w:rPr>
            </w:pPr>
          </w:p>
        </w:tc>
        <w:tc>
          <w:tcPr>
            <w:tcW w:w="580" w:type="dxa"/>
            <w:vAlign w:val="bottom"/>
            <w:tcBorders>
              <w:top w:val="single" w:sz="8" w:color="0000EE"/>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ALX ONCOLOGY HOLDINGS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PROXY STATEMENT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2022 ANNUAL MEETING OF STOCKHOLDERS</w:t>
      </w:r>
    </w:p>
    <w:p>
      <w:pPr>
        <w:jc w:val="center"/>
        <w:ind w:right="20"/>
        <w:spacing w:after="0"/>
        <w:rPr>
          <w:sz w:val="20"/>
          <w:szCs w:val="20"/>
          <w:color w:val="auto"/>
        </w:rPr>
      </w:pPr>
      <w:r>
        <w:rPr>
          <w:rFonts w:ascii="Arial" w:cs="Arial" w:eastAsia="Arial" w:hAnsi="Arial"/>
          <w:sz w:val="18"/>
          <w:szCs w:val="18"/>
          <w:b w:val="1"/>
          <w:bCs w:val="1"/>
          <w:color w:val="auto"/>
        </w:rPr>
        <w:t>To Be Held at 1 p.m. Pacific Time on Tuesday, June 14, 2022</w:t>
      </w:r>
    </w:p>
    <w:p>
      <w:pPr>
        <w:spacing w:after="0" w:line="20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This proxy statement and the enclosed form of proxy are furnished in connection with the solicitation of proxies by our board of directors for use at the 2022 annual meeting of stockholders of ALX Oncology Holdings Inc. (the Annual Meeting), and any postponements, adjournments or continuations thereof. The Annual Meeting will be held on Tuesday, June 14, 2022 at 1 p.m. Pacific Time virtually via a live webcast. You will be able to attend the Annual Meeting virtually by visiting www.virtualshareholdermeeting.com/ALXO2022, where you will be able to listen to the meeting live, submit questions and vote online by entering the control number on your proxy card.</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25"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information provided in the “question and answer” format below addresses certain frequently asked questions but is not intended to be a summary of all matters contained in this proxy statement. Please read the entire proxy statement carefully before voting your shares.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104"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Our board of directors is providing these proxy materials to you in connection with its solicitation of proxies for use at the Annual Meeting, which will take place on June 14, 2022. Stockholders are invited to attend the Annual Meeting and are requested to vote on the proposals described in this proxy statement. This proxy statement and the accompanying proxy card are being mailed on or about April 22, 2022 in connection with the solicitation of proxies on behalf of our board of directors. All stockholders will have the ability to access via the Internet this proxy statement and our Annual Report on Form 10-K as filed with the Securities and Exchange Commission (the SEC) on February 28, 2022.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proposals will be voted on at the Annual Meeting?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There are four proposals scheduled to be voted on at the Annual Meeting:</w:t>
      </w:r>
    </w:p>
    <w:p>
      <w:pPr>
        <w:spacing w:after="0" w:line="212" w:lineRule="exact"/>
        <w:rPr>
          <w:sz w:val="20"/>
          <w:szCs w:val="20"/>
          <w:color w:val="auto"/>
        </w:rPr>
      </w:pPr>
    </w:p>
    <w:p>
      <w:pPr>
        <w:ind w:left="1020" w:right="740" w:hanging="450"/>
        <w:spacing w:after="0" w:line="25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Itziar Canamasas, Ph.D. and Jack Nielsen as Class II directors to serve until the 2025 annual meeting of stockholders or until their successors are duly elected and qualified;</w:t>
      </w:r>
    </w:p>
    <w:p>
      <w:pPr>
        <w:spacing w:after="0" w:line="179" w:lineRule="exact"/>
        <w:rPr>
          <w:rFonts w:ascii="Arial" w:cs="Arial" w:eastAsia="Arial" w:hAnsi="Arial"/>
          <w:sz w:val="18"/>
          <w:szCs w:val="18"/>
          <w:color w:val="auto"/>
        </w:rPr>
      </w:pPr>
    </w:p>
    <w:p>
      <w:pPr>
        <w:ind w:left="1020" w:hanging="4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advisory vote to approve the compensation of our named executive officers;</w:t>
      </w:r>
    </w:p>
    <w:p>
      <w:pPr>
        <w:spacing w:after="0" w:line="225" w:lineRule="exact"/>
        <w:rPr>
          <w:rFonts w:ascii="Arial" w:cs="Arial" w:eastAsia="Arial" w:hAnsi="Arial"/>
          <w:sz w:val="18"/>
          <w:szCs w:val="18"/>
          <w:color w:val="auto"/>
        </w:rPr>
      </w:pPr>
    </w:p>
    <w:p>
      <w:pPr>
        <w:ind w:left="1020" w:hanging="4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advisory vote on the frequency of future advisory votes to approve the compensation of our named executive officers; and</w:t>
      </w:r>
    </w:p>
    <w:p>
      <w:pPr>
        <w:spacing w:after="0" w:line="238" w:lineRule="exact"/>
        <w:rPr>
          <w:rFonts w:ascii="Arial" w:cs="Arial" w:eastAsia="Arial" w:hAnsi="Arial"/>
          <w:sz w:val="18"/>
          <w:szCs w:val="18"/>
          <w:color w:val="auto"/>
        </w:rPr>
      </w:pPr>
    </w:p>
    <w:p>
      <w:pPr>
        <w:ind w:left="1020" w:right="140" w:hanging="450"/>
        <w:spacing w:after="0" w:line="25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ratification of the appointment of KPMG LLP as our independent registered public accounting firm for our fiscal year ending December 31, 2022.</w:t>
      </w:r>
    </w:p>
    <w:p>
      <w:pPr>
        <w:spacing w:after="0" w:line="16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At the time this proxy statement was mailed, our management and board of directors were not aware of any other matters to be presented at the Annual Meeting other than those set forth in this proxy statement and in the notice accompanying this proxy statement.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How does our board of directors recommend that I vote?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recommends that you vote:</w:t>
      </w:r>
    </w:p>
    <w:p>
      <w:pPr>
        <w:spacing w:after="0" w:line="198" w:lineRule="exact"/>
        <w:rPr>
          <w:sz w:val="20"/>
          <w:szCs w:val="20"/>
          <w:color w:val="auto"/>
        </w:rPr>
      </w:pPr>
    </w:p>
    <w:p>
      <w:pPr>
        <w:ind w:left="1020" w:hanging="450"/>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election of each of Itziar Canamasas, Ph.D. and Jack Nielsen as Class II directors;</w:t>
      </w:r>
    </w:p>
    <w:p>
      <w:pPr>
        <w:spacing w:after="0" w:line="198" w:lineRule="exact"/>
        <w:rPr>
          <w:rFonts w:ascii="Arial" w:cs="Arial" w:eastAsia="Arial" w:hAnsi="Arial"/>
          <w:sz w:val="18"/>
          <w:szCs w:val="18"/>
          <w:color w:val="auto"/>
        </w:rPr>
      </w:pPr>
    </w:p>
    <w:p>
      <w:pPr>
        <w:ind w:left="1020" w:hanging="450"/>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approval, on an advisory basis, of the compensation of our named executive officers;</w:t>
      </w:r>
    </w:p>
    <w:p>
      <w:pPr>
        <w:spacing w:after="0" w:line="198" w:lineRule="exact"/>
        <w:rPr>
          <w:rFonts w:ascii="Arial" w:cs="Arial" w:eastAsia="Arial" w:hAnsi="Arial"/>
          <w:sz w:val="18"/>
          <w:szCs w:val="18"/>
          <w:color w:val="auto"/>
        </w:rPr>
      </w:pPr>
    </w:p>
    <w:p>
      <w:pPr>
        <w:ind w:left="1020" w:hanging="450"/>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EVERY YEAR for the frequency of future advisory votes on the compensation of our named executive officers; and</w:t>
      </w:r>
    </w:p>
    <w:p>
      <w:pPr>
        <w:spacing w:after="0" w:line="198" w:lineRule="exact"/>
        <w:rPr>
          <w:rFonts w:ascii="Arial" w:cs="Arial" w:eastAsia="Arial" w:hAnsi="Arial"/>
          <w:sz w:val="18"/>
          <w:szCs w:val="18"/>
          <w:color w:val="auto"/>
        </w:rPr>
      </w:pPr>
    </w:p>
    <w:p>
      <w:pPr>
        <w:ind w:left="1020" w:right="320" w:hanging="450"/>
        <w:spacing w:after="0" w:line="25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ratification of the appointment of KPMG LLP as our independent registered public accounting firm for our fiscal year ending December 31,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Holders of our common stock at the close of business on April 18, 2022, the record date for the Annual Meeting (the Record Date), are entitled to notice of and to vote at the Annual Meeting. Each stockholder is entitled to one vote for each share of our common stock held as of the Record Date. As of the Record Date, there were 40,680,947 shares of common stock outstanding and entitled to vote. Stockholders are not permitted to cumulate votes with respect to the election of directors.</w:t>
      </w:r>
    </w:p>
    <w:p>
      <w:pPr>
        <w:spacing w:after="0" w:line="18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i w:val="1"/>
          <w:iCs w:val="1"/>
          <w:color w:val="auto"/>
        </w:rPr>
        <w:t>Stockholders of Record – Shares Registered in Your Name</w:t>
      </w:r>
      <w:r>
        <w:rPr>
          <w:rFonts w:ascii="Arial" w:cs="Arial" w:eastAsia="Arial" w:hAnsi="Arial"/>
          <w:sz w:val="18"/>
          <w:szCs w:val="18"/>
          <w:color w:val="auto"/>
        </w:rPr>
        <w:t>. If, at the close of business on the Record Date, your shares were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in your name with Computershare Trust Company, N.A., our transfer agent, then you are considered the stockholder of record with respect to those shares, and this proxy statement was provided to you directly by us. As the stockholder of record, you have the right to grant your voting proxy directly to the individuals listed on the proxy card or to vote in person (including virtually) at the Annual Meeting. Throughout this proxy statement, we refer to these registered stockholders as “stockholders of record.”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Stockholders – Shares Registered in the Name of a Broker, Bank or Other Nominee</w:t>
      </w:r>
      <w:r>
        <w:rPr>
          <w:rFonts w:ascii="Arial" w:cs="Arial" w:eastAsia="Arial" w:hAnsi="Arial"/>
          <w:sz w:val="18"/>
          <w:szCs w:val="18"/>
          <w:color w:val="auto"/>
        </w:rPr>
        <w:t>. If, at the close of business on the Record</w:t>
      </w:r>
    </w:p>
    <w:p>
      <w:pPr>
        <w:spacing w:after="0" w:line="1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Date, your shares were held, not in your name, but rather in a stock brokerage account or by a bank or other nominee on your behalf, then you are considered the beneficial owner of shares held in “street name,” and this proxy statement was forwarded to you by your broker or nominee, who is considered the stockholder of record with respect to those shares.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routine matters but may not vote your shares with respect to any non-routine matters. Throughout this proxy statement, we refer to stockholders who hold their shares through a broker, bank or other nominee as “street name stockholders.”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for approval of each proposal?</w:t>
      </w:r>
    </w:p>
    <w:p>
      <w:pPr>
        <w:spacing w:after="0" w:line="90" w:lineRule="exact"/>
        <w:rPr>
          <w:sz w:val="20"/>
          <w:szCs w:val="20"/>
          <w:color w:val="auto"/>
        </w:rPr>
      </w:pPr>
    </w:p>
    <w:p>
      <w:pPr>
        <w:ind w:left="1020" w:right="180" w:hanging="450"/>
        <w:spacing w:after="0" w:line="22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Proposal No. 1: </w:t>
      </w:r>
      <w:r>
        <w:rPr>
          <w:rFonts w:ascii="Arial" w:cs="Arial" w:eastAsia="Arial" w:hAnsi="Arial"/>
          <w:sz w:val="18"/>
          <w:szCs w:val="18"/>
          <w:color w:val="auto"/>
        </w:rPr>
        <w:t>The election of each Class II director requires a plurality of the votes of the shares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in person (including virtually) or represented by proxy at the Annual Meeting and entitled to vote thereon to be approved. “Plurality” means that the two nominees who receive the most votes cast FOR will be elected as Class II directors. You may (i) vote FOR all nominees, (ii) WITHHOLD your vote as to all nominees, or (iii) vote FOR all nominees except for those specific nominees from whom you WITHHOLD your vote. Any shares not voted FOR a particular nominee (whether as a result of voting withheld or a broker non-vote) will not be counted in such nominee’s favor and will have no effect on the outcome of the election.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ind w:left="1020" w:right="280" w:hanging="450"/>
        <w:spacing w:after="0" w:line="22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Proposal No. 2: </w:t>
      </w:r>
      <w:r>
        <w:rPr>
          <w:rFonts w:ascii="Arial" w:cs="Arial" w:eastAsia="Arial" w:hAnsi="Arial"/>
          <w:sz w:val="18"/>
          <w:szCs w:val="18"/>
          <w:color w:val="auto"/>
        </w:rPr>
        <w:t>The approval, on an advisory basis, of the compensation of our named executive officers requires an</w:t>
      </w:r>
      <w:r>
        <w:rPr>
          <w:rFonts w:ascii="Arial" w:cs="Arial" w:eastAsia="Arial" w:hAnsi="Arial"/>
          <w:sz w:val="18"/>
          <w:szCs w:val="18"/>
          <w:i w:val="1"/>
          <w:iCs w:val="1"/>
          <w:color w:val="auto"/>
        </w:rPr>
        <w:t xml:space="preserve"> </w:t>
      </w:r>
      <w:r>
        <w:rPr>
          <w:rFonts w:ascii="Arial" w:cs="Arial" w:eastAsia="Arial" w:hAnsi="Arial"/>
          <w:sz w:val="18"/>
          <w:szCs w:val="18"/>
          <w:color w:val="auto"/>
        </w:rPr>
        <w:t>affirmative FOR vote of a majority of the shares of our common stock present in person (including virtually) or represented by proxy at the Annual Meeting and entitled to vote thereon to be approved. You may vote FOR, AGAINST or ABSTAIN. If you ABSTAIN from voting on Proposal No. 2, the abstention will have the same effect as a vote AGAINST the proposal. Broker non-votes will have no effect on the outcome of this proposal. Because this vote is advisory only, it will not be binding on us, our compensation committee or our board of directors. However, we value our stockholders’ input and will take the vote into consideration when evaluating executive compensation decisions.</w:t>
      </w:r>
    </w:p>
    <w:p>
      <w:pPr>
        <w:spacing w:after="0" w:line="209" w:lineRule="exact"/>
        <w:rPr>
          <w:rFonts w:ascii="Arial" w:cs="Arial" w:eastAsia="Arial" w:hAnsi="Arial"/>
          <w:sz w:val="18"/>
          <w:szCs w:val="18"/>
          <w:color w:val="auto"/>
        </w:rPr>
      </w:pPr>
    </w:p>
    <w:p>
      <w:pPr>
        <w:ind w:left="1020" w:right="220" w:hanging="450"/>
        <w:spacing w:after="0" w:line="22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Proposal No. 3: </w:t>
      </w:r>
      <w:r>
        <w:rPr>
          <w:rFonts w:ascii="Arial" w:cs="Arial" w:eastAsia="Arial" w:hAnsi="Arial"/>
          <w:sz w:val="18"/>
          <w:szCs w:val="18"/>
          <w:color w:val="auto"/>
        </w:rPr>
        <w:t>The frequency of future advisory votes on the compensation of our named executive officers receiving the</w:t>
      </w:r>
      <w:r>
        <w:rPr>
          <w:rFonts w:ascii="Arial" w:cs="Arial" w:eastAsia="Arial" w:hAnsi="Arial"/>
          <w:sz w:val="18"/>
          <w:szCs w:val="18"/>
          <w:i w:val="1"/>
          <w:iCs w:val="1"/>
          <w:color w:val="auto"/>
        </w:rPr>
        <w:t xml:space="preserve"> </w:t>
      </w:r>
      <w:r>
        <w:rPr>
          <w:rFonts w:ascii="Arial" w:cs="Arial" w:eastAsia="Arial" w:hAnsi="Arial"/>
          <w:sz w:val="18"/>
          <w:szCs w:val="18"/>
          <w:color w:val="auto"/>
        </w:rPr>
        <w:t>greatest number of votes cast by stockholders will be considered the advisory vote of our stockholders. You may vote to hold such advisory votes EVERY YEAR, EVERY TWO YEARS or EVERY THREE YEARS, or you may ABSTAIN. Abstentions and broker non-votes will have no effect on the outcome of this proposal. Because this vote is advisory only in accordance with applicable laws, it will not be binding on us, our compensation committee or our board of directors. However, we value our stockholders’ input and will take the vote into consideration when determining the frequency of the advisory vote.</w:t>
      </w:r>
    </w:p>
    <w:p>
      <w:pPr>
        <w:spacing w:after="0" w:line="197" w:lineRule="exact"/>
        <w:rPr>
          <w:rFonts w:ascii="Arial" w:cs="Arial" w:eastAsia="Arial" w:hAnsi="Arial"/>
          <w:sz w:val="18"/>
          <w:szCs w:val="18"/>
          <w:color w:val="auto"/>
        </w:rPr>
      </w:pPr>
    </w:p>
    <w:p>
      <w:pPr>
        <w:ind w:left="1020" w:right="180" w:hanging="450"/>
        <w:spacing w:after="0" w:line="230"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Proposal No. 4: </w:t>
      </w:r>
      <w:r>
        <w:rPr>
          <w:rFonts w:ascii="Arial" w:cs="Arial" w:eastAsia="Arial" w:hAnsi="Arial"/>
          <w:sz w:val="18"/>
          <w:szCs w:val="18"/>
          <w:color w:val="auto"/>
        </w:rPr>
        <w:t>The ratification of the appointment of KPMG LLP as our independent registered public accounting firm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ended December 31, 2022 requires an affirmative FOR vote of a majority of the shares of our common stock present in person (including virtually) or represented by proxy at the Annual Meeting and entitled to vote thereon to be approved. You may vote FOR, AGAINST or ABSTAIN. If you ABSTAIN from voting on Proposal No. 4, the abstention will have the same effect as a vote AGAINST the proposal. Broker non-votes will have no effect on the outcome of this proposal.</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10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 quorum is the minimum number of shares required to be present at the Annual Meeting for the annual meeting of stockholders to be properly held under our amended and restated bylaws (Bylaws) and Delaware law. A majority of the shares of common stock outstanding and entitled to vote, in person (including virtually) or by proxy, constitutes a quorum for the transaction of business at the Annual Meeting. Abstentions, withhold votes, and broker non-votes are counted as shares present and entitled to vote for purposes of determining a quorum. If there is no quorum, a majority of the shares present at the Annual Meeting may adjourn the meeting to a later date.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do to attend the Annual Meeting?</w:t>
      </w:r>
    </w:p>
    <w:p>
      <w:pPr>
        <w:spacing w:after="0" w:line="1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You will be able to attend the Annual Meeting virtually, submit your questions during the meeting and vote your shares electronically at the meeting by visiting www.virtualshareholdermeeting.com/ALXO2022. To participate in the Annual Meeting, you will need the control number from your proxy card. The Annual Meeting webcast will begin promptly at 1 p.m. Pacific Time. We encourage you to access the meeting prior to the start time. Online check-in will begin at 12:45 p.m. Pacific Time, and you should allow ample time for the check-in procedures.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the Annual Meeting held virtually?</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board of directors believes that a virtual Annual Meeting allows for participation by a broader group of stockholders, reduces the costs to stockholders associated with holding an in-person meeting, and is the best option for ensuring the health and safety of the participants in light of the ongoing COVID-19 pandemic. The virtual meeting format is intended to facilitate a level of transparency as close as possible to an in-person meeting by providing for, among other things, the ability of stockholders to submit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0"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appropriate questions in advance of the meeting to ensure thoughtful responses from management and our board of directors.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and what are the voting deadlines?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If you are a stockholder of record, you can vote in one of the following ways:</w:t>
      </w:r>
    </w:p>
    <w:p>
      <w:pPr>
        <w:spacing w:after="0" w:line="198" w:lineRule="exact"/>
        <w:rPr>
          <w:sz w:val="20"/>
          <w:szCs w:val="20"/>
          <w:color w:val="auto"/>
        </w:rPr>
      </w:pPr>
    </w:p>
    <w:p>
      <w:pPr>
        <w:ind w:left="1020" w:right="240" w:hanging="450"/>
        <w:spacing w:after="0" w:line="23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You may vote via the Internet</w:t>
      </w:r>
      <w:r>
        <w:rPr>
          <w:rFonts w:ascii="Arial" w:cs="Arial" w:eastAsia="Arial" w:hAnsi="Arial"/>
          <w:sz w:val="18"/>
          <w:szCs w:val="18"/>
          <w:color w:val="auto"/>
        </w:rPr>
        <w:t>. To vote via the Internet prior to the Annual Meeting, go to http://www.proxyvote.com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an electronic proxy card. You will be asked to provide the control number from the proxy card you receive. Your vote must be received by 11:59 p.m. Eastern Time on June 13, 2022 to be counted. If you vote via the Internet prior to the Annual Meeting, you do not need to return a proxy card by mail.</w:t>
      </w:r>
    </w:p>
    <w:p>
      <w:pPr>
        <w:spacing w:after="0" w:line="208" w:lineRule="exact"/>
        <w:rPr>
          <w:rFonts w:ascii="Arial" w:cs="Arial" w:eastAsia="Arial" w:hAnsi="Arial"/>
          <w:sz w:val="18"/>
          <w:szCs w:val="18"/>
          <w:color w:val="auto"/>
        </w:rPr>
      </w:pPr>
    </w:p>
    <w:p>
      <w:pPr>
        <w:ind w:left="1020" w:right="380" w:hanging="450"/>
        <w:spacing w:after="0" w:line="23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You may vote by telephone. </w:t>
      </w:r>
      <w:r>
        <w:rPr>
          <w:rFonts w:ascii="Arial" w:cs="Arial" w:eastAsia="Arial" w:hAnsi="Arial"/>
          <w:sz w:val="18"/>
          <w:szCs w:val="18"/>
          <w:color w:val="auto"/>
        </w:rPr>
        <w:t>To vote by telephone, dial 1-800-690-6903 (toll-free in the United States and Canada; toll</w:t>
      </w:r>
      <w:r>
        <w:rPr>
          <w:rFonts w:ascii="Arial" w:cs="Arial" w:eastAsia="Arial" w:hAnsi="Arial"/>
          <w:sz w:val="18"/>
          <w:szCs w:val="18"/>
          <w:b w:val="1"/>
          <w:bCs w:val="1"/>
          <w:color w:val="auto"/>
        </w:rPr>
        <w:t xml:space="preserve"> </w:t>
      </w:r>
      <w:r>
        <w:rPr>
          <w:rFonts w:ascii="Arial" w:cs="Arial" w:eastAsia="Arial" w:hAnsi="Arial"/>
          <w:sz w:val="18"/>
          <w:szCs w:val="18"/>
          <w:color w:val="auto"/>
        </w:rPr>
        <w:t>charges apply to calls from other countries) and follow the recorded instructions. You will be asked to provide the control number from the proxy card. Your vote must be received by 11:59 p.m. Eastern Time on June 13, 2022 to be counted. If you vote by telephone, you do not need to return a proxy card by mail.</w:t>
      </w:r>
    </w:p>
    <w:p>
      <w:pPr>
        <w:spacing w:after="0" w:line="195" w:lineRule="exact"/>
        <w:rPr>
          <w:rFonts w:ascii="Arial" w:cs="Arial" w:eastAsia="Arial" w:hAnsi="Arial"/>
          <w:sz w:val="18"/>
          <w:szCs w:val="18"/>
          <w:color w:val="auto"/>
        </w:rPr>
      </w:pPr>
    </w:p>
    <w:p>
      <w:pPr>
        <w:ind w:left="1020" w:right="200" w:hanging="450"/>
        <w:spacing w:after="0" w:line="242"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You may vote by mail</w:t>
      </w:r>
      <w:r>
        <w:rPr>
          <w:rFonts w:ascii="Arial" w:cs="Arial" w:eastAsia="Arial" w:hAnsi="Arial"/>
          <w:sz w:val="17"/>
          <w:szCs w:val="17"/>
          <w:color w:val="auto"/>
        </w:rPr>
        <w:t>. To vote by mail, you need to complete, date and sign the proxy card that accompanies this proxy</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and return it promptly by mail in the enclosed postage-paid envelope so that it is received no later than June 13, 2022. You do not need to put a stamp on the enclosed envelope if you mail it from within the United States.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our board of directors.</w:t>
      </w:r>
    </w:p>
    <w:p>
      <w:pPr>
        <w:spacing w:after="0" w:line="207" w:lineRule="exact"/>
        <w:rPr>
          <w:rFonts w:ascii="Arial" w:cs="Arial" w:eastAsia="Arial" w:hAnsi="Arial"/>
          <w:sz w:val="17"/>
          <w:szCs w:val="17"/>
          <w:color w:val="auto"/>
        </w:rPr>
      </w:pPr>
    </w:p>
    <w:p>
      <w:pPr>
        <w:ind w:left="1020" w:right="200" w:hanging="450"/>
        <w:spacing w:after="0" w:line="23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You may vote virtually during the Annual Meeting</w:t>
      </w:r>
      <w:r>
        <w:rPr>
          <w:rFonts w:ascii="Arial" w:cs="Arial" w:eastAsia="Arial" w:hAnsi="Arial"/>
          <w:sz w:val="18"/>
          <w:szCs w:val="18"/>
          <w:color w:val="auto"/>
        </w:rPr>
        <w:t>. If you plan to attend the Annual Meeting by visiting</w:t>
      </w:r>
      <w:r>
        <w:rPr>
          <w:rFonts w:ascii="Arial" w:cs="Arial" w:eastAsia="Arial" w:hAnsi="Arial"/>
          <w:sz w:val="18"/>
          <w:szCs w:val="18"/>
          <w:b w:val="1"/>
          <w:bCs w:val="1"/>
          <w:color w:val="auto"/>
        </w:rPr>
        <w:t xml:space="preserve"> </w:t>
      </w:r>
      <w:r>
        <w:rPr>
          <w:rFonts w:ascii="Arial" w:cs="Arial" w:eastAsia="Arial" w:hAnsi="Arial"/>
          <w:sz w:val="18"/>
          <w:szCs w:val="18"/>
          <w:color w:val="auto"/>
        </w:rPr>
        <w:t>www.virtualshareholdermeeting.com/ALXO2022, you may vote electronically and submit questions during the meeting. Please have your proxy card in hand when you visit the website.</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Even if you plan to attend the Annual Meeting, we recommend that you also vote by proxy so that your vote will be counted if you later decide not to attend the Annual Meeting.</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Street Name Stockholders</w:t>
      </w:r>
      <w:r>
        <w:rPr>
          <w:rFonts w:ascii="Arial" w:cs="Arial" w:eastAsia="Arial" w:hAnsi="Arial"/>
          <w:sz w:val="17"/>
          <w:szCs w:val="17"/>
          <w:color w:val="auto"/>
        </w:rPr>
        <w:t>. If you are the beneficial owner of shares held of record by a broker, bank or other nominee, you will receive voting</w:t>
      </w:r>
      <w:r>
        <w:rPr>
          <w:rFonts w:ascii="Arial" w:cs="Arial" w:eastAsia="Arial" w:hAnsi="Arial"/>
          <w:sz w:val="17"/>
          <w:szCs w:val="17"/>
          <w:i w:val="1"/>
          <w:iCs w:val="1"/>
          <w:color w:val="auto"/>
        </w:rPr>
        <w:t xml:space="preserve"> </w:t>
      </w:r>
      <w:r>
        <w:rPr>
          <w:rFonts w:ascii="Arial" w:cs="Arial" w:eastAsia="Arial" w:hAnsi="Arial"/>
          <w:sz w:val="17"/>
          <w:szCs w:val="17"/>
          <w:color w:val="auto"/>
        </w:rPr>
        <w:t>instructions from your broker, bank or other nominee. You must follow the voting instructions provided by your broker, bank or other nominee in order to instruct your broker, bank or other nominee how to vote your shares. The availability of Internet and telephone voting options will</w:t>
      </w:r>
    </w:p>
    <w:p>
      <w:pPr>
        <w:spacing w:after="0" w:line="1"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 xml:space="preserve">depend on the voting process of your broker, bank or other nominee. </w:t>
      </w:r>
      <w:r>
        <w:rPr>
          <w:rFonts w:ascii="Arial" w:cs="Arial" w:eastAsia="Arial" w:hAnsi="Arial"/>
          <w:sz w:val="17"/>
          <w:szCs w:val="17"/>
          <w:b w:val="1"/>
          <w:bCs w:val="1"/>
          <w:color w:val="auto"/>
        </w:rPr>
        <w:t>As discussed above, if you are a street name stockholder, you</w:t>
      </w:r>
      <w:r>
        <w:rPr>
          <w:rFonts w:ascii="Arial" w:cs="Arial" w:eastAsia="Arial" w:hAnsi="Arial"/>
          <w:sz w:val="17"/>
          <w:szCs w:val="17"/>
          <w:color w:val="auto"/>
        </w:rPr>
        <w:t xml:space="preserve"> </w:t>
      </w:r>
      <w:r>
        <w:rPr>
          <w:rFonts w:ascii="Arial" w:cs="Arial" w:eastAsia="Arial" w:hAnsi="Arial"/>
          <w:sz w:val="17"/>
          <w:szCs w:val="17"/>
          <w:b w:val="1"/>
          <w:bCs w:val="1"/>
          <w:color w:val="auto"/>
        </w:rPr>
        <w:t>may not vote your shares live at the Annual Meeting unless you obtain a legal proxy from your broker, bank or other nominee.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10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If you are a stockholder of record, you may revoke your proxy or change your proxy instructions at any time before</w:t>
      </w:r>
      <w:r>
        <w:rPr>
          <w:rFonts w:ascii="Arial" w:cs="Arial" w:eastAsia="Arial" w:hAnsi="Arial"/>
          <w:sz w:val="18"/>
          <w:szCs w:val="18"/>
          <w:i w:val="1"/>
          <w:iCs w:val="1"/>
          <w:color w:val="auto"/>
        </w:rPr>
        <w:t xml:space="preserve"> </w:t>
      </w:r>
      <w:r>
        <w:rPr>
          <w:rFonts w:ascii="Arial" w:cs="Arial" w:eastAsia="Arial" w:hAnsi="Arial"/>
          <w:sz w:val="18"/>
          <w:szCs w:val="18"/>
          <w:color w:val="auto"/>
        </w:rPr>
        <w:t>your proxy is voted at the Annual Meeting by:</w:t>
      </w:r>
    </w:p>
    <w:p>
      <w:pPr>
        <w:spacing w:after="0" w:line="181" w:lineRule="exact"/>
        <w:rPr>
          <w:sz w:val="20"/>
          <w:szCs w:val="20"/>
          <w:color w:val="auto"/>
        </w:rPr>
      </w:pPr>
    </w:p>
    <w:p>
      <w:pPr>
        <w:ind w:left="1020" w:hanging="450"/>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entering a new vote by Internet or telephone;</w:t>
      </w:r>
    </w:p>
    <w:p>
      <w:pPr>
        <w:spacing w:after="0" w:line="225" w:lineRule="exact"/>
        <w:rPr>
          <w:rFonts w:ascii="Arial" w:cs="Arial" w:eastAsia="Arial" w:hAnsi="Arial"/>
          <w:sz w:val="18"/>
          <w:szCs w:val="18"/>
          <w:color w:val="auto"/>
        </w:rPr>
      </w:pPr>
    </w:p>
    <w:p>
      <w:pPr>
        <w:ind w:left="1020" w:hanging="450"/>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signing and returning a new proxy card with a later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 w:name="page10"/>
    <w:bookmarkEnd w:id="9"/>
    <w:p>
      <w:pPr>
        <w:ind w:left="1020" w:right="480" w:hanging="450"/>
        <w:spacing w:after="0" w:line="25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delivering a written revocation to our Secretary at ALX Oncology Holdings Inc., 323 Allerton Avenue, South San Francisco, California 94080, by 11:59 p.m. Eastern Time on June 13, 2022; or</w:t>
      </w:r>
    </w:p>
    <w:p>
      <w:pPr>
        <w:spacing w:after="0" w:line="192" w:lineRule="exact"/>
        <w:rPr>
          <w:rFonts w:ascii="Arial" w:cs="Arial" w:eastAsia="Arial" w:hAnsi="Arial"/>
          <w:sz w:val="18"/>
          <w:szCs w:val="18"/>
          <w:color w:val="auto"/>
        </w:rPr>
      </w:pPr>
    </w:p>
    <w:p>
      <w:pPr>
        <w:ind w:left="1020" w:hanging="450"/>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(including virtually).</w:t>
      </w:r>
    </w:p>
    <w:p>
      <w:pPr>
        <w:spacing w:after="0" w:line="212"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i w:val="1"/>
          <w:iCs w:val="1"/>
          <w:color w:val="auto"/>
        </w:rPr>
        <w:t>Street Name Stockholders</w:t>
      </w:r>
      <w:r>
        <w:rPr>
          <w:rFonts w:ascii="Arial" w:cs="Arial" w:eastAsia="Arial" w:hAnsi="Arial"/>
          <w:sz w:val="18"/>
          <w:szCs w:val="18"/>
          <w:color w:val="auto"/>
        </w:rPr>
        <w:t>. If you are a street name stockholder, you must contact the broker, bank or other nominee holding your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and follow their instructions to change your vote or revoke your proxy.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Proxies are solicited by and on behalf of our board of directors. Jaume Pons, Ph.D., and Peter Garcia have been designated as proxy holders by our board of directors. When a proxy is properly dated, executed and returned, the shares represented by such proxy will be voted at the Annual Meeting in accordance with the instructions of the stockholder. If the proxy is dated and signed, but no specific instructions are given, the shares will be voted in accordance with the recommendations of our board of directors. If any matters not described in this proxy statement are properly presented at the Annual Meeting, the proxy holders will use their own judgment to determine how to vote your shares. If the Annual Meeting is postponed or adjourned, the proxy holders can vote your shares on the new meeting date, unless you have properly revoked your proxy, as described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specify how my shares are to be voted?</w:t>
      </w:r>
    </w:p>
    <w:p>
      <w:pPr>
        <w:spacing w:after="0" w:line="10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If you are a stockholder of record and you submit a proxy but you do not provide voting instructions, your shares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voted:</w:t>
      </w:r>
    </w:p>
    <w:p>
      <w:pPr>
        <w:spacing w:after="0" w:line="154" w:lineRule="exact"/>
        <w:rPr>
          <w:sz w:val="20"/>
          <w:szCs w:val="20"/>
          <w:color w:val="auto"/>
        </w:rPr>
      </w:pPr>
    </w:p>
    <w:p>
      <w:pPr>
        <w:ind w:left="1020" w:right="240" w:hanging="450"/>
        <w:spacing w:after="0" w:line="25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election of each of the two directors nominated by our board of directors and named in this proxy statement as Class II directors (Proposal No. 1);</w:t>
      </w:r>
    </w:p>
    <w:p>
      <w:pPr>
        <w:spacing w:after="0" w:line="165" w:lineRule="exact"/>
        <w:rPr>
          <w:rFonts w:ascii="Arial" w:cs="Arial" w:eastAsia="Arial" w:hAnsi="Arial"/>
          <w:sz w:val="18"/>
          <w:szCs w:val="18"/>
          <w:color w:val="auto"/>
        </w:rPr>
      </w:pPr>
    </w:p>
    <w:p>
      <w:pPr>
        <w:ind w:left="1020" w:hanging="450"/>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approval, on an advisory basis, of the compensation of our named executive officers (Proposal No. 2);</w:t>
      </w:r>
    </w:p>
    <w:p>
      <w:pPr>
        <w:spacing w:after="0" w:line="225" w:lineRule="exact"/>
        <w:rPr>
          <w:rFonts w:ascii="Arial" w:cs="Arial" w:eastAsia="Arial" w:hAnsi="Arial"/>
          <w:sz w:val="18"/>
          <w:szCs w:val="18"/>
          <w:color w:val="auto"/>
        </w:rPr>
      </w:pPr>
    </w:p>
    <w:p>
      <w:pPr>
        <w:ind w:left="1020" w:right="340" w:hanging="450"/>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EVERY YEAR for the frequency of future advisory votes on the compensation of our named executive officers (Proposal No. 3);</w:t>
      </w:r>
    </w:p>
    <w:p>
      <w:pPr>
        <w:spacing w:after="0" w:line="193" w:lineRule="exact"/>
        <w:rPr>
          <w:rFonts w:ascii="Arial" w:cs="Arial" w:eastAsia="Arial" w:hAnsi="Arial"/>
          <w:sz w:val="18"/>
          <w:szCs w:val="18"/>
          <w:color w:val="auto"/>
        </w:rPr>
      </w:pPr>
    </w:p>
    <w:p>
      <w:pPr>
        <w:ind w:left="1020" w:right="320" w:hanging="450"/>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ratification of the appointment of KPMG LLP as our independent registered public accounting firm for our fiscal year ending December 31, 2022 (Proposal No. 4); and</w:t>
      </w:r>
    </w:p>
    <w:p>
      <w:pPr>
        <w:spacing w:after="0" w:line="180" w:lineRule="exact"/>
        <w:rPr>
          <w:rFonts w:ascii="Arial" w:cs="Arial" w:eastAsia="Arial" w:hAnsi="Arial"/>
          <w:sz w:val="18"/>
          <w:szCs w:val="18"/>
          <w:color w:val="auto"/>
        </w:rPr>
      </w:pPr>
    </w:p>
    <w:p>
      <w:pPr>
        <w:ind w:left="1020" w:hanging="450"/>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discretion of the named proxy holders regarding any other matters properly presented for a vote at the Annual Meeting.</w:t>
      </w:r>
    </w:p>
    <w:p>
      <w:pPr>
        <w:spacing w:after="0" w:line="19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i w:val="1"/>
          <w:iCs w:val="1"/>
          <w:color w:val="auto"/>
        </w:rPr>
        <w:t>Street Name Stockholders</w:t>
      </w:r>
      <w:r>
        <w:rPr>
          <w:rFonts w:ascii="Arial" w:cs="Arial" w:eastAsia="Arial" w:hAnsi="Arial"/>
          <w:sz w:val="18"/>
          <w:szCs w:val="18"/>
          <w:color w:val="auto"/>
        </w:rPr>
        <w:t>. If you are a street name stockholder and you do not provide your broker, bank or other nominee that holds your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with voting instructions, then your broker, bank or other nominee will determine if it has discretion to vote on each matter. Brokers do not have discretion to vote on non-routine matters. Proposal No. 1 (election of directors), Proposal No. 2 (approval, on an advisory basis, of the compensation of our named executive officers) and Proposal No. 3 (advisory vote on the frequency of future advisory votes on the compensation of our named executive officers) are non-routine matters, while Proposal No. 4 (ratification of the appointment of our independent registered public accounting firm) is a routine matter. As a result, if you do not provide voting instructions to your broker, bank or other nominee, then your broker, bank or other nominee may not vote your shares with respect to Proposal No. 1, Proposal No. 2 and</w:t>
      </w:r>
    </w:p>
    <w:p>
      <w:pPr>
        <w:spacing w:after="0" w:line="5"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Proposal No. 3, which would result in a “broker non-vote,” but may, in its discretion, vote your shares with respect to Proposal No. 4. For additional information regarding broker non-votes, see “—What are the effects of abstentions and broker non-votes?” below.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What are the effects of abstentions and broker non-votes?</w:t>
      </w:r>
    </w:p>
    <w:p>
      <w:pPr>
        <w:spacing w:after="0" w:line="104"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and entitled to vote at the Annual Meeting (</w:t>
      </w:r>
      <w:r>
        <w:rPr>
          <w:rFonts w:ascii="Arial" w:cs="Arial" w:eastAsia="Arial" w:hAnsi="Arial"/>
          <w:sz w:val="17"/>
          <w:szCs w:val="17"/>
          <w:i w:val="1"/>
          <w:iCs w:val="1"/>
          <w:color w:val="auto"/>
        </w:rPr>
        <w:t>e.g.</w:t>
      </w:r>
      <w:r>
        <w:rPr>
          <w:rFonts w:ascii="Arial" w:cs="Arial" w:eastAsia="Arial" w:hAnsi="Arial"/>
          <w:sz w:val="17"/>
          <w:szCs w:val="17"/>
          <w:color w:val="auto"/>
        </w:rPr>
        <w:t>, Proposal No. 2 and Proposal No. 4). However, because the outcome of Proposal No. 1 (election of directors) will be determined by a plurality</w:t>
      </w:r>
    </w:p>
    <w:p>
      <w:pPr>
        <w:spacing w:after="0" w:line="2"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vote, abstentions will have no impact on the outcome of such proposal as long as a quorum exists. Additionally, abstentions will have no impact on the outcome of Proposal No. 3.</w:t>
      </w:r>
    </w:p>
    <w:p>
      <w:pPr>
        <w:spacing w:after="0" w:line="19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 and who is paying for such solicitation?</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w:t>
      </w:r>
    </w:p>
    <w:p>
      <w:pPr>
        <w:spacing w:after="0" w:line="17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If you choose to access the proxy materials and/or vote over the Internet, you are responsible for Internet access charges you may incur. If you choose to vote by telephone, you are responsible for telephone charges you may incur.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received more than one Notice?</w:t>
      </w:r>
    </w:p>
    <w:p>
      <w:pPr>
        <w:spacing w:after="0" w:line="10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If you receive more than one Notice, your shares may be registered in more than one name or in different accounts. Please follow the voting instructions on each Notice to ensure that all of your shares are voted.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confidential?</w:t>
      </w:r>
    </w:p>
    <w:p>
      <w:pPr>
        <w:spacing w:after="0" w:line="10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the Company or to third parties, except as necessary to meet applicable legal requirements, to allow for the tabulation of votes and certification of the vote, or to facilitate a successful proxy solicitation.</w:t>
      </w:r>
    </w:p>
    <w:p>
      <w:pPr>
        <w:spacing w:after="0" w:line="270" w:lineRule="exact"/>
        <w:rPr>
          <w:sz w:val="20"/>
          <w:szCs w:val="20"/>
          <w:color w:val="auto"/>
        </w:rPr>
      </w:pPr>
    </w:p>
    <w:p>
      <w:pPr>
        <w:ind w:right="400"/>
        <w:spacing w:after="0" w:line="281"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4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have adopted a procedure approved by the SEC called “householding,” under which we can deliver a single copy of the proxy materials and annual report to multiple stockholders who share the same address unless we received contrary instructions from one or more of the stockholders. This procedure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4" w:right="359" w:bottom="1440" w:gutter="0" w:footer="0" w:header="0"/>
        </w:sectPr>
      </w:pPr>
    </w:p>
    <w:bookmarkStart w:id="11" w:name="page12"/>
    <w:bookmarkEnd w:id="11"/>
    <w:p>
      <w:pPr>
        <w:ind w:right="60"/>
        <w:spacing w:after="0" w:line="251" w:lineRule="auto"/>
        <w:rPr>
          <w:sz w:val="20"/>
          <w:szCs w:val="20"/>
          <w:color w:val="auto"/>
        </w:rPr>
      </w:pPr>
      <w:r>
        <w:rPr>
          <w:rFonts w:ascii="Arial" w:cs="Arial" w:eastAsia="Arial" w:hAnsi="Arial"/>
          <w:sz w:val="18"/>
          <w:szCs w:val="18"/>
          <w:color w:val="auto"/>
        </w:rPr>
        <w:t>reduces our printing and mailing costs. Stockholders who participate in householding will continue to be able to access and receive separate proxy cards. Upon written or oral request, we will promptly deliver a separate copy of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as follows:</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ALX Oncology Holdings Inc.</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Attention: Secretary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323 Allerton Avenue</w:t>
      </w:r>
    </w:p>
    <w:p>
      <w:pPr>
        <w:jc w:val="center"/>
        <w:ind w:right="-19"/>
        <w:spacing w:after="0" w:line="234" w:lineRule="auto"/>
        <w:rPr>
          <w:sz w:val="20"/>
          <w:szCs w:val="20"/>
          <w:color w:val="auto"/>
        </w:rPr>
      </w:pPr>
      <w:r>
        <w:rPr>
          <w:rFonts w:ascii="Arial" w:cs="Arial" w:eastAsia="Arial" w:hAnsi="Arial"/>
          <w:sz w:val="18"/>
          <w:szCs w:val="18"/>
          <w:color w:val="auto"/>
        </w:rPr>
        <w:t>South San Francisco, California 94080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(650) 466-7125</w:t>
      </w:r>
    </w:p>
    <w:p>
      <w:pPr>
        <w:spacing w:after="0" w:line="20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Stockholders who hold shares in street name may contact their brokerage firm, bank, broker-dealer or other nominee to request information about householding.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will announce preliminary voting results at the Annual Meeting. In addition, we will disclose final voting results on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we will file an amendment to the Form 8-K to disclose the final results.</w:t>
      </w:r>
    </w:p>
    <w:p>
      <w:pPr>
        <w:spacing w:after="0" w:line="292" w:lineRule="exact"/>
        <w:rPr>
          <w:sz w:val="20"/>
          <w:szCs w:val="20"/>
          <w:color w:val="auto"/>
        </w:rPr>
      </w:pPr>
    </w:p>
    <w:p>
      <w:pPr>
        <w:ind w:right="40"/>
        <w:spacing w:after="0" w:line="281"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Proposals or Director Nominations</w:t>
      </w:r>
    </w:p>
    <w:p>
      <w:pPr>
        <w:spacing w:after="0" w:line="115"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next year’s annual meeting of stockholders by submitting their proposals in writing to our Secretary in a timely manner. For a stockholder proposal to be considered for inclusion in our proxy statement for our 2023 annual meeting of stockholders, our Secretary must receive the written proposal at our principal executive offices not later than December 23, 2022.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ALX Oncology Holdings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Attention: Secretary</w:t>
      </w:r>
    </w:p>
    <w:p>
      <w:pPr>
        <w:jc w:val="center"/>
        <w:ind w:right="-19"/>
        <w:spacing w:after="0" w:line="234" w:lineRule="auto"/>
        <w:rPr>
          <w:sz w:val="20"/>
          <w:szCs w:val="20"/>
          <w:color w:val="auto"/>
        </w:rPr>
      </w:pPr>
      <w:r>
        <w:rPr>
          <w:rFonts w:ascii="Arial" w:cs="Arial" w:eastAsia="Arial" w:hAnsi="Arial"/>
          <w:sz w:val="18"/>
          <w:szCs w:val="18"/>
          <w:color w:val="auto"/>
        </w:rPr>
        <w:t>323 Allerton Avenue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South San Francisco, California 94080</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Bylaws also establish an advance notice procedure for stockholders who wish to present a proposal or nominate a director at an annual meeting of stockholders but do not intend for the proposal or director nominee to be included in our proxy statement. Our Bylaws provide that the only business that may be conducted at an annual meeting is business that is (i) specified in our proxy materials with respect to such meeting, (ii) otherwise properly brought before the annual meeting by or at the direction of the our board of directors, or (iii) properly brought before the annual meeting by a stockholder of record entitled to vote at the annual meeting who has delivered timely written notice to our Secretary, which notice must contain the information specified in our Bylaws. To be timely for our 2023 annual meeting of stockholders, our Secretary must receive the written notice at our principal executive offices:</w:t>
      </w:r>
    </w:p>
    <w:p>
      <w:pPr>
        <w:spacing w:after="0" w:line="162" w:lineRule="exact"/>
        <w:rPr>
          <w:sz w:val="20"/>
          <w:szCs w:val="20"/>
          <w:color w:val="auto"/>
        </w:rPr>
      </w:pPr>
    </w:p>
    <w:p>
      <w:pPr>
        <w:ind w:left="1020" w:hanging="450"/>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earlier than February 6, 2023;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2" w:name="page13"/>
    <w:bookmarkEnd w:id="12"/>
    <w:p>
      <w:pPr>
        <w:ind w:left="1020" w:hanging="450"/>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later than March 8, 2023.</w:t>
      </w: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event that we hold our 2023 annual meeting of stockholders more than 30 days before or more than 60 days after the first anniversary of the date of the Annual Meeting, then notice of a stockholder proposal that is not intended to be included in our proxy statement must be received no earlier than the close of business on the 120th day before such annual meeting and no later than the close of business on the later of the following two dates:</w:t>
      </w:r>
    </w:p>
    <w:p>
      <w:pPr>
        <w:spacing w:after="0" w:line="170" w:lineRule="exact"/>
        <w:rPr>
          <w:sz w:val="20"/>
          <w:szCs w:val="20"/>
          <w:color w:val="auto"/>
        </w:rPr>
      </w:pPr>
    </w:p>
    <w:p>
      <w:pPr>
        <w:ind w:left="1020" w:hanging="450"/>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90th day prior to such annual meeting; or</w:t>
      </w:r>
    </w:p>
    <w:p>
      <w:pPr>
        <w:spacing w:after="0" w:line="225" w:lineRule="exact"/>
        <w:rPr>
          <w:rFonts w:ascii="Arial" w:cs="Arial" w:eastAsia="Arial" w:hAnsi="Arial"/>
          <w:sz w:val="18"/>
          <w:szCs w:val="18"/>
          <w:color w:val="auto"/>
        </w:rPr>
      </w:pPr>
    </w:p>
    <w:p>
      <w:pPr>
        <w:ind w:left="1020" w:hanging="450"/>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such annual meeting is first made.</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If a stockholder who has notified us of his, her or its intention to present a proposal at an annual meeting does not appear to present his, her or its proposal at such annual meeting, we are not required to present the proposal for a vote at such annual meeting.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Bylaws</w:t>
      </w:r>
    </w:p>
    <w:p>
      <w:pPr>
        <w:spacing w:after="0" w:line="10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 copy of our Bylaws may be obtained by accessing our public filings on the SEC’s website at http://www.sec.gov. You may also contact our Secretary at our principal executive office for a copy of the relevant provisions in our Bylaws regarding the requirements for making stockholder proposals and nominating director candidates.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50" w:right="4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business affairs are managed under the direction of our board of directors, which currently consists of seven members. Our board of directors has affirmatively determined that five of our seven directors qualify as “independent” within the meaning of the listing standards of the Nasdaq Stock Market LLC. Our board of directors is divided into three classes with staggered three-year terms. At each annual meeting of stockholders, a class of director(s) will be elected for a three-year term to succeed the same class whose term is then expiring.</w:t>
      </w:r>
    </w:p>
    <w:p>
      <w:pPr>
        <w:spacing w:after="0" w:line="17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Upon the recommendation of our corporate governance and nominating committee, we are nominating Itziar Canamasas, Ph.D. and Jack Nielsen as Class II directors at the Annual Meeting. If elected, Dr. Canamasas and Mr. Nielsen will each hold office for a three-year term until the annual meeting of stockholders to be held in 2025 or until their successors are duly elected and qualified.</w:t>
      </w:r>
    </w:p>
    <w:p>
      <w:pPr>
        <w:spacing w:after="0" w:line="162" w:lineRule="exact"/>
        <w:rPr>
          <w:sz w:val="20"/>
          <w:szCs w:val="20"/>
          <w:color w:val="auto"/>
        </w:rPr>
      </w:pPr>
    </w:p>
    <w:p>
      <w:pPr>
        <w:jc w:val="both"/>
        <w:ind w:right="140"/>
        <w:spacing w:after="0" w:line="261" w:lineRule="auto"/>
        <w:rPr>
          <w:sz w:val="20"/>
          <w:szCs w:val="20"/>
          <w:color w:val="auto"/>
        </w:rPr>
      </w:pPr>
      <w:r>
        <w:rPr>
          <w:rFonts w:ascii="Arial" w:cs="Arial" w:eastAsia="Arial" w:hAnsi="Arial"/>
          <w:sz w:val="18"/>
          <w:szCs w:val="18"/>
          <w:color w:val="auto"/>
        </w:rPr>
        <w:t>The following table sets forth the names, ages and certain other information, including the composition of the committees, as of the date of this proxy statement, for each of the directors with terms expiring at the Annual Meeting (who are also nominees for election as a director at the Annual Meeting), and for each of the continuing directors:</w:t>
      </w:r>
    </w:p>
    <w:p>
      <w:pPr>
        <w:spacing w:after="0" w:line="13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Current</w:t>
            </w:r>
          </w:p>
        </w:tc>
        <w:tc>
          <w:tcPr>
            <w:tcW w:w="1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Expiration of</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Term For</w:t>
            </w:r>
          </w:p>
        </w:tc>
        <w:tc>
          <w:tcPr>
            <w:tcW w:w="0" w:type="dxa"/>
            <w:vAlign w:val="bottom"/>
          </w:tcPr>
          <w:p>
            <w:pPr>
              <w:spacing w:after="0"/>
              <w:rPr>
                <w:sz w:val="1"/>
                <w:szCs w:val="1"/>
                <w:color w:val="auto"/>
              </w:rPr>
            </w:pPr>
          </w:p>
        </w:tc>
      </w:tr>
      <w:tr>
        <w:trPr>
          <w:trHeight w:val="162"/>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Class</w:t>
            </w:r>
          </w:p>
        </w:tc>
        <w:tc>
          <w:tcPr>
            <w:tcW w:w="12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Age</w:t>
            </w:r>
          </w:p>
        </w:tc>
        <w:tc>
          <w:tcPr>
            <w:tcW w:w="100" w:type="dxa"/>
            <w:vAlign w:val="bottom"/>
          </w:tcPr>
          <w:p>
            <w:pPr>
              <w:spacing w:after="0"/>
              <w:rPr>
                <w:sz w:val="14"/>
                <w:szCs w:val="14"/>
                <w:color w:val="auto"/>
              </w:rPr>
            </w:pPr>
          </w:p>
        </w:tc>
        <w:tc>
          <w:tcPr>
            <w:tcW w:w="272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Position</w:t>
            </w:r>
          </w:p>
        </w:tc>
        <w:tc>
          <w:tcPr>
            <w:tcW w:w="1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b w:val="1"/>
                <w:bCs w:val="1"/>
                <w:color w:val="auto"/>
              </w:rPr>
              <w:t>Director</w:t>
            </w:r>
          </w:p>
        </w:tc>
        <w:tc>
          <w:tcPr>
            <w:tcW w:w="160" w:type="dxa"/>
            <w:vAlign w:val="bottom"/>
          </w:tcPr>
          <w:p>
            <w:pPr>
              <w:spacing w:after="0"/>
              <w:rPr>
                <w:sz w:val="14"/>
                <w:szCs w:val="14"/>
                <w:color w:val="auto"/>
              </w:rPr>
            </w:pPr>
          </w:p>
        </w:tc>
        <w:tc>
          <w:tcPr>
            <w:tcW w:w="900" w:type="dxa"/>
            <w:vAlign w:val="bottom"/>
          </w:tcPr>
          <w:p>
            <w:pPr>
              <w:jc w:val="center"/>
              <w:ind w:right="8"/>
              <w:spacing w:after="0"/>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Which</w:t>
            </w:r>
          </w:p>
        </w:tc>
        <w:tc>
          <w:tcPr>
            <w:tcW w:w="0" w:type="dxa"/>
            <w:vAlign w:val="bottom"/>
          </w:tcPr>
          <w:p>
            <w:pPr>
              <w:spacing w:after="0"/>
              <w:rPr>
                <w:sz w:val="1"/>
                <w:szCs w:val="1"/>
                <w:color w:val="auto"/>
              </w:rPr>
            </w:pPr>
          </w:p>
        </w:tc>
      </w:tr>
      <w:tr>
        <w:trPr>
          <w:trHeight w:val="185"/>
        </w:trPr>
        <w:tc>
          <w:tcPr>
            <w:tcW w:w="33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Since</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Expires</w:t>
            </w:r>
          </w:p>
        </w:tc>
        <w:tc>
          <w:tcPr>
            <w:tcW w:w="14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Nominated</w:t>
            </w:r>
          </w:p>
        </w:tc>
        <w:tc>
          <w:tcPr>
            <w:tcW w:w="0" w:type="dxa"/>
            <w:vAlign w:val="bottom"/>
          </w:tcPr>
          <w:p>
            <w:pPr>
              <w:spacing w:after="0"/>
              <w:rPr>
                <w:sz w:val="1"/>
                <w:szCs w:val="1"/>
                <w:color w:val="auto"/>
              </w:rPr>
            </w:pPr>
          </w:p>
        </w:tc>
      </w:tr>
      <w:tr>
        <w:trPr>
          <w:trHeight w:val="240"/>
        </w:trPr>
        <w:tc>
          <w:tcPr>
            <w:tcW w:w="3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Director Nominees</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3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72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spacing w:after="0"/>
              <w:rPr>
                <w:sz w:val="12"/>
                <w:szCs w:val="12"/>
                <w:color w:val="auto"/>
              </w:rPr>
            </w:pPr>
          </w:p>
        </w:tc>
        <w:tc>
          <w:tcPr>
            <w:tcW w:w="1060" w:type="dxa"/>
            <w:vAlign w:val="bottom"/>
            <w:gridSpan w:val="2"/>
            <w:shd w:val="clear" w:color="auto" w:fill="CFF0FC"/>
          </w:tcPr>
          <w:p>
            <w:pPr>
              <w:spacing w:after="0"/>
              <w:rPr>
                <w:sz w:val="12"/>
                <w:szCs w:val="12"/>
                <w:color w:val="auto"/>
              </w:rPr>
            </w:pPr>
          </w:p>
        </w:tc>
        <w:tc>
          <w:tcPr>
            <w:tcW w:w="1220" w:type="dxa"/>
            <w:vAlign w:val="bottom"/>
            <w:gridSpan w:val="2"/>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3380" w:type="dxa"/>
            <w:vAlign w:val="bottom"/>
          </w:tcPr>
          <w:p>
            <w:pPr>
              <w:spacing w:after="0"/>
              <w:rPr>
                <w:sz w:val="20"/>
                <w:szCs w:val="20"/>
                <w:color w:val="auto"/>
              </w:rPr>
            </w:pPr>
            <w:r>
              <w:rPr>
                <w:rFonts w:ascii="Arial" w:cs="Arial" w:eastAsia="Arial" w:hAnsi="Arial"/>
                <w:sz w:val="18"/>
                <w:szCs w:val="18"/>
                <w:color w:val="auto"/>
              </w:rPr>
              <w:t>Itziar Canamasas, Ph.D. (3)</w:t>
            </w:r>
          </w:p>
        </w:tc>
        <w:tc>
          <w:tcPr>
            <w:tcW w:w="12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II</w:t>
            </w:r>
          </w:p>
        </w:tc>
        <w:tc>
          <w:tcPr>
            <w:tcW w:w="8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48</w:t>
            </w:r>
          </w:p>
        </w:tc>
        <w:tc>
          <w:tcPr>
            <w:tcW w:w="100" w:type="dxa"/>
            <w:vAlign w:val="bottom"/>
          </w:tcPr>
          <w:p>
            <w:pPr>
              <w:spacing w:after="0"/>
              <w:rPr>
                <w:sz w:val="20"/>
                <w:szCs w:val="20"/>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53"/>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20" w:type="dxa"/>
            <w:vAlign w:val="bottom"/>
            <w:gridSpan w:val="2"/>
          </w:tcPr>
          <w:p>
            <w:pPr>
              <w:spacing w:after="0"/>
              <w:rPr>
                <w:sz w:val="13"/>
                <w:szCs w:val="13"/>
                <w:color w:val="auto"/>
              </w:rPr>
            </w:pPr>
          </w:p>
        </w:tc>
        <w:tc>
          <w:tcPr>
            <w:tcW w:w="1060" w:type="dxa"/>
            <w:vAlign w:val="bottom"/>
            <w:gridSpan w:val="2"/>
          </w:tcPr>
          <w:p>
            <w:pPr>
              <w:spacing w:after="0"/>
              <w:rPr>
                <w:sz w:val="13"/>
                <w:szCs w:val="13"/>
                <w:color w:val="auto"/>
              </w:rPr>
            </w:pPr>
          </w:p>
        </w:tc>
        <w:tc>
          <w:tcPr>
            <w:tcW w:w="1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Jack Nielsen, Ph.D.(1)(2)</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II</w:t>
            </w:r>
          </w:p>
        </w:tc>
        <w:tc>
          <w:tcPr>
            <w:tcW w:w="84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58</w:t>
            </w:r>
          </w:p>
        </w:tc>
        <w:tc>
          <w:tcPr>
            <w:tcW w:w="100" w:type="dxa"/>
            <w:vAlign w:val="bottom"/>
            <w:shd w:val="clear" w:color="auto" w:fill="CFF0FC"/>
          </w:tcPr>
          <w:p>
            <w:pPr>
              <w:spacing w:after="0"/>
              <w:rPr>
                <w:sz w:val="20"/>
                <w:szCs w:val="20"/>
                <w:color w:val="auto"/>
              </w:rPr>
            </w:pPr>
          </w:p>
        </w:tc>
        <w:tc>
          <w:tcPr>
            <w:tcW w:w="2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Director</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2022</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53"/>
        </w:trPr>
        <w:tc>
          <w:tcPr>
            <w:tcW w:w="3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3380" w:type="dxa"/>
            <w:vAlign w:val="bottom"/>
          </w:tcPr>
          <w:p>
            <w:pPr>
              <w:spacing w:after="0"/>
              <w:rPr>
                <w:sz w:val="20"/>
                <w:szCs w:val="20"/>
                <w:color w:val="auto"/>
              </w:rPr>
            </w:pPr>
            <w:r>
              <w:rPr>
                <w:rFonts w:ascii="Arial" w:cs="Arial" w:eastAsia="Arial" w:hAnsi="Arial"/>
                <w:sz w:val="18"/>
                <w:szCs w:val="18"/>
                <w:b w:val="1"/>
                <w:bCs w:val="1"/>
                <w:color w:val="auto"/>
              </w:rPr>
              <w:t>Continuing Directors</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20" w:type="dxa"/>
            <w:vAlign w:val="bottom"/>
            <w:gridSpan w:val="2"/>
          </w:tcPr>
          <w:p>
            <w:pPr>
              <w:spacing w:after="0"/>
              <w:rPr>
                <w:sz w:val="12"/>
                <w:szCs w:val="12"/>
                <w:color w:val="auto"/>
              </w:rPr>
            </w:pPr>
          </w:p>
        </w:tc>
        <w:tc>
          <w:tcPr>
            <w:tcW w:w="10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380" w:type="dxa"/>
            <w:vAlign w:val="bottom"/>
            <w:shd w:val="clear" w:color="auto" w:fill="CFF0FC"/>
          </w:tcPr>
          <w:p>
            <w:pPr>
              <w:spacing w:after="0" w:line="157" w:lineRule="exact"/>
              <w:rPr>
                <w:sz w:val="20"/>
                <w:szCs w:val="20"/>
                <w:color w:val="auto"/>
              </w:rPr>
            </w:pPr>
            <w:r>
              <w:rPr>
                <w:rFonts w:ascii="Arial" w:cs="Arial" w:eastAsia="Arial" w:hAnsi="Arial"/>
                <w:sz w:val="18"/>
                <w:szCs w:val="18"/>
                <w:color w:val="auto"/>
              </w:rPr>
              <w:t>Jaume Pons, Ph.D.</w:t>
            </w: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center"/>
              <w:spacing w:after="0" w:line="157" w:lineRule="exact"/>
              <w:rPr>
                <w:sz w:val="20"/>
                <w:szCs w:val="20"/>
                <w:color w:val="auto"/>
              </w:rPr>
            </w:pPr>
            <w:r>
              <w:rPr>
                <w:rFonts w:ascii="Arial" w:cs="Arial" w:eastAsia="Arial" w:hAnsi="Arial"/>
                <w:sz w:val="18"/>
                <w:szCs w:val="18"/>
                <w:color w:val="auto"/>
                <w:w w:val="92"/>
              </w:rPr>
              <w:t>III</w:t>
            </w:r>
          </w:p>
        </w:tc>
        <w:tc>
          <w:tcPr>
            <w:tcW w:w="840" w:type="dxa"/>
            <w:vAlign w:val="bottom"/>
            <w:gridSpan w:val="2"/>
            <w:shd w:val="clear" w:color="auto" w:fill="CFF0FC"/>
          </w:tcPr>
          <w:p>
            <w:pPr>
              <w:jc w:val="center"/>
              <w:ind w:left="30"/>
              <w:spacing w:after="0" w:line="157" w:lineRule="exact"/>
              <w:rPr>
                <w:sz w:val="20"/>
                <w:szCs w:val="20"/>
                <w:color w:val="auto"/>
              </w:rPr>
            </w:pPr>
            <w:r>
              <w:rPr>
                <w:rFonts w:ascii="Arial" w:cs="Arial" w:eastAsia="Arial" w:hAnsi="Arial"/>
                <w:sz w:val="18"/>
                <w:szCs w:val="18"/>
                <w:color w:val="auto"/>
                <w:w w:val="99"/>
              </w:rPr>
              <w:t>56</w:t>
            </w:r>
          </w:p>
        </w:tc>
        <w:tc>
          <w:tcPr>
            <w:tcW w:w="100" w:type="dxa"/>
            <w:vAlign w:val="bottom"/>
            <w:shd w:val="clear" w:color="auto" w:fill="CFF0FC"/>
          </w:tcPr>
          <w:p>
            <w:pPr>
              <w:spacing w:after="0"/>
              <w:rPr>
                <w:sz w:val="13"/>
                <w:szCs w:val="13"/>
                <w:color w:val="auto"/>
              </w:rPr>
            </w:pPr>
          </w:p>
        </w:tc>
        <w:tc>
          <w:tcPr>
            <w:tcW w:w="2720" w:type="dxa"/>
            <w:vAlign w:val="bottom"/>
            <w:shd w:val="clear" w:color="auto" w:fill="CFF0FC"/>
          </w:tcPr>
          <w:p>
            <w:pPr>
              <w:ind w:left="20"/>
              <w:spacing w:after="0" w:line="157" w:lineRule="exact"/>
              <w:rPr>
                <w:sz w:val="20"/>
                <w:szCs w:val="20"/>
                <w:color w:val="auto"/>
              </w:rPr>
            </w:pPr>
            <w:r>
              <w:rPr>
                <w:rFonts w:ascii="Arial" w:cs="Arial" w:eastAsia="Arial" w:hAnsi="Arial"/>
                <w:sz w:val="18"/>
                <w:szCs w:val="18"/>
                <w:color w:val="auto"/>
                <w:w w:val="99"/>
              </w:rPr>
              <w:t>President, Chief Executive Officer</w:t>
            </w:r>
          </w:p>
        </w:tc>
        <w:tc>
          <w:tcPr>
            <w:tcW w:w="102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8"/>
                <w:szCs w:val="18"/>
                <w:color w:val="auto"/>
              </w:rPr>
              <w:t>2015</w:t>
            </w:r>
          </w:p>
        </w:tc>
        <w:tc>
          <w:tcPr>
            <w:tcW w:w="106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8"/>
                <w:szCs w:val="18"/>
                <w:color w:val="auto"/>
              </w:rPr>
              <w:t>2023</w:t>
            </w: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and Director</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380" w:type="dxa"/>
            <w:vAlign w:val="bottom"/>
          </w:tcPr>
          <w:p>
            <w:pPr>
              <w:spacing w:after="0"/>
              <w:rPr>
                <w:sz w:val="20"/>
                <w:szCs w:val="20"/>
                <w:color w:val="auto"/>
              </w:rPr>
            </w:pPr>
            <w:r>
              <w:rPr>
                <w:rFonts w:ascii="Arial" w:cs="Arial" w:eastAsia="Arial" w:hAnsi="Arial"/>
                <w:sz w:val="18"/>
                <w:szCs w:val="18"/>
                <w:color w:val="auto"/>
              </w:rPr>
              <w:t>Rekha Hemrajani(1)(3)</w:t>
            </w:r>
          </w:p>
        </w:tc>
        <w:tc>
          <w:tcPr>
            <w:tcW w:w="12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2"/>
              </w:rPr>
              <w:t>III</w:t>
            </w:r>
          </w:p>
        </w:tc>
        <w:tc>
          <w:tcPr>
            <w:tcW w:w="8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52</w:t>
            </w:r>
          </w:p>
        </w:tc>
        <w:tc>
          <w:tcPr>
            <w:tcW w:w="100" w:type="dxa"/>
            <w:vAlign w:val="bottom"/>
          </w:tcPr>
          <w:p>
            <w:pPr>
              <w:spacing w:after="0"/>
              <w:rPr>
                <w:sz w:val="20"/>
                <w:szCs w:val="20"/>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3"/>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20" w:type="dxa"/>
            <w:vAlign w:val="bottom"/>
            <w:gridSpan w:val="2"/>
          </w:tcPr>
          <w:p>
            <w:pPr>
              <w:spacing w:after="0"/>
              <w:rPr>
                <w:sz w:val="13"/>
                <w:szCs w:val="13"/>
                <w:color w:val="auto"/>
              </w:rPr>
            </w:pPr>
          </w:p>
        </w:tc>
        <w:tc>
          <w:tcPr>
            <w:tcW w:w="106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Corey Goodman, Ph.D.(2)(3)</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I</w:t>
            </w:r>
          </w:p>
        </w:tc>
        <w:tc>
          <w:tcPr>
            <w:tcW w:w="84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70</w:t>
            </w:r>
          </w:p>
        </w:tc>
        <w:tc>
          <w:tcPr>
            <w:tcW w:w="100" w:type="dxa"/>
            <w:vAlign w:val="bottom"/>
            <w:shd w:val="clear" w:color="auto" w:fill="CFF0FC"/>
          </w:tcPr>
          <w:p>
            <w:pPr>
              <w:spacing w:after="0"/>
              <w:rPr>
                <w:sz w:val="20"/>
                <w:szCs w:val="20"/>
                <w:color w:val="auto"/>
              </w:rPr>
            </w:pPr>
          </w:p>
        </w:tc>
        <w:tc>
          <w:tcPr>
            <w:tcW w:w="2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Executive Chairman</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2015</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3"/>
        </w:trPr>
        <w:tc>
          <w:tcPr>
            <w:tcW w:w="3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7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spacing w:after="0"/>
              <w:rPr>
                <w:sz w:val="13"/>
                <w:szCs w:val="13"/>
                <w:color w:val="auto"/>
              </w:rPr>
            </w:pPr>
          </w:p>
        </w:tc>
        <w:tc>
          <w:tcPr>
            <w:tcW w:w="1060" w:type="dxa"/>
            <w:vAlign w:val="bottom"/>
            <w:gridSpan w:val="2"/>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380" w:type="dxa"/>
            <w:vAlign w:val="bottom"/>
          </w:tcPr>
          <w:p>
            <w:pPr>
              <w:spacing w:after="0"/>
              <w:rPr>
                <w:sz w:val="20"/>
                <w:szCs w:val="20"/>
                <w:color w:val="auto"/>
              </w:rPr>
            </w:pPr>
            <w:r>
              <w:rPr>
                <w:rFonts w:ascii="Arial" w:cs="Arial" w:eastAsia="Arial" w:hAnsi="Arial"/>
                <w:sz w:val="18"/>
                <w:szCs w:val="18"/>
                <w:color w:val="auto"/>
              </w:rPr>
              <w:t>Jason Lettmann (1)(2)(3)</w:t>
            </w:r>
          </w:p>
        </w:tc>
        <w:tc>
          <w:tcPr>
            <w:tcW w:w="12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I</w:t>
            </w:r>
          </w:p>
        </w:tc>
        <w:tc>
          <w:tcPr>
            <w:tcW w:w="8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44</w:t>
            </w:r>
          </w:p>
        </w:tc>
        <w:tc>
          <w:tcPr>
            <w:tcW w:w="100" w:type="dxa"/>
            <w:vAlign w:val="bottom"/>
          </w:tcPr>
          <w:p>
            <w:pPr>
              <w:spacing w:after="0"/>
              <w:rPr>
                <w:sz w:val="20"/>
                <w:szCs w:val="20"/>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3"/>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20" w:type="dxa"/>
            <w:vAlign w:val="bottom"/>
            <w:gridSpan w:val="2"/>
          </w:tcPr>
          <w:p>
            <w:pPr>
              <w:spacing w:after="0"/>
              <w:rPr>
                <w:sz w:val="13"/>
                <w:szCs w:val="13"/>
                <w:color w:val="auto"/>
              </w:rPr>
            </w:pPr>
          </w:p>
        </w:tc>
        <w:tc>
          <w:tcPr>
            <w:tcW w:w="106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380" w:type="dxa"/>
            <w:vAlign w:val="bottom"/>
            <w:shd w:val="clear" w:color="auto" w:fill="CFF0FC"/>
          </w:tcPr>
          <w:p>
            <w:pPr>
              <w:spacing w:after="0" w:line="157" w:lineRule="exact"/>
              <w:rPr>
                <w:sz w:val="20"/>
                <w:szCs w:val="20"/>
                <w:color w:val="auto"/>
              </w:rPr>
            </w:pPr>
            <w:r>
              <w:rPr>
                <w:rFonts w:ascii="Arial" w:cs="Arial" w:eastAsia="Arial" w:hAnsi="Arial"/>
                <w:sz w:val="18"/>
                <w:szCs w:val="18"/>
                <w:color w:val="auto"/>
              </w:rPr>
              <w:t>Sophia Randolph, M.D., Ph.D.</w:t>
            </w: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center"/>
              <w:spacing w:after="0" w:line="157" w:lineRule="exact"/>
              <w:rPr>
                <w:sz w:val="20"/>
                <w:szCs w:val="20"/>
                <w:color w:val="auto"/>
              </w:rPr>
            </w:pPr>
            <w:r>
              <w:rPr>
                <w:rFonts w:ascii="Arial" w:cs="Arial" w:eastAsia="Arial" w:hAnsi="Arial"/>
                <w:sz w:val="18"/>
                <w:szCs w:val="18"/>
                <w:color w:val="auto"/>
              </w:rPr>
              <w:t>I</w:t>
            </w:r>
          </w:p>
        </w:tc>
        <w:tc>
          <w:tcPr>
            <w:tcW w:w="840" w:type="dxa"/>
            <w:vAlign w:val="bottom"/>
            <w:gridSpan w:val="2"/>
            <w:shd w:val="clear" w:color="auto" w:fill="CFF0FC"/>
          </w:tcPr>
          <w:p>
            <w:pPr>
              <w:jc w:val="center"/>
              <w:ind w:left="30"/>
              <w:spacing w:after="0" w:line="157" w:lineRule="exact"/>
              <w:rPr>
                <w:sz w:val="20"/>
                <w:szCs w:val="20"/>
                <w:color w:val="auto"/>
              </w:rPr>
            </w:pPr>
            <w:r>
              <w:rPr>
                <w:rFonts w:ascii="Arial" w:cs="Arial" w:eastAsia="Arial" w:hAnsi="Arial"/>
                <w:sz w:val="18"/>
                <w:szCs w:val="18"/>
                <w:color w:val="auto"/>
                <w:w w:val="99"/>
              </w:rPr>
              <w:t>54</w:t>
            </w:r>
          </w:p>
        </w:tc>
        <w:tc>
          <w:tcPr>
            <w:tcW w:w="100" w:type="dxa"/>
            <w:vAlign w:val="bottom"/>
            <w:shd w:val="clear" w:color="auto" w:fill="CFF0FC"/>
          </w:tcPr>
          <w:p>
            <w:pPr>
              <w:spacing w:after="0"/>
              <w:rPr>
                <w:sz w:val="13"/>
                <w:szCs w:val="13"/>
                <w:color w:val="auto"/>
              </w:rPr>
            </w:pPr>
          </w:p>
        </w:tc>
        <w:tc>
          <w:tcPr>
            <w:tcW w:w="2720" w:type="dxa"/>
            <w:vAlign w:val="bottom"/>
            <w:shd w:val="clear" w:color="auto" w:fill="CFF0FC"/>
          </w:tcPr>
          <w:p>
            <w:pPr>
              <w:ind w:left="20"/>
              <w:spacing w:after="0" w:line="157" w:lineRule="exact"/>
              <w:rPr>
                <w:sz w:val="20"/>
                <w:szCs w:val="20"/>
                <w:color w:val="auto"/>
              </w:rPr>
            </w:pPr>
            <w:r>
              <w:rPr>
                <w:rFonts w:ascii="Arial" w:cs="Arial" w:eastAsia="Arial" w:hAnsi="Arial"/>
                <w:sz w:val="18"/>
                <w:szCs w:val="18"/>
                <w:color w:val="auto"/>
              </w:rPr>
              <w:t>Chief Medical Officer and</w:t>
            </w:r>
          </w:p>
        </w:tc>
        <w:tc>
          <w:tcPr>
            <w:tcW w:w="102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8"/>
                <w:szCs w:val="18"/>
                <w:color w:val="auto"/>
              </w:rPr>
              <w:t>2021</w:t>
            </w:r>
          </w:p>
        </w:tc>
        <w:tc>
          <w:tcPr>
            <w:tcW w:w="106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8"/>
                <w:szCs w:val="18"/>
                <w:color w:val="auto"/>
              </w:rPr>
              <w:t>2024</w:t>
            </w: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0" w:hanging="432"/>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Member of our audit committee</w:t>
      </w:r>
    </w:p>
    <w:p>
      <w:pPr>
        <w:spacing w:after="0" w:line="207" w:lineRule="exact"/>
        <w:rPr>
          <w:rFonts w:ascii="Arial" w:cs="Arial" w:eastAsia="Arial" w:hAnsi="Arial"/>
          <w:sz w:val="16"/>
          <w:szCs w:val="16"/>
          <w:color w:val="auto"/>
        </w:rPr>
      </w:pPr>
    </w:p>
    <w:p>
      <w:pPr>
        <w:ind w:left="560" w:hanging="432"/>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Member of our compensation committee</w:t>
      </w:r>
    </w:p>
    <w:p>
      <w:pPr>
        <w:spacing w:after="0" w:line="221" w:lineRule="exact"/>
        <w:rPr>
          <w:rFonts w:ascii="Arial" w:cs="Arial" w:eastAsia="Arial" w:hAnsi="Arial"/>
          <w:sz w:val="16"/>
          <w:szCs w:val="16"/>
          <w:color w:val="auto"/>
        </w:rPr>
      </w:pPr>
    </w:p>
    <w:p>
      <w:pPr>
        <w:ind w:left="560" w:hanging="432"/>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Member of our corporate governance and nominating committee</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 xml:space="preserve">Itziar Canamasas, Ph.D. </w:t>
      </w:r>
      <w:r>
        <w:rPr>
          <w:rFonts w:ascii="Arial" w:cs="Arial" w:eastAsia="Arial" w:hAnsi="Arial"/>
          <w:sz w:val="18"/>
          <w:szCs w:val="18"/>
          <w:color w:val="222222"/>
        </w:rPr>
        <w:t>has served as a member of our board of directors since April, 2022. Dr. Canamasas is currently the Head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2222"/>
        </w:rPr>
        <w:t xml:space="preserve">Oncology EMEA, with responsibility for the commercial success of Oncology in the Region for Bayer Consumer Care AG, Switzerland, a subsidiary of Bayer AG. She has previously served as Managing Director and Country Head of Pharmaceuticals for Bayer Ltd, Ireland, a subsidiary of Bayer AG </w:t>
      </w:r>
      <w:r>
        <w:rPr>
          <w:rFonts w:ascii="Arial" w:cs="Arial" w:eastAsia="Arial" w:hAnsi="Arial"/>
          <w:sz w:val="18"/>
          <w:szCs w:val="18"/>
          <w:color w:val="000000"/>
        </w:rPr>
        <w:t>from May 2017 to July 2020 and prior to that, as</w:t>
      </w:r>
      <w:r>
        <w:rPr>
          <w:rFonts w:ascii="Arial" w:cs="Arial" w:eastAsia="Arial" w:hAnsi="Arial"/>
          <w:sz w:val="18"/>
          <w:szCs w:val="18"/>
          <w:color w:val="222222"/>
        </w:rPr>
        <w:t xml:space="preserve"> VP of Global Marketing Oncology for Bayer Corporation, USA, a subsidiary of Bayer AG. Since 2021, Dr. Canamasas has served as the Organizational Development Director for the Ambassador Program of the Healthcare Businesswomen’s Association. She previously served on the board for Bayer Ltd, a subsidiary of Bayer AG. Dr. Canamasas holds a Llicenciatura in Biology from Universitat de Barcelona and a Ph.D. in Biology, with a focus on Tumor Genetics from Johannes Gutenberg-Universität Mainz.</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4" w:name="page15"/>
    <w:bookmarkEnd w:id="14"/>
    <w:p>
      <w:pPr>
        <w:ind w:right="360"/>
        <w:spacing w:after="0" w:line="318" w:lineRule="auto"/>
        <w:rPr>
          <w:sz w:val="20"/>
          <w:szCs w:val="20"/>
          <w:color w:val="auto"/>
        </w:rPr>
      </w:pPr>
      <w:r>
        <w:rPr>
          <w:rFonts w:ascii="Arial" w:cs="Arial" w:eastAsia="Arial" w:hAnsi="Arial"/>
          <w:sz w:val="17"/>
          <w:szCs w:val="17"/>
          <w:color w:val="auto"/>
        </w:rPr>
        <w:t>We believe Dr. Canamasas is qualified to serve on our board of directors because of her scientific knowledge, commercial and marketing experience and the breadth and depth of her management and leadership experience in the biotechnology and oncology sectors.</w:t>
      </w:r>
    </w:p>
    <w:p>
      <w:pPr>
        <w:spacing w:after="0" w:line="11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b w:val="1"/>
          <w:bCs w:val="1"/>
          <w:i w:val="1"/>
          <w:iCs w:val="1"/>
          <w:color w:val="auto"/>
        </w:rPr>
        <w:t xml:space="preserve">Jack Nielsen </w:t>
      </w:r>
      <w:r>
        <w:rPr>
          <w:rFonts w:ascii="Arial" w:cs="Arial" w:eastAsia="Arial" w:hAnsi="Arial"/>
          <w:sz w:val="18"/>
          <w:szCs w:val="18"/>
          <w:color w:val="auto"/>
        </w:rPr>
        <w:t>has served as a member of our board of directors since February 2020. Mr. Nielsen has served as a Managing Director at Vivo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LLC, a healthcare focused investment firm, since August 2017 and was promoted to Managing Partner in March 2021. He previously served as a consultant from March 2017 to July 2017. From 2001 to February 2017, Mr. Nielsen was with the Novo A/S (Novozymes) organization and its venture activities in several roles, most recently as a Senior Partner based in Copenhagen, Denmark. From May 2006 to August 2012, Mr. Nielsen was a Partner at Novo Ventures (US) in San Francisco, where he established the office that provides certain consultancy services to Novo A/S. He currently serves as a member of the board of directors of Aligos Therapeutics Inc., a biotechnology company, Harmony Biosciences Holdings Inc., a pharmaceutical company, InstilBio, a clinical-stage cell therapy company, IO Biotech, a clinical-stage biopharmaceutical company, and Reata Pharmaceuticals, a pharmaceutical company and previously served as a director of Akebia Therapeutics, Apollo Endosurgery, Crinetics Pharmaceuticals and Merus, N.V. Mr. Nielsen holds an M.Sc. in Chemical Engineering from the Technical University of Denmark and a Masters in Management of Technology from Center for Technology, Economics and Management, Technical University of Denmark.</w:t>
      </w:r>
    </w:p>
    <w:p>
      <w:pPr>
        <w:spacing w:after="0" w:line="17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We believe Mr. Nielsen is qualified to serve on our board of directors because of his experience working in the biotechnology industry, his experience as a venture capital investor and his board service for several companies in the biotechnology sector.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10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i w:val="1"/>
          <w:iCs w:val="1"/>
          <w:color w:val="auto"/>
        </w:rPr>
        <w:t xml:space="preserve">Jaume Pons, Ph.D. </w:t>
      </w:r>
      <w:r>
        <w:rPr>
          <w:rFonts w:ascii="Arial" w:cs="Arial" w:eastAsia="Arial" w:hAnsi="Arial"/>
          <w:sz w:val="18"/>
          <w:szCs w:val="18"/>
          <w:color w:val="auto"/>
        </w:rPr>
        <w:t>has served as our President, Chief Executive Officer and as a member of our board of directors since April 2015. 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also served as a Scientific Advisor at Lightstone Ventures, a venture capital fund, since January 2019 and as a Venture Partner at venBio Partners, a venture capital firm, since January 2017. Prior to joining us, Dr. Pons was with Pfizer, Inc., a biopharmaceutical company, where he served as Senior Vice President and a member of the Pfizer Worldwide Research and Development Leadership Team and Chief Technology Officer for Pfizer Biotherapeutics from September 2009 to February 2015. From October 2007 to February 2015, he served as Chief Scientific Officer at Rinat Neuroscience Corporation, a subsidiary of Pfizer. Dr. Pons holds a B.S. in Biochemistry from Autonomous University of Barcelona and an M.S. in Biotechnology and a Ph.D. in Molecular and Cell Biology from the Institute on Fundamental Biology, Barcelona (Autonomous University of Barcelona).</w:t>
      </w:r>
    </w:p>
    <w:p>
      <w:pPr>
        <w:spacing w:after="0" w:line="17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We believe Dr. Pons is qualified to serve on our board of directors because of the perspective and experience he brings as our Chief Executive Officer, his experience in leadership positions in the biotechnology industry, his educational background and his strong scientific expertise.</w:t>
      </w:r>
    </w:p>
    <w:p>
      <w:pPr>
        <w:spacing w:after="0" w:line="162"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i w:val="1"/>
          <w:iCs w:val="1"/>
          <w:color w:val="auto"/>
        </w:rPr>
        <w:t xml:space="preserve">Rekha Hemrajani </w:t>
      </w:r>
      <w:r>
        <w:rPr>
          <w:rFonts w:ascii="Arial" w:cs="Arial" w:eastAsia="Arial" w:hAnsi="Arial"/>
          <w:sz w:val="18"/>
          <w:szCs w:val="18"/>
          <w:color w:val="auto"/>
        </w:rPr>
        <w:t>has served as a member of our board of directors since April 2020. She is currently Chief Executive Officer and Director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Jiya Acquisition Corporation. She previously served as President and Chief Executive Officer of Aravive, Inc., a clinical-stage biotechnology company, from January 2020 to April 2020. From March 2019 to September 2019, Ms. Hemrajani served as the Chief Operating Officer and Chief Financial Officer of Arcus Biosciences, a biotechnology company. From March 2016 to March 2019, she served as Chief Operating Officer of FLX Bio, Inc. (now RAPT Therapeutics, Inc.), a biotechnology company. From February 2015 to March 2016, Ms. Hemrajani served as Chief Financial Officer and Senior Vice President of Business and Financial Operations at 3-V Biosciences, Inc. (now Sagimet Biosciences, Inc.), a biotechnology company. From November 2013 to January 2015, Ms. Hemrajani advised privately held companies on strategic corporate development and financing activities at Ravinia Consulting, a consulting firm she founded. She currently serves as a director of Jiya Acquisition Corp., a special purpose acquisition company, MaxCyte, Inc., a provider of cell-engineering platform technologies, and a privately-held company and previously served as a director of Adverum Biotechnologies, Inc. and Aravive, Inc. She holds a B.S. in Economics and Computer Science from the University of Michigan and an MBA from the Kellogg Graduate School of Management at Northwestern University.</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ind w:right="60"/>
        <w:spacing w:after="0" w:line="287" w:lineRule="auto"/>
        <w:rPr>
          <w:sz w:val="20"/>
          <w:szCs w:val="20"/>
          <w:color w:val="auto"/>
        </w:rPr>
      </w:pPr>
      <w:r>
        <w:rPr>
          <w:rFonts w:ascii="Arial" w:cs="Arial" w:eastAsia="Arial" w:hAnsi="Arial"/>
          <w:sz w:val="18"/>
          <w:szCs w:val="18"/>
          <w:color w:val="auto"/>
        </w:rPr>
        <w:t>We believe Ms. Hemrajani is qualified to serve on our board of directors due to her executive and financial experience at multiple companies in the biopharmaceutical and biotechnology industries.</w:t>
      </w:r>
    </w:p>
    <w:p>
      <w:pPr>
        <w:spacing w:after="0" w:line="139"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b w:val="1"/>
          <w:bCs w:val="1"/>
          <w:i w:val="1"/>
          <w:iCs w:val="1"/>
          <w:color w:val="auto"/>
        </w:rPr>
        <w:t xml:space="preserve">Corey Goodman, Ph.D. </w:t>
      </w:r>
      <w:r>
        <w:rPr>
          <w:rFonts w:ascii="Arial" w:cs="Arial" w:eastAsia="Arial" w:hAnsi="Arial"/>
          <w:sz w:val="18"/>
          <w:szCs w:val="18"/>
          <w:color w:val="auto"/>
        </w:rPr>
        <w:t>is our co-founder and has served as a member of our board of directors and as Executive Chairman since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He co-founded and has served as a Managing Partner of venBio Partners since March 2010. Dr. Goodman founded Labrys, a biopharmaceutical company acquired by Teva, where he served as chairman and as a member of the board of directors from December 2012 to June 2014. He founded Pfizer’s Biotherapeutics and Bioinnovation Center where he served as President and a member of Pfizer’s Executive Leadership Team from October 2007 until May 2009. He co-founded Renovis, a biopharmaceutical company acquired by Evotec, where he served as President, Chief Executive Officer and a director from September 2001 to October 2007. He is a former tenured biology professor at both Stanford University and the University of California, Berkeley, the co-founder of U.C. Berkeley’s Wills Neuroscience Institute, Investigator with the Howard Hughes Medical Institute and currently is an adjunct professor at U.C. Berkeley. Dr. Goodman is a member of the U.S. National Academy of Sciences, the American Academy of Arts &amp; Sciences and the American Philosophical Society and a recipient of the 2020 Gruber Neuroscience Prize. He currently serves as chairman and as a member of the board of directors of several privately held biotechnology companies. Dr. Goodman holds a B.S. in Biology from Stanford University and a Ph.D. in Neurobiology from U.C. Berkeley and was a postdoctoral fellow at the University of California, San Diego.</w:t>
      </w:r>
    </w:p>
    <w:p>
      <w:pPr>
        <w:spacing w:after="0" w:line="195"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color w:val="auto"/>
        </w:rPr>
        <w:t>We believe Dr. Goodman is qualified to serve on our board of directors due to his experience founding and managing biotechnology companies in both the private and public markets.</w:t>
      </w:r>
    </w:p>
    <w:p>
      <w:pPr>
        <w:spacing w:after="0" w:line="154"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 xml:space="preserve">Jason Lettmann </w:t>
      </w:r>
      <w:r>
        <w:rPr>
          <w:rFonts w:ascii="Arial" w:cs="Arial" w:eastAsia="Arial" w:hAnsi="Arial"/>
          <w:sz w:val="18"/>
          <w:szCs w:val="18"/>
          <w:color w:val="auto"/>
        </w:rPr>
        <w:t>has served as a member of our board of directors since April 2020 and previously served as a member of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from March 2015 to May 2017. Mr. Lettmann has served as a General Partner of Lightstone Ventures since March 2012 and as a Partner at Morgenthaler Ventures, a venture capital and private equity firm, since June 2009. He previously served as Chief Executive Officer of Promedior Inc., a biotechnology company acquired by Roche, from January 2019 to February 2020 and as a Vice President at Split Rock Partners, a venture capital firm, from June 2006 to June 2009. Mr. Lettmann currently serves as a member of the board of directors of several privately-held companies and previously served as a director of Ra Pharmaceuticals, a clinical-stage pharmaceutical company acquired by UCB. Mr. Lettmann holds a B.A. in Psychology from the University of Iowa and an M.B.A. from the University of Michigan’s Ross School of Business.</w:t>
      </w:r>
    </w:p>
    <w:p>
      <w:pPr>
        <w:spacing w:after="0" w:line="179"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We believe Mr. Lettmann is qualified to serve on our board of directors because of his industry experience, his experience serving on the boards of directors for multiple life sciences companies and his extensive experience with venture capital investments.</w:t>
      </w:r>
    </w:p>
    <w:p>
      <w:pPr>
        <w:spacing w:after="0" w:line="167"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b w:val="1"/>
          <w:bCs w:val="1"/>
          <w:i w:val="1"/>
          <w:iCs w:val="1"/>
          <w:color w:val="auto"/>
        </w:rPr>
        <w:t xml:space="preserve">Sophia Randolph, M.D., Ph.D. </w:t>
      </w:r>
      <w:r>
        <w:rPr>
          <w:rFonts w:ascii="Arial" w:cs="Arial" w:eastAsia="Arial" w:hAnsi="Arial"/>
          <w:sz w:val="18"/>
          <w:szCs w:val="18"/>
          <w:color w:val="auto"/>
        </w:rPr>
        <w:t>has served as our Chief Medical Officer since June 2016 and as a member of our board of directors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2021. Prior to joining us, she was with Pfizer Oncology Early and Late Development Groups from June 2008 to April 2016, where she served most recently as Executive Director, Oncology from June 2015 to April 2016. From June 2007 to May 2008, Dr. Randolph served as Director, Clinical Sciences, Oncology at Merck, a pharmaceutical company. She holds an A.B. in Biochemistry from Harvard University and an M.D. and a Ph.D. in Cellular and Molecular Biology from the University of Michigan. Dr. Randolph completed her oncology fellowship training at Seattle Cancer Care Alliance/Fred Hutchinson Cancer Research Center.</w:t>
      </w:r>
    </w:p>
    <w:p>
      <w:pPr>
        <w:spacing w:after="0" w:line="17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believe Dr. Randolph is qualified to serve on our board of directors because of her medical expertise and her extensive experience within the pharmaceutical and biotechnology sector.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Director Independence</w:t>
      </w:r>
    </w:p>
    <w:p>
      <w:pPr>
        <w:spacing w:after="0" w:line="11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common stock is listed on the Nasdaq Global Select Market (Nasdaq). Under the rules of Nasdaq, independent directors must comprise a majority of a listed company’s board of directors within one year of the completion of its initial public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7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w:t>
      </w:r>
    </w:p>
    <w:p>
      <w:pPr>
        <w:spacing w:after="0" w:line="2" w:lineRule="exact"/>
        <w:rPr>
          <w:sz w:val="20"/>
          <w:szCs w:val="20"/>
          <w:color w:val="auto"/>
        </w:rPr>
      </w:pPr>
    </w:p>
    <w:p>
      <w:pPr>
        <w:ind w:right="200" w:firstLine="8"/>
        <w:spacing w:after="0" w:line="250" w:lineRule="auto"/>
        <w:tabs>
          <w:tab w:leader="none" w:pos="2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 directly or indirectly, any consulting, advisory or other compensatory fee from the listed company or any of its subsidiaries or (2) be an affiliated person of the listed company or any of its subsidiaries.</w:t>
      </w:r>
    </w:p>
    <w:p>
      <w:pPr>
        <w:spacing w:after="0" w:line="17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7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Drs. Canamasas and Goodman, Messrs. Lettmann and Nielsen and Ms. Hemrajani., representing five of our seven directors, do not have a relationship that would interfere with the exercise of independent judgment in carrying out the responsibilities of a director and that each of these directors is “independent” as that term is defined under the rules of Nasdaq.</w:t>
      </w:r>
    </w:p>
    <w:p>
      <w:pPr>
        <w:spacing w:after="0" w:line="17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Related-Party Transactions.” There are no family relationships among any of our directors or executive officers.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04"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Our board of directors is currently chaired by Dr. Goodman. As a general policy, our board of directors believes that separation of the positions of Executive Chairman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Dr. Pons serves as our Chief Executive Officer while Dr. Goodman serves as the Executive Chairman of our board of directors but is not an officer. We currently expect and intend the positions of Executive Chairman of our board of directors and Chief Executive Officer to continue to be held by two individuals in the future.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Board Diversity</w:t>
      </w:r>
    </w:p>
    <w:p>
      <w:pPr>
        <w:spacing w:after="0" w:line="13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Diversity is important to us, and we have always had diversity across the company. We recognize the benefits associated with a diverse mix of individuals within our board of directors, including a diversity of experience, backgrounds, gender, race, ethnicity, sexual orientation and age.</w:t>
      </w:r>
    </w:p>
    <w:p>
      <w:pPr>
        <w:spacing w:after="0" w:line="209"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The corporate governance and nominating committee is committed to continuing to identify and recruit highly qualified director candidates with diverse experiences, perspectives, and backgrounds to join our board of directors. The table below provides certain information regarding the composition of our board of directors. Each of the categories listed in the below table has the meaning as it is used in Nasdaq Rule 5605(f). As demonstrated by the board diversity matrix, the Company is compliant with the diversity requirements of Nasdaq Rule 5605(f).</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Diversity Matrix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6130" cy="1581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158115"/>
                    </a:xfrm>
                    <a:prstGeom prst="rect">
                      <a:avLst/>
                    </a:prstGeom>
                    <a:noFill/>
                  </pic:spPr>
                </pic:pic>
              </a:graphicData>
            </a:graphic>
          </wp:anchor>
        </w:drawing>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4560" w:type="dxa"/>
            <w:vAlign w:val="bottom"/>
            <w:tcBorders>
              <w:top w:val="single" w:sz="8" w:color="4F81BD"/>
              <w:left w:val="single" w:sz="8" w:color="4F81BD"/>
              <w:right w:val="single" w:sz="8" w:color="4F81BD"/>
            </w:tcBorders>
          </w:tcPr>
          <w:p>
            <w:pPr>
              <w:ind w:left="60"/>
              <w:spacing w:after="0"/>
              <w:rPr>
                <w:sz w:val="20"/>
                <w:szCs w:val="20"/>
                <w:color w:val="auto"/>
              </w:rPr>
            </w:pPr>
            <w:r>
              <w:rPr>
                <w:rFonts w:ascii="Arial" w:cs="Arial" w:eastAsia="Arial" w:hAnsi="Arial"/>
                <w:sz w:val="18"/>
                <w:szCs w:val="18"/>
                <w:color w:val="auto"/>
              </w:rPr>
              <w:t>Total Number of Directors</w:t>
            </w:r>
          </w:p>
        </w:tc>
        <w:tc>
          <w:tcPr>
            <w:tcW w:w="1620" w:type="dxa"/>
            <w:vAlign w:val="bottom"/>
            <w:tcBorders>
              <w:top w:val="single" w:sz="8" w:color="4F81BD"/>
            </w:tcBorders>
          </w:tcPr>
          <w:p>
            <w:pPr>
              <w:spacing w:after="0"/>
              <w:rPr>
                <w:sz w:val="23"/>
                <w:szCs w:val="23"/>
                <w:color w:val="auto"/>
              </w:rPr>
            </w:pPr>
          </w:p>
        </w:tc>
        <w:tc>
          <w:tcPr>
            <w:tcW w:w="1360" w:type="dxa"/>
            <w:vAlign w:val="bottom"/>
            <w:tcBorders>
              <w:top w:val="single" w:sz="8" w:color="4F81BD"/>
            </w:tcBorders>
          </w:tcPr>
          <w:p>
            <w:pPr>
              <w:spacing w:after="0"/>
              <w:rPr>
                <w:sz w:val="23"/>
                <w:szCs w:val="23"/>
                <w:color w:val="auto"/>
              </w:rPr>
            </w:pPr>
          </w:p>
        </w:tc>
        <w:tc>
          <w:tcPr>
            <w:tcW w:w="2000" w:type="dxa"/>
            <w:vAlign w:val="bottom"/>
            <w:tcBorders>
              <w:top w:val="single" w:sz="8" w:color="4F81BD"/>
            </w:tcBorders>
            <w:gridSpan w:val="2"/>
          </w:tcPr>
          <w:p>
            <w:pPr>
              <w:jc w:val="center"/>
              <w:ind w:right="1210"/>
              <w:spacing w:after="0"/>
              <w:rPr>
                <w:sz w:val="20"/>
                <w:szCs w:val="20"/>
                <w:color w:val="auto"/>
              </w:rPr>
            </w:pPr>
            <w:r>
              <w:rPr>
                <w:rFonts w:ascii="Arial" w:cs="Arial" w:eastAsia="Arial" w:hAnsi="Arial"/>
                <w:sz w:val="18"/>
                <w:szCs w:val="18"/>
                <w:color w:val="auto"/>
                <w:w w:val="99"/>
              </w:rPr>
              <w:t>6</w:t>
            </w:r>
          </w:p>
        </w:tc>
        <w:tc>
          <w:tcPr>
            <w:tcW w:w="1700" w:type="dxa"/>
            <w:vAlign w:val="bottom"/>
            <w:tcBorders>
              <w:top w:val="single" w:sz="8" w:color="4F81BD"/>
              <w:right w:val="single" w:sz="8" w:color="4F81BD"/>
            </w:tcBorders>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4560" w:type="dxa"/>
            <w:vAlign w:val="bottom"/>
            <w:tcBorders>
              <w:left w:val="single" w:sz="8" w:color="4F81BD"/>
              <w:bottom w:val="single" w:sz="8" w:color="4F81BD"/>
              <w:right w:val="single" w:sz="8" w:color="4F81BD"/>
            </w:tcBorders>
          </w:tcPr>
          <w:p>
            <w:pPr>
              <w:spacing w:after="0"/>
              <w:rPr>
                <w:sz w:val="2"/>
                <w:szCs w:val="2"/>
                <w:color w:val="auto"/>
              </w:rPr>
            </w:pPr>
          </w:p>
        </w:tc>
        <w:tc>
          <w:tcPr>
            <w:tcW w:w="1620" w:type="dxa"/>
            <w:vAlign w:val="bottom"/>
            <w:tcBorders>
              <w:bottom w:val="single" w:sz="8" w:color="4F81BD"/>
            </w:tcBorders>
          </w:tcPr>
          <w:p>
            <w:pPr>
              <w:spacing w:after="0"/>
              <w:rPr>
                <w:sz w:val="2"/>
                <w:szCs w:val="2"/>
                <w:color w:val="auto"/>
              </w:rPr>
            </w:pPr>
          </w:p>
        </w:tc>
        <w:tc>
          <w:tcPr>
            <w:tcW w:w="1360" w:type="dxa"/>
            <w:vAlign w:val="bottom"/>
            <w:tcBorders>
              <w:bottom w:val="single" w:sz="8" w:color="4F81BD"/>
            </w:tcBorders>
          </w:tcPr>
          <w:p>
            <w:pPr>
              <w:spacing w:after="0"/>
              <w:rPr>
                <w:sz w:val="2"/>
                <w:szCs w:val="2"/>
                <w:color w:val="auto"/>
              </w:rPr>
            </w:pPr>
          </w:p>
        </w:tc>
        <w:tc>
          <w:tcPr>
            <w:tcW w:w="380" w:type="dxa"/>
            <w:vAlign w:val="bottom"/>
            <w:tcBorders>
              <w:bottom w:val="single" w:sz="8" w:color="4F81BD"/>
            </w:tcBorders>
          </w:tcPr>
          <w:p>
            <w:pPr>
              <w:spacing w:after="0"/>
              <w:rPr>
                <w:sz w:val="2"/>
                <w:szCs w:val="2"/>
                <w:color w:val="auto"/>
              </w:rPr>
            </w:pPr>
          </w:p>
        </w:tc>
        <w:tc>
          <w:tcPr>
            <w:tcW w:w="1620" w:type="dxa"/>
            <w:vAlign w:val="bottom"/>
            <w:tcBorders>
              <w:bottom w:val="single" w:sz="8" w:color="4F81BD"/>
            </w:tcBorders>
          </w:tcPr>
          <w:p>
            <w:pPr>
              <w:spacing w:after="0"/>
              <w:rPr>
                <w:sz w:val="2"/>
                <w:szCs w:val="2"/>
                <w:color w:val="auto"/>
              </w:rPr>
            </w:pPr>
          </w:p>
        </w:tc>
        <w:tc>
          <w:tcPr>
            <w:tcW w:w="1700" w:type="dxa"/>
            <w:vAlign w:val="bottom"/>
            <w:tcBorders>
              <w:bottom w:val="single" w:sz="8" w:color="4F81BD"/>
              <w:right w:val="single" w:sz="8" w:color="4F81BD"/>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4560" w:type="dxa"/>
            <w:vAlign w:val="bottom"/>
            <w:tcBorders>
              <w:left w:val="single" w:sz="8" w:color="4F81BD"/>
              <w:right w:val="single" w:sz="8" w:color="4F81BD"/>
            </w:tcBorders>
            <w:shd w:val="clear" w:color="auto" w:fill="D9D9D9"/>
          </w:tcPr>
          <w:p>
            <w:pPr>
              <w:spacing w:after="0"/>
              <w:rPr>
                <w:sz w:val="14"/>
                <w:szCs w:val="14"/>
                <w:color w:val="auto"/>
              </w:rPr>
            </w:pPr>
          </w:p>
        </w:tc>
        <w:tc>
          <w:tcPr>
            <w:tcW w:w="1620" w:type="dxa"/>
            <w:vAlign w:val="bottom"/>
            <w:tcBorders>
              <w:right w:val="single" w:sz="8" w:color="4F81BD"/>
            </w:tcBorders>
            <w:vMerge w:val="restart"/>
            <w:shd w:val="clear" w:color="auto" w:fill="D9D9D9"/>
          </w:tcPr>
          <w:p>
            <w:pPr>
              <w:ind w:left="480"/>
              <w:spacing w:after="0"/>
              <w:rPr>
                <w:sz w:val="20"/>
                <w:szCs w:val="20"/>
                <w:color w:val="auto"/>
              </w:rPr>
            </w:pPr>
            <w:r>
              <w:rPr>
                <w:rFonts w:ascii="Arial" w:cs="Arial" w:eastAsia="Arial" w:hAnsi="Arial"/>
                <w:sz w:val="18"/>
                <w:szCs w:val="18"/>
                <w:b w:val="1"/>
                <w:bCs w:val="1"/>
                <w:color w:val="auto"/>
              </w:rPr>
              <w:t>Female</w:t>
            </w:r>
          </w:p>
        </w:tc>
        <w:tc>
          <w:tcPr>
            <w:tcW w:w="1360" w:type="dxa"/>
            <w:vAlign w:val="bottom"/>
            <w:vMerge w:val="restart"/>
            <w:shd w:val="clear" w:color="auto" w:fill="D9D9D9"/>
          </w:tcPr>
          <w:p>
            <w:pPr>
              <w:ind w:left="660"/>
              <w:spacing w:after="0"/>
              <w:rPr>
                <w:sz w:val="20"/>
                <w:szCs w:val="20"/>
                <w:color w:val="auto"/>
              </w:rPr>
            </w:pPr>
            <w:r>
              <w:rPr>
                <w:rFonts w:ascii="Arial" w:cs="Arial" w:eastAsia="Arial" w:hAnsi="Arial"/>
                <w:sz w:val="18"/>
                <w:szCs w:val="18"/>
                <w:b w:val="1"/>
                <w:bCs w:val="1"/>
                <w:color w:val="auto"/>
              </w:rPr>
              <w:t>Male</w:t>
            </w:r>
          </w:p>
        </w:tc>
        <w:tc>
          <w:tcPr>
            <w:tcW w:w="380" w:type="dxa"/>
            <w:vAlign w:val="bottom"/>
            <w:tcBorders>
              <w:right w:val="single" w:sz="8" w:color="4F81BD"/>
            </w:tcBorders>
            <w:shd w:val="clear" w:color="auto" w:fill="D9D9D9"/>
          </w:tcPr>
          <w:p>
            <w:pPr>
              <w:spacing w:after="0"/>
              <w:rPr>
                <w:sz w:val="14"/>
                <w:szCs w:val="14"/>
                <w:color w:val="auto"/>
              </w:rPr>
            </w:pPr>
          </w:p>
        </w:tc>
        <w:tc>
          <w:tcPr>
            <w:tcW w:w="1620" w:type="dxa"/>
            <w:vAlign w:val="bottom"/>
            <w:tcBorders>
              <w:right w:val="single" w:sz="8" w:color="4F81BD"/>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rPr>
              <w:t>Non-Binary</w:t>
            </w:r>
          </w:p>
        </w:tc>
        <w:tc>
          <w:tcPr>
            <w:tcW w:w="1700" w:type="dxa"/>
            <w:vAlign w:val="bottom"/>
            <w:tcBorders>
              <w:right w:val="single" w:sz="8" w:color="4F81BD"/>
            </w:tcBorders>
            <w:shd w:val="clear" w:color="auto" w:fill="D9D9D9"/>
          </w:tcPr>
          <w:p>
            <w:pPr>
              <w:jc w:val="center"/>
              <w:spacing w:after="0" w:line="164" w:lineRule="exact"/>
              <w:rPr>
                <w:sz w:val="20"/>
                <w:szCs w:val="20"/>
                <w:color w:val="auto"/>
              </w:rPr>
            </w:pPr>
            <w:r>
              <w:rPr>
                <w:rFonts w:ascii="Arial" w:cs="Arial" w:eastAsia="Arial" w:hAnsi="Arial"/>
                <w:sz w:val="18"/>
                <w:szCs w:val="18"/>
                <w:b w:val="1"/>
                <w:bCs w:val="1"/>
                <w:color w:val="auto"/>
                <w:w w:val="99"/>
              </w:rPr>
              <w:t>Did Not</w:t>
            </w:r>
          </w:p>
        </w:tc>
        <w:tc>
          <w:tcPr>
            <w:tcW w:w="0" w:type="dxa"/>
            <w:vAlign w:val="bottom"/>
          </w:tcPr>
          <w:p>
            <w:pPr>
              <w:spacing w:after="0"/>
              <w:rPr>
                <w:sz w:val="1"/>
                <w:szCs w:val="1"/>
                <w:color w:val="auto"/>
              </w:rPr>
            </w:pPr>
          </w:p>
        </w:tc>
      </w:tr>
      <w:tr>
        <w:trPr>
          <w:trHeight w:val="235"/>
        </w:trPr>
        <w:tc>
          <w:tcPr>
            <w:tcW w:w="4560" w:type="dxa"/>
            <w:vAlign w:val="bottom"/>
            <w:tcBorders>
              <w:left w:val="single" w:sz="8" w:color="4F81BD"/>
              <w:bottom w:val="single" w:sz="8" w:color="4F81BD"/>
              <w:right w:val="single" w:sz="8" w:color="4F81BD"/>
            </w:tcBorders>
            <w:shd w:val="clear" w:color="auto" w:fill="D9D9D9"/>
          </w:tcPr>
          <w:p>
            <w:pPr>
              <w:spacing w:after="0"/>
              <w:rPr>
                <w:sz w:val="20"/>
                <w:szCs w:val="20"/>
                <w:color w:val="auto"/>
              </w:rPr>
            </w:pPr>
          </w:p>
        </w:tc>
        <w:tc>
          <w:tcPr>
            <w:tcW w:w="1620" w:type="dxa"/>
            <w:vAlign w:val="bottom"/>
            <w:tcBorders>
              <w:bottom w:val="single" w:sz="8" w:color="4F81BD"/>
              <w:right w:val="single" w:sz="8" w:color="4F81BD"/>
            </w:tcBorders>
            <w:vMerge w:val="continue"/>
            <w:shd w:val="clear" w:color="auto" w:fill="D9D9D9"/>
          </w:tcPr>
          <w:p>
            <w:pPr>
              <w:spacing w:after="0"/>
              <w:rPr>
                <w:sz w:val="20"/>
                <w:szCs w:val="20"/>
                <w:color w:val="auto"/>
              </w:rPr>
            </w:pPr>
          </w:p>
        </w:tc>
        <w:tc>
          <w:tcPr>
            <w:tcW w:w="1360" w:type="dxa"/>
            <w:vAlign w:val="bottom"/>
            <w:tcBorders>
              <w:bottom w:val="single" w:sz="8" w:color="4F81BD"/>
            </w:tcBorders>
            <w:vMerge w:val="continue"/>
            <w:shd w:val="clear" w:color="auto" w:fill="D9D9D9"/>
          </w:tcPr>
          <w:p>
            <w:pPr>
              <w:spacing w:after="0"/>
              <w:rPr>
                <w:sz w:val="20"/>
                <w:szCs w:val="20"/>
                <w:color w:val="auto"/>
              </w:rPr>
            </w:pPr>
          </w:p>
        </w:tc>
        <w:tc>
          <w:tcPr>
            <w:tcW w:w="380" w:type="dxa"/>
            <w:vAlign w:val="bottom"/>
            <w:tcBorders>
              <w:bottom w:val="single" w:sz="8" w:color="4F81BD"/>
              <w:right w:val="single" w:sz="8" w:color="4F81BD"/>
            </w:tcBorders>
            <w:shd w:val="clear" w:color="auto" w:fill="D9D9D9"/>
          </w:tcPr>
          <w:p>
            <w:pPr>
              <w:spacing w:after="0"/>
              <w:rPr>
                <w:sz w:val="20"/>
                <w:szCs w:val="20"/>
                <w:color w:val="auto"/>
              </w:rPr>
            </w:pPr>
          </w:p>
        </w:tc>
        <w:tc>
          <w:tcPr>
            <w:tcW w:w="1620" w:type="dxa"/>
            <w:vAlign w:val="bottom"/>
            <w:tcBorders>
              <w:bottom w:val="single" w:sz="8" w:color="4F81BD"/>
              <w:right w:val="single" w:sz="8" w:color="4F81BD"/>
            </w:tcBorders>
            <w:vMerge w:val="continue"/>
            <w:shd w:val="clear" w:color="auto" w:fill="D9D9D9"/>
          </w:tcPr>
          <w:p>
            <w:pPr>
              <w:spacing w:after="0"/>
              <w:rPr>
                <w:sz w:val="20"/>
                <w:szCs w:val="20"/>
                <w:color w:val="auto"/>
              </w:rPr>
            </w:pPr>
          </w:p>
        </w:tc>
        <w:tc>
          <w:tcPr>
            <w:tcW w:w="1700" w:type="dxa"/>
            <w:vAlign w:val="bottom"/>
            <w:tcBorders>
              <w:bottom w:val="single" w:sz="8" w:color="4F81BD"/>
              <w:right w:val="single" w:sz="8" w:color="4F81BD"/>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Disclose Gender</w:t>
            </w:r>
          </w:p>
        </w:tc>
        <w:tc>
          <w:tcPr>
            <w:tcW w:w="0" w:type="dxa"/>
            <w:vAlign w:val="bottom"/>
          </w:tcPr>
          <w:p>
            <w:pPr>
              <w:spacing w:after="0"/>
              <w:rPr>
                <w:sz w:val="1"/>
                <w:szCs w:val="1"/>
                <w:color w:val="auto"/>
              </w:rPr>
            </w:pPr>
          </w:p>
        </w:tc>
      </w:tr>
      <w:tr>
        <w:trPr>
          <w:trHeight w:val="210"/>
        </w:trPr>
        <w:tc>
          <w:tcPr>
            <w:tcW w:w="4560" w:type="dxa"/>
            <w:vAlign w:val="bottom"/>
            <w:tcBorders>
              <w:left w:val="single" w:sz="8" w:color="4F81BD"/>
              <w:bottom w:val="single" w:sz="8" w:color="4F81BD"/>
              <w:right w:val="single" w:sz="8" w:color="4F81BD"/>
            </w:tcBorders>
            <w:shd w:val="clear" w:color="auto" w:fill="D9D9D9"/>
          </w:tcPr>
          <w:p>
            <w:pPr>
              <w:ind w:left="180"/>
              <w:spacing w:after="0"/>
              <w:rPr>
                <w:sz w:val="20"/>
                <w:szCs w:val="20"/>
                <w:color w:val="auto"/>
              </w:rPr>
            </w:pPr>
            <w:r>
              <w:rPr>
                <w:rFonts w:ascii="Arial" w:cs="Arial" w:eastAsia="Arial" w:hAnsi="Arial"/>
                <w:sz w:val="18"/>
                <w:szCs w:val="18"/>
                <w:b w:val="1"/>
                <w:bCs w:val="1"/>
                <w:color w:val="auto"/>
              </w:rPr>
              <w:t>Part I: Gender Identity</w:t>
            </w:r>
          </w:p>
        </w:tc>
        <w:tc>
          <w:tcPr>
            <w:tcW w:w="1620" w:type="dxa"/>
            <w:vAlign w:val="bottom"/>
            <w:tcBorders>
              <w:bottom w:val="single" w:sz="8" w:color="4F81BD"/>
              <w:right w:val="single" w:sz="8" w:color="D9D9D9"/>
            </w:tcBorders>
            <w:shd w:val="clear" w:color="auto" w:fill="D9D9D9"/>
          </w:tcPr>
          <w:p>
            <w:pPr>
              <w:spacing w:after="0"/>
              <w:rPr>
                <w:sz w:val="18"/>
                <w:szCs w:val="18"/>
                <w:color w:val="auto"/>
              </w:rPr>
            </w:pPr>
          </w:p>
        </w:tc>
        <w:tc>
          <w:tcPr>
            <w:tcW w:w="1360" w:type="dxa"/>
            <w:vAlign w:val="bottom"/>
            <w:tcBorders>
              <w:bottom w:val="single" w:sz="8" w:color="4F81BD"/>
            </w:tcBorders>
            <w:shd w:val="clear" w:color="auto" w:fill="D9D9D9"/>
          </w:tcPr>
          <w:p>
            <w:pPr>
              <w:spacing w:after="0"/>
              <w:rPr>
                <w:sz w:val="18"/>
                <w:szCs w:val="18"/>
                <w:color w:val="auto"/>
              </w:rPr>
            </w:pPr>
          </w:p>
        </w:tc>
        <w:tc>
          <w:tcPr>
            <w:tcW w:w="380" w:type="dxa"/>
            <w:vAlign w:val="bottom"/>
            <w:tcBorders>
              <w:bottom w:val="single" w:sz="8" w:color="4F81BD"/>
              <w:right w:val="single" w:sz="8" w:color="D9D9D9"/>
            </w:tcBorders>
            <w:shd w:val="clear" w:color="auto" w:fill="D9D9D9"/>
          </w:tcPr>
          <w:p>
            <w:pPr>
              <w:spacing w:after="0"/>
              <w:rPr>
                <w:sz w:val="18"/>
                <w:szCs w:val="18"/>
                <w:color w:val="auto"/>
              </w:rPr>
            </w:pPr>
          </w:p>
        </w:tc>
        <w:tc>
          <w:tcPr>
            <w:tcW w:w="1620" w:type="dxa"/>
            <w:vAlign w:val="bottom"/>
            <w:tcBorders>
              <w:bottom w:val="single" w:sz="8" w:color="4F81BD"/>
              <w:right w:val="single" w:sz="8" w:color="D9D9D9"/>
            </w:tcBorders>
            <w:shd w:val="clear" w:color="auto" w:fill="D9D9D9"/>
          </w:tcPr>
          <w:p>
            <w:pPr>
              <w:spacing w:after="0"/>
              <w:rPr>
                <w:sz w:val="18"/>
                <w:szCs w:val="18"/>
                <w:color w:val="auto"/>
              </w:rPr>
            </w:pPr>
          </w:p>
        </w:tc>
        <w:tc>
          <w:tcPr>
            <w:tcW w:w="1700" w:type="dxa"/>
            <w:vAlign w:val="bottom"/>
            <w:tcBorders>
              <w:bottom w:val="single" w:sz="8" w:color="4F81BD"/>
              <w:right w:val="single" w:sz="8" w:color="4F81BD"/>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Borders>
              <w:left w:val="single" w:sz="8" w:color="4F81BD"/>
              <w:bottom w:val="single" w:sz="8" w:color="4F81BD"/>
              <w:right w:val="single" w:sz="8" w:color="4F81BD"/>
            </w:tcBorders>
          </w:tcPr>
          <w:p>
            <w:pPr>
              <w:ind w:left="180"/>
              <w:spacing w:after="0"/>
              <w:rPr>
                <w:sz w:val="20"/>
                <w:szCs w:val="20"/>
                <w:color w:val="auto"/>
              </w:rPr>
            </w:pPr>
            <w:r>
              <w:rPr>
                <w:rFonts w:ascii="Arial" w:cs="Arial" w:eastAsia="Arial" w:hAnsi="Arial"/>
                <w:sz w:val="18"/>
                <w:szCs w:val="18"/>
                <w:color w:val="auto"/>
              </w:rPr>
              <w:t>Directors</w:t>
            </w:r>
          </w:p>
        </w:tc>
        <w:tc>
          <w:tcPr>
            <w:tcW w:w="1620" w:type="dxa"/>
            <w:vAlign w:val="bottom"/>
            <w:tcBorders>
              <w:bottom w:val="single" w:sz="8" w:color="4F81BD"/>
              <w:right w:val="single" w:sz="8" w:color="4F81BD"/>
            </w:tcBorders>
          </w:tcPr>
          <w:p>
            <w:pPr>
              <w:jc w:val="center"/>
              <w:spacing w:after="0"/>
              <w:rPr>
                <w:sz w:val="20"/>
                <w:szCs w:val="20"/>
                <w:color w:val="auto"/>
              </w:rPr>
            </w:pPr>
            <w:r>
              <w:rPr>
                <w:rFonts w:ascii="Arial" w:cs="Arial" w:eastAsia="Arial" w:hAnsi="Arial"/>
                <w:sz w:val="18"/>
                <w:szCs w:val="18"/>
                <w:color w:val="auto"/>
                <w:w w:val="99"/>
              </w:rPr>
              <w:t>2</w:t>
            </w:r>
          </w:p>
        </w:tc>
        <w:tc>
          <w:tcPr>
            <w:tcW w:w="1360" w:type="dxa"/>
            <w:vAlign w:val="bottom"/>
            <w:tcBorders>
              <w:bottom w:val="single" w:sz="8" w:color="4F81BD"/>
            </w:tcBorders>
          </w:tcPr>
          <w:p>
            <w:pPr>
              <w:jc w:val="center"/>
              <w:ind w:left="250"/>
              <w:spacing w:after="0"/>
              <w:rPr>
                <w:sz w:val="20"/>
                <w:szCs w:val="20"/>
                <w:color w:val="auto"/>
              </w:rPr>
            </w:pPr>
            <w:r>
              <w:rPr>
                <w:rFonts w:ascii="Arial" w:cs="Arial" w:eastAsia="Arial" w:hAnsi="Arial"/>
                <w:sz w:val="18"/>
                <w:szCs w:val="18"/>
                <w:color w:val="auto"/>
                <w:w w:val="99"/>
              </w:rPr>
              <w:t>2</w:t>
            </w:r>
          </w:p>
        </w:tc>
        <w:tc>
          <w:tcPr>
            <w:tcW w:w="380" w:type="dxa"/>
            <w:vAlign w:val="bottom"/>
            <w:tcBorders>
              <w:bottom w:val="single" w:sz="8" w:color="4F81BD"/>
              <w:right w:val="single" w:sz="8" w:color="4F81BD"/>
            </w:tcBorders>
          </w:tcPr>
          <w:p>
            <w:pPr>
              <w:spacing w:after="0"/>
              <w:rPr>
                <w:sz w:val="18"/>
                <w:szCs w:val="18"/>
                <w:color w:val="auto"/>
              </w:rPr>
            </w:pPr>
          </w:p>
        </w:tc>
        <w:tc>
          <w:tcPr>
            <w:tcW w:w="1620" w:type="dxa"/>
            <w:vAlign w:val="bottom"/>
            <w:tcBorders>
              <w:bottom w:val="single" w:sz="8" w:color="4F81BD"/>
              <w:right w:val="single" w:sz="8" w:color="4F81BD"/>
            </w:tcBorders>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4F81BD"/>
              <w:right w:val="single" w:sz="8" w:color="4F81BD"/>
            </w:tcBorders>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0"/>
        </w:trPr>
        <w:tc>
          <w:tcPr>
            <w:tcW w:w="4560" w:type="dxa"/>
            <w:vAlign w:val="bottom"/>
            <w:tcBorders>
              <w:left w:val="single" w:sz="8" w:color="4F81BD"/>
              <w:bottom w:val="single" w:sz="8" w:color="4F81BD"/>
              <w:right w:val="single" w:sz="8" w:color="D9D9D9"/>
            </w:tcBorders>
            <w:shd w:val="clear" w:color="auto" w:fill="D9D9D9"/>
          </w:tcPr>
          <w:p>
            <w:pPr>
              <w:ind w:left="180"/>
              <w:spacing w:after="0"/>
              <w:rPr>
                <w:sz w:val="20"/>
                <w:szCs w:val="20"/>
                <w:color w:val="auto"/>
              </w:rPr>
            </w:pPr>
            <w:r>
              <w:rPr>
                <w:rFonts w:ascii="Arial" w:cs="Arial" w:eastAsia="Arial" w:hAnsi="Arial"/>
                <w:sz w:val="18"/>
                <w:szCs w:val="18"/>
                <w:b w:val="1"/>
                <w:bCs w:val="1"/>
                <w:color w:val="auto"/>
              </w:rPr>
              <w:t>Part II: Demographic Background</w:t>
            </w:r>
          </w:p>
        </w:tc>
        <w:tc>
          <w:tcPr>
            <w:tcW w:w="1620" w:type="dxa"/>
            <w:vAlign w:val="bottom"/>
            <w:tcBorders>
              <w:bottom w:val="single" w:sz="8" w:color="4F81BD"/>
              <w:right w:val="single" w:sz="8" w:color="D9D9D9"/>
            </w:tcBorders>
            <w:shd w:val="clear" w:color="auto" w:fill="D9D9D9"/>
          </w:tcPr>
          <w:p>
            <w:pPr>
              <w:spacing w:after="0"/>
              <w:rPr>
                <w:sz w:val="18"/>
                <w:szCs w:val="18"/>
                <w:color w:val="auto"/>
              </w:rPr>
            </w:pPr>
          </w:p>
        </w:tc>
        <w:tc>
          <w:tcPr>
            <w:tcW w:w="1360" w:type="dxa"/>
            <w:vAlign w:val="bottom"/>
            <w:tcBorders>
              <w:bottom w:val="single" w:sz="8" w:color="4F81BD"/>
            </w:tcBorders>
            <w:shd w:val="clear" w:color="auto" w:fill="D9D9D9"/>
          </w:tcPr>
          <w:p>
            <w:pPr>
              <w:spacing w:after="0"/>
              <w:rPr>
                <w:sz w:val="18"/>
                <w:szCs w:val="18"/>
                <w:color w:val="auto"/>
              </w:rPr>
            </w:pPr>
          </w:p>
        </w:tc>
        <w:tc>
          <w:tcPr>
            <w:tcW w:w="380" w:type="dxa"/>
            <w:vAlign w:val="bottom"/>
            <w:tcBorders>
              <w:bottom w:val="single" w:sz="8" w:color="4F81BD"/>
              <w:right w:val="single" w:sz="8" w:color="4F81BD"/>
            </w:tcBorders>
            <w:shd w:val="clear" w:color="auto" w:fill="D9D9D9"/>
          </w:tcPr>
          <w:p>
            <w:pPr>
              <w:spacing w:after="0"/>
              <w:rPr>
                <w:sz w:val="18"/>
                <w:szCs w:val="18"/>
                <w:color w:val="auto"/>
              </w:rPr>
            </w:pPr>
          </w:p>
        </w:tc>
        <w:tc>
          <w:tcPr>
            <w:tcW w:w="1620" w:type="dxa"/>
            <w:vAlign w:val="bottom"/>
            <w:tcBorders>
              <w:bottom w:val="single" w:sz="8" w:color="4F81BD"/>
              <w:right w:val="single" w:sz="8" w:color="4F81BD"/>
            </w:tcBorders>
            <w:shd w:val="clear" w:color="auto" w:fill="D9D9D9"/>
          </w:tcPr>
          <w:p>
            <w:pPr>
              <w:spacing w:after="0"/>
              <w:rPr>
                <w:sz w:val="18"/>
                <w:szCs w:val="18"/>
                <w:color w:val="auto"/>
              </w:rPr>
            </w:pPr>
          </w:p>
        </w:tc>
        <w:tc>
          <w:tcPr>
            <w:tcW w:w="1700" w:type="dxa"/>
            <w:vAlign w:val="bottom"/>
            <w:tcBorders>
              <w:bottom w:val="single" w:sz="8" w:color="4F81BD"/>
              <w:right w:val="single" w:sz="8" w:color="4F81BD"/>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Borders>
              <w:left w:val="single" w:sz="8" w:color="4F81BD"/>
              <w:bottom w:val="single" w:sz="8" w:color="4F81BD"/>
              <w:right w:val="single" w:sz="8" w:color="4F81BD"/>
            </w:tcBorders>
          </w:tcPr>
          <w:p>
            <w:pPr>
              <w:ind w:left="180"/>
              <w:spacing w:after="0"/>
              <w:rPr>
                <w:sz w:val="20"/>
                <w:szCs w:val="20"/>
                <w:color w:val="auto"/>
              </w:rPr>
            </w:pPr>
            <w:r>
              <w:rPr>
                <w:rFonts w:ascii="Arial" w:cs="Arial" w:eastAsia="Arial" w:hAnsi="Arial"/>
                <w:sz w:val="18"/>
                <w:szCs w:val="18"/>
                <w:color w:val="auto"/>
              </w:rPr>
              <w:t>African American or Black</w:t>
            </w:r>
          </w:p>
        </w:tc>
        <w:tc>
          <w:tcPr>
            <w:tcW w:w="1620" w:type="dxa"/>
            <w:vAlign w:val="bottom"/>
            <w:tcBorders>
              <w:bottom w:val="single" w:sz="8" w:color="4F81BD"/>
              <w:right w:val="single" w:sz="8" w:color="4F81BD"/>
            </w:tcBorders>
          </w:tcPr>
          <w:p>
            <w:pPr>
              <w:jc w:val="center"/>
              <w:spacing w:after="0"/>
              <w:rPr>
                <w:sz w:val="20"/>
                <w:szCs w:val="20"/>
                <w:color w:val="auto"/>
              </w:rPr>
            </w:pPr>
            <w:r>
              <w:rPr>
                <w:rFonts w:ascii="Arial" w:cs="Arial" w:eastAsia="Arial" w:hAnsi="Arial"/>
                <w:sz w:val="18"/>
                <w:szCs w:val="18"/>
                <w:color w:val="auto"/>
                <w:w w:val="99"/>
              </w:rPr>
              <w:t>1</w:t>
            </w:r>
          </w:p>
        </w:tc>
        <w:tc>
          <w:tcPr>
            <w:tcW w:w="1360" w:type="dxa"/>
            <w:vAlign w:val="bottom"/>
            <w:tcBorders>
              <w:bottom w:val="single" w:sz="8" w:color="4F81BD"/>
            </w:tcBorders>
          </w:tcPr>
          <w:p>
            <w:pPr>
              <w:jc w:val="center"/>
              <w:ind w:left="2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4F81BD"/>
              <w:right w:val="single" w:sz="8" w:color="4F81BD"/>
            </w:tcBorders>
          </w:tcPr>
          <w:p>
            <w:pPr>
              <w:spacing w:after="0"/>
              <w:rPr>
                <w:sz w:val="18"/>
                <w:szCs w:val="18"/>
                <w:color w:val="auto"/>
              </w:rPr>
            </w:pPr>
          </w:p>
        </w:tc>
        <w:tc>
          <w:tcPr>
            <w:tcW w:w="1620" w:type="dxa"/>
            <w:vAlign w:val="bottom"/>
            <w:tcBorders>
              <w:bottom w:val="single" w:sz="8" w:color="4F81BD"/>
              <w:right w:val="single" w:sz="8" w:color="4F81BD"/>
            </w:tcBorders>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4F81BD"/>
              <w:right w:val="single" w:sz="8" w:color="4F81BD"/>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4560" w:type="dxa"/>
            <w:vAlign w:val="bottom"/>
            <w:tcBorders>
              <w:left w:val="single" w:sz="8" w:color="4F81BD"/>
              <w:bottom w:val="single" w:sz="8" w:color="4F81BD"/>
              <w:right w:val="single" w:sz="8" w:color="4F81BD"/>
            </w:tcBorders>
          </w:tcPr>
          <w:p>
            <w:pPr>
              <w:ind w:left="180"/>
              <w:spacing w:after="0"/>
              <w:rPr>
                <w:sz w:val="20"/>
                <w:szCs w:val="20"/>
                <w:color w:val="auto"/>
              </w:rPr>
            </w:pPr>
            <w:r>
              <w:rPr>
                <w:rFonts w:ascii="Arial" w:cs="Arial" w:eastAsia="Arial" w:hAnsi="Arial"/>
                <w:sz w:val="18"/>
                <w:szCs w:val="18"/>
                <w:color w:val="auto"/>
              </w:rPr>
              <w:t>Alaskan Native or Native American</w:t>
            </w:r>
          </w:p>
        </w:tc>
        <w:tc>
          <w:tcPr>
            <w:tcW w:w="1620" w:type="dxa"/>
            <w:vAlign w:val="bottom"/>
            <w:tcBorders>
              <w:bottom w:val="single" w:sz="8" w:color="4F81BD"/>
              <w:right w:val="single" w:sz="8" w:color="4F81BD"/>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4F81BD"/>
            </w:tcBorders>
          </w:tcPr>
          <w:p>
            <w:pPr>
              <w:jc w:val="center"/>
              <w:ind w:left="2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4F81BD"/>
              <w:right w:val="single" w:sz="8" w:color="4F81BD"/>
            </w:tcBorders>
          </w:tcPr>
          <w:p>
            <w:pPr>
              <w:spacing w:after="0"/>
              <w:rPr>
                <w:sz w:val="18"/>
                <w:szCs w:val="18"/>
                <w:color w:val="auto"/>
              </w:rPr>
            </w:pPr>
          </w:p>
        </w:tc>
        <w:tc>
          <w:tcPr>
            <w:tcW w:w="1620" w:type="dxa"/>
            <w:vAlign w:val="bottom"/>
            <w:tcBorders>
              <w:bottom w:val="single" w:sz="8" w:color="4F81BD"/>
              <w:right w:val="single" w:sz="8" w:color="4F81BD"/>
            </w:tcBorders>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4F81BD"/>
              <w:right w:val="single" w:sz="8" w:color="4F81BD"/>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560" w:type="dxa"/>
            <w:vAlign w:val="bottom"/>
            <w:tcBorders>
              <w:left w:val="single" w:sz="8" w:color="4F81BD"/>
              <w:bottom w:val="single" w:sz="8" w:color="4F81BD"/>
              <w:right w:val="single" w:sz="8" w:color="4F81BD"/>
            </w:tcBorders>
          </w:tcPr>
          <w:p>
            <w:pPr>
              <w:ind w:left="180"/>
              <w:spacing w:after="0"/>
              <w:rPr>
                <w:sz w:val="20"/>
                <w:szCs w:val="20"/>
                <w:color w:val="auto"/>
              </w:rPr>
            </w:pPr>
            <w:r>
              <w:rPr>
                <w:rFonts w:ascii="Arial" w:cs="Arial" w:eastAsia="Arial" w:hAnsi="Arial"/>
                <w:sz w:val="18"/>
                <w:szCs w:val="18"/>
                <w:color w:val="auto"/>
              </w:rPr>
              <w:t>Asian</w:t>
            </w:r>
          </w:p>
        </w:tc>
        <w:tc>
          <w:tcPr>
            <w:tcW w:w="1620" w:type="dxa"/>
            <w:vAlign w:val="bottom"/>
            <w:tcBorders>
              <w:bottom w:val="single" w:sz="8" w:color="4F81BD"/>
              <w:right w:val="single" w:sz="8" w:color="4F81BD"/>
            </w:tcBorders>
          </w:tcPr>
          <w:p>
            <w:pPr>
              <w:jc w:val="center"/>
              <w:spacing w:after="0"/>
              <w:rPr>
                <w:sz w:val="20"/>
                <w:szCs w:val="20"/>
                <w:color w:val="auto"/>
              </w:rPr>
            </w:pPr>
            <w:r>
              <w:rPr>
                <w:rFonts w:ascii="Arial" w:cs="Arial" w:eastAsia="Arial" w:hAnsi="Arial"/>
                <w:sz w:val="18"/>
                <w:szCs w:val="18"/>
                <w:color w:val="auto"/>
                <w:w w:val="99"/>
              </w:rPr>
              <w:t>1</w:t>
            </w:r>
          </w:p>
        </w:tc>
        <w:tc>
          <w:tcPr>
            <w:tcW w:w="1360" w:type="dxa"/>
            <w:vAlign w:val="bottom"/>
            <w:tcBorders>
              <w:bottom w:val="single" w:sz="8" w:color="4F81BD"/>
            </w:tcBorders>
          </w:tcPr>
          <w:p>
            <w:pPr>
              <w:jc w:val="center"/>
              <w:ind w:left="2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4F81BD"/>
              <w:right w:val="single" w:sz="8" w:color="4F81BD"/>
            </w:tcBorders>
          </w:tcPr>
          <w:p>
            <w:pPr>
              <w:spacing w:after="0"/>
              <w:rPr>
                <w:sz w:val="18"/>
                <w:szCs w:val="18"/>
                <w:color w:val="auto"/>
              </w:rPr>
            </w:pPr>
          </w:p>
        </w:tc>
        <w:tc>
          <w:tcPr>
            <w:tcW w:w="1620" w:type="dxa"/>
            <w:vAlign w:val="bottom"/>
            <w:tcBorders>
              <w:bottom w:val="single" w:sz="8" w:color="4F81BD"/>
              <w:right w:val="single" w:sz="8" w:color="4F81BD"/>
            </w:tcBorders>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4F81BD"/>
              <w:right w:val="single" w:sz="8" w:color="4F81BD"/>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4560" w:type="dxa"/>
            <w:vAlign w:val="bottom"/>
            <w:tcBorders>
              <w:left w:val="single" w:sz="8" w:color="4F81BD"/>
              <w:bottom w:val="single" w:sz="8" w:color="4F81BD"/>
              <w:right w:val="single" w:sz="8" w:color="4F81BD"/>
            </w:tcBorders>
          </w:tcPr>
          <w:p>
            <w:pPr>
              <w:ind w:left="180"/>
              <w:spacing w:after="0"/>
              <w:rPr>
                <w:sz w:val="20"/>
                <w:szCs w:val="20"/>
                <w:color w:val="auto"/>
              </w:rPr>
            </w:pPr>
            <w:r>
              <w:rPr>
                <w:rFonts w:ascii="Arial" w:cs="Arial" w:eastAsia="Arial" w:hAnsi="Arial"/>
                <w:sz w:val="18"/>
                <w:szCs w:val="18"/>
                <w:color w:val="auto"/>
              </w:rPr>
              <w:t>Hispanic or Latinx</w:t>
            </w:r>
          </w:p>
        </w:tc>
        <w:tc>
          <w:tcPr>
            <w:tcW w:w="1620" w:type="dxa"/>
            <w:vAlign w:val="bottom"/>
            <w:tcBorders>
              <w:bottom w:val="single" w:sz="8" w:color="4F81BD"/>
              <w:right w:val="single" w:sz="8" w:color="4F81BD"/>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4F81BD"/>
            </w:tcBorders>
          </w:tcPr>
          <w:p>
            <w:pPr>
              <w:jc w:val="center"/>
              <w:ind w:left="250"/>
              <w:spacing w:after="0"/>
              <w:rPr>
                <w:sz w:val="20"/>
                <w:szCs w:val="20"/>
                <w:color w:val="auto"/>
              </w:rPr>
            </w:pPr>
            <w:r>
              <w:rPr>
                <w:rFonts w:ascii="Arial" w:cs="Arial" w:eastAsia="Arial" w:hAnsi="Arial"/>
                <w:sz w:val="18"/>
                <w:szCs w:val="18"/>
                <w:color w:val="auto"/>
                <w:w w:val="99"/>
              </w:rPr>
              <w:t>1</w:t>
            </w:r>
          </w:p>
        </w:tc>
        <w:tc>
          <w:tcPr>
            <w:tcW w:w="380" w:type="dxa"/>
            <w:vAlign w:val="bottom"/>
            <w:tcBorders>
              <w:bottom w:val="single" w:sz="8" w:color="4F81BD"/>
              <w:right w:val="single" w:sz="8" w:color="4F81BD"/>
            </w:tcBorders>
          </w:tcPr>
          <w:p>
            <w:pPr>
              <w:spacing w:after="0"/>
              <w:rPr>
                <w:sz w:val="18"/>
                <w:szCs w:val="18"/>
                <w:color w:val="auto"/>
              </w:rPr>
            </w:pPr>
          </w:p>
        </w:tc>
        <w:tc>
          <w:tcPr>
            <w:tcW w:w="1620" w:type="dxa"/>
            <w:vAlign w:val="bottom"/>
            <w:tcBorders>
              <w:bottom w:val="single" w:sz="8" w:color="4F81BD"/>
              <w:right w:val="single" w:sz="8" w:color="4F81BD"/>
            </w:tcBorders>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4F81BD"/>
              <w:right w:val="single" w:sz="8" w:color="4F81BD"/>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4560" w:type="dxa"/>
            <w:vAlign w:val="bottom"/>
            <w:tcBorders>
              <w:left w:val="single" w:sz="8" w:color="4F81BD"/>
              <w:bottom w:val="single" w:sz="8" w:color="4F81BD"/>
              <w:right w:val="single" w:sz="8" w:color="4F81BD"/>
            </w:tcBorders>
          </w:tcPr>
          <w:p>
            <w:pPr>
              <w:ind w:left="180"/>
              <w:spacing w:after="0"/>
              <w:rPr>
                <w:sz w:val="20"/>
                <w:szCs w:val="20"/>
                <w:color w:val="auto"/>
              </w:rPr>
            </w:pPr>
            <w:r>
              <w:rPr>
                <w:rFonts w:ascii="Arial" w:cs="Arial" w:eastAsia="Arial" w:hAnsi="Arial"/>
                <w:sz w:val="18"/>
                <w:szCs w:val="18"/>
                <w:color w:val="auto"/>
              </w:rPr>
              <w:t>Native Hawaiian or Pacific Islander</w:t>
            </w:r>
          </w:p>
        </w:tc>
        <w:tc>
          <w:tcPr>
            <w:tcW w:w="1620" w:type="dxa"/>
            <w:vAlign w:val="bottom"/>
            <w:tcBorders>
              <w:bottom w:val="single" w:sz="8" w:color="4F81BD"/>
              <w:right w:val="single" w:sz="8" w:color="4F81BD"/>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4F81BD"/>
            </w:tcBorders>
          </w:tcPr>
          <w:p>
            <w:pPr>
              <w:jc w:val="center"/>
              <w:ind w:left="2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4F81BD"/>
              <w:right w:val="single" w:sz="8" w:color="4F81BD"/>
            </w:tcBorders>
          </w:tcPr>
          <w:p>
            <w:pPr>
              <w:spacing w:after="0"/>
              <w:rPr>
                <w:sz w:val="18"/>
                <w:szCs w:val="18"/>
                <w:color w:val="auto"/>
              </w:rPr>
            </w:pPr>
          </w:p>
        </w:tc>
        <w:tc>
          <w:tcPr>
            <w:tcW w:w="1620" w:type="dxa"/>
            <w:vAlign w:val="bottom"/>
            <w:tcBorders>
              <w:bottom w:val="single" w:sz="8" w:color="4F81BD"/>
              <w:right w:val="single" w:sz="8" w:color="4F81BD"/>
            </w:tcBorders>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4F81BD"/>
              <w:right w:val="single" w:sz="8" w:color="4F81BD"/>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560" w:type="dxa"/>
            <w:vAlign w:val="bottom"/>
            <w:tcBorders>
              <w:left w:val="single" w:sz="8" w:color="4F81BD"/>
              <w:bottom w:val="single" w:sz="8" w:color="4F81BD"/>
              <w:right w:val="single" w:sz="8" w:color="4F81BD"/>
            </w:tcBorders>
          </w:tcPr>
          <w:p>
            <w:pPr>
              <w:ind w:left="180"/>
              <w:spacing w:after="0"/>
              <w:rPr>
                <w:sz w:val="20"/>
                <w:szCs w:val="20"/>
                <w:color w:val="auto"/>
              </w:rPr>
            </w:pPr>
            <w:r>
              <w:rPr>
                <w:rFonts w:ascii="Arial" w:cs="Arial" w:eastAsia="Arial" w:hAnsi="Arial"/>
                <w:sz w:val="18"/>
                <w:szCs w:val="18"/>
                <w:color w:val="auto"/>
              </w:rPr>
              <w:t>White</w:t>
            </w:r>
          </w:p>
        </w:tc>
        <w:tc>
          <w:tcPr>
            <w:tcW w:w="1620" w:type="dxa"/>
            <w:vAlign w:val="bottom"/>
            <w:tcBorders>
              <w:bottom w:val="single" w:sz="8" w:color="4F81BD"/>
              <w:right w:val="single" w:sz="8" w:color="4F81BD"/>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4F81BD"/>
            </w:tcBorders>
          </w:tcPr>
          <w:p>
            <w:pPr>
              <w:jc w:val="center"/>
              <w:ind w:left="250"/>
              <w:spacing w:after="0"/>
              <w:rPr>
                <w:sz w:val="20"/>
                <w:szCs w:val="20"/>
                <w:color w:val="auto"/>
              </w:rPr>
            </w:pPr>
            <w:r>
              <w:rPr>
                <w:rFonts w:ascii="Arial" w:cs="Arial" w:eastAsia="Arial" w:hAnsi="Arial"/>
                <w:sz w:val="18"/>
                <w:szCs w:val="18"/>
                <w:color w:val="auto"/>
                <w:w w:val="99"/>
              </w:rPr>
              <w:t>1</w:t>
            </w:r>
          </w:p>
        </w:tc>
        <w:tc>
          <w:tcPr>
            <w:tcW w:w="380" w:type="dxa"/>
            <w:vAlign w:val="bottom"/>
            <w:tcBorders>
              <w:bottom w:val="single" w:sz="8" w:color="4F81BD"/>
              <w:right w:val="single" w:sz="8" w:color="4F81BD"/>
            </w:tcBorders>
          </w:tcPr>
          <w:p>
            <w:pPr>
              <w:spacing w:after="0"/>
              <w:rPr>
                <w:sz w:val="18"/>
                <w:szCs w:val="18"/>
                <w:color w:val="auto"/>
              </w:rPr>
            </w:pPr>
          </w:p>
        </w:tc>
        <w:tc>
          <w:tcPr>
            <w:tcW w:w="1620" w:type="dxa"/>
            <w:vAlign w:val="bottom"/>
            <w:tcBorders>
              <w:bottom w:val="single" w:sz="8" w:color="4F81BD"/>
              <w:right w:val="single" w:sz="8" w:color="4F81BD"/>
            </w:tcBorders>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4F81BD"/>
              <w:right w:val="single" w:sz="8" w:color="4F81BD"/>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4560" w:type="dxa"/>
            <w:vAlign w:val="bottom"/>
            <w:tcBorders>
              <w:left w:val="single" w:sz="8" w:color="4F81BD"/>
              <w:bottom w:val="single" w:sz="8" w:color="4F81BD"/>
              <w:right w:val="single" w:sz="8" w:color="4F81BD"/>
            </w:tcBorders>
          </w:tcPr>
          <w:p>
            <w:pPr>
              <w:ind w:left="180"/>
              <w:spacing w:after="0"/>
              <w:rPr>
                <w:sz w:val="20"/>
                <w:szCs w:val="20"/>
                <w:color w:val="auto"/>
              </w:rPr>
            </w:pPr>
            <w:r>
              <w:rPr>
                <w:rFonts w:ascii="Arial" w:cs="Arial" w:eastAsia="Arial" w:hAnsi="Arial"/>
                <w:sz w:val="18"/>
                <w:szCs w:val="18"/>
                <w:color w:val="auto"/>
              </w:rPr>
              <w:t>Two or More Races or Ethnicities</w:t>
            </w:r>
          </w:p>
        </w:tc>
        <w:tc>
          <w:tcPr>
            <w:tcW w:w="1620" w:type="dxa"/>
            <w:vAlign w:val="bottom"/>
            <w:tcBorders>
              <w:bottom w:val="single" w:sz="8" w:color="4F81BD"/>
              <w:right w:val="single" w:sz="8" w:color="4F81BD"/>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4F81BD"/>
            </w:tcBorders>
          </w:tcPr>
          <w:p>
            <w:pPr>
              <w:jc w:val="center"/>
              <w:ind w:left="2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4F81BD"/>
              <w:right w:val="single" w:sz="8" w:color="4F81BD"/>
            </w:tcBorders>
          </w:tcPr>
          <w:p>
            <w:pPr>
              <w:spacing w:after="0"/>
              <w:rPr>
                <w:sz w:val="18"/>
                <w:szCs w:val="18"/>
                <w:color w:val="auto"/>
              </w:rPr>
            </w:pPr>
          </w:p>
        </w:tc>
        <w:tc>
          <w:tcPr>
            <w:tcW w:w="1620" w:type="dxa"/>
            <w:vAlign w:val="bottom"/>
            <w:tcBorders>
              <w:bottom w:val="single" w:sz="8" w:color="4F81BD"/>
              <w:right w:val="single" w:sz="8" w:color="4F81BD"/>
            </w:tcBorders>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4F81BD"/>
              <w:right w:val="single" w:sz="8" w:color="4F81BD"/>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560" w:type="dxa"/>
            <w:vAlign w:val="bottom"/>
            <w:tcBorders>
              <w:left w:val="single" w:sz="8" w:color="4F81BD"/>
              <w:bottom w:val="single" w:sz="8" w:color="4F81BD"/>
              <w:right w:val="single" w:sz="8" w:color="4F81BD"/>
            </w:tcBorders>
          </w:tcPr>
          <w:p>
            <w:pPr>
              <w:ind w:left="180"/>
              <w:spacing w:after="0"/>
              <w:rPr>
                <w:sz w:val="20"/>
                <w:szCs w:val="20"/>
                <w:color w:val="auto"/>
              </w:rPr>
            </w:pPr>
            <w:r>
              <w:rPr>
                <w:rFonts w:ascii="Arial" w:cs="Arial" w:eastAsia="Arial" w:hAnsi="Arial"/>
                <w:sz w:val="18"/>
                <w:szCs w:val="18"/>
                <w:color w:val="auto"/>
              </w:rPr>
              <w:t>LGBTQ+</w:t>
            </w:r>
          </w:p>
        </w:tc>
        <w:tc>
          <w:tcPr>
            <w:tcW w:w="1620" w:type="dxa"/>
            <w:vAlign w:val="bottom"/>
            <w:tcBorders>
              <w:bottom w:val="single" w:sz="8" w:color="4F81BD"/>
            </w:tcBorders>
          </w:tcPr>
          <w:p>
            <w:pPr>
              <w:spacing w:after="0"/>
              <w:rPr>
                <w:sz w:val="18"/>
                <w:szCs w:val="18"/>
                <w:color w:val="auto"/>
              </w:rPr>
            </w:pPr>
          </w:p>
        </w:tc>
        <w:tc>
          <w:tcPr>
            <w:tcW w:w="1360" w:type="dxa"/>
            <w:vAlign w:val="bottom"/>
            <w:tcBorders>
              <w:bottom w:val="single" w:sz="8" w:color="4F81BD"/>
            </w:tcBorders>
          </w:tcPr>
          <w:p>
            <w:pPr>
              <w:spacing w:after="0"/>
              <w:rPr>
                <w:sz w:val="18"/>
                <w:szCs w:val="18"/>
                <w:color w:val="auto"/>
              </w:rPr>
            </w:pPr>
          </w:p>
        </w:tc>
        <w:tc>
          <w:tcPr>
            <w:tcW w:w="2000" w:type="dxa"/>
            <w:vAlign w:val="bottom"/>
            <w:tcBorders>
              <w:bottom w:val="single" w:sz="8" w:color="4F81BD"/>
            </w:tcBorders>
            <w:gridSpan w:val="2"/>
          </w:tcPr>
          <w:p>
            <w:pPr>
              <w:jc w:val="center"/>
              <w:ind w:right="12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4F81BD"/>
              <w:right w:val="single" w:sz="8" w:color="4F81BD"/>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Borders>
              <w:left w:val="single" w:sz="8" w:color="4F81BD"/>
              <w:bottom w:val="single" w:sz="8" w:color="4F81BD"/>
              <w:right w:val="single" w:sz="8" w:color="4F81BD"/>
            </w:tcBorders>
          </w:tcPr>
          <w:p>
            <w:pPr>
              <w:ind w:left="180"/>
              <w:spacing w:after="0"/>
              <w:rPr>
                <w:sz w:val="20"/>
                <w:szCs w:val="20"/>
                <w:color w:val="auto"/>
              </w:rPr>
            </w:pPr>
            <w:r>
              <w:rPr>
                <w:rFonts w:ascii="Arial" w:cs="Arial" w:eastAsia="Arial" w:hAnsi="Arial"/>
                <w:sz w:val="18"/>
                <w:szCs w:val="18"/>
                <w:color w:val="auto"/>
              </w:rPr>
              <w:t>Did Not Disclose Demographic Background</w:t>
            </w:r>
          </w:p>
        </w:tc>
        <w:tc>
          <w:tcPr>
            <w:tcW w:w="1620" w:type="dxa"/>
            <w:vAlign w:val="bottom"/>
            <w:tcBorders>
              <w:bottom w:val="single" w:sz="8" w:color="4F81BD"/>
            </w:tcBorders>
          </w:tcPr>
          <w:p>
            <w:pPr>
              <w:spacing w:after="0"/>
              <w:rPr>
                <w:sz w:val="18"/>
                <w:szCs w:val="18"/>
                <w:color w:val="auto"/>
              </w:rPr>
            </w:pPr>
          </w:p>
        </w:tc>
        <w:tc>
          <w:tcPr>
            <w:tcW w:w="1360" w:type="dxa"/>
            <w:vAlign w:val="bottom"/>
            <w:tcBorders>
              <w:bottom w:val="single" w:sz="8" w:color="4F81BD"/>
            </w:tcBorders>
          </w:tcPr>
          <w:p>
            <w:pPr>
              <w:spacing w:after="0"/>
              <w:rPr>
                <w:sz w:val="18"/>
                <w:szCs w:val="18"/>
                <w:color w:val="auto"/>
              </w:rPr>
            </w:pPr>
          </w:p>
        </w:tc>
        <w:tc>
          <w:tcPr>
            <w:tcW w:w="2000" w:type="dxa"/>
            <w:vAlign w:val="bottom"/>
            <w:tcBorders>
              <w:bottom w:val="single" w:sz="8" w:color="4F81BD"/>
            </w:tcBorders>
            <w:gridSpan w:val="2"/>
          </w:tcPr>
          <w:p>
            <w:pPr>
              <w:jc w:val="center"/>
              <w:ind w:right="1210"/>
              <w:spacing w:after="0"/>
              <w:rPr>
                <w:sz w:val="20"/>
                <w:szCs w:val="20"/>
                <w:color w:val="auto"/>
              </w:rPr>
            </w:pPr>
            <w:r>
              <w:rPr>
                <w:rFonts w:ascii="Arial" w:cs="Arial" w:eastAsia="Arial" w:hAnsi="Arial"/>
                <w:sz w:val="18"/>
                <w:szCs w:val="18"/>
                <w:color w:val="auto"/>
                <w:w w:val="99"/>
              </w:rPr>
              <w:t>2</w:t>
            </w:r>
          </w:p>
        </w:tc>
        <w:tc>
          <w:tcPr>
            <w:tcW w:w="1700" w:type="dxa"/>
            <w:vAlign w:val="bottom"/>
            <w:tcBorders>
              <w:bottom w:val="single" w:sz="8" w:color="4F81BD"/>
              <w:right w:val="single" w:sz="8" w:color="4F81BD"/>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10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cybersecurity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(ESG) Practices</w:t>
      </w:r>
    </w:p>
    <w:p>
      <w:pPr>
        <w:spacing w:after="0" w:line="10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recognize that environmental, social and governance issues are of increasing importance to our investors, employees and other stakeholders. We are committed to ethical, responsible and sustainable business practices. Corporate social responsibility is an enterprise-wide commitment. Our management team and board of directors are working together to oversee the Company’s efforts to prioritize and integrate ESG considerations into the Company’s business practices and corporate culture.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Diversity &amp; Inclusion</w:t>
      </w:r>
    </w:p>
    <w:p>
      <w:pPr>
        <w:spacing w:after="0" w:line="12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are committed to creating and maintaining a workplace free from discrimination or harassment on the basis of color, race, sex, national origin, ethnicity, religion, age, disability, sexual orientation, gender identification or expression or any other status protected by applicable law. Our management team and employees are expected to exhibit and promote honest, ethical and respectful conduct in the workplace. All of our employees must adhere to our code of conduct that sets standards for appropriate behavior and we have implemented specific policies designed to prevent, identify, report and stop any type of discrimination and harassment. Our recruitment, hiring, development, training, compensation and advancement at our company is based on qualifications, performance, skills and experience without regard to gender, race and ethnicity.</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Pay &amp; Benefits and Pay Equity</w:t>
      </w:r>
    </w:p>
    <w:p>
      <w:pPr>
        <w:spacing w:after="0" w:line="12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strive to provide competitive and robust compensation and benefits programs that help meet the varying needs of our employees, and we are committed to pay equity, based on gender or race/ethnicity. Our total rewards package includes competitive pay, comprehensive healthcare benefits package for employees, family medical leave and flexible work schedules. In addition, we offer every full-time employee, both exempt and non-exempt, the benefit of equity ownership in the company through stock option grants, restricted stock unit grants, and our employee stock purchase plan. We offer a 401(k) plan and we match employee contributions up to a certain limit.</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Development &amp; Training</w:t>
      </w:r>
    </w:p>
    <w:p>
      <w:pPr>
        <w:spacing w:after="0" w:line="129"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competition for talent in our industry and in the San Francisco Bay Area where our headquarters is located is significant. As a result, our commitment to investing in human capital is of critical importance to ensure our ability to attract, develop and maintain key talent to support the growth of our business. We emphasize employee development and training. We have a performance development review process in which managers provide regular feedback to assist with the development of our employees, including the use of individual plans to assist with career development.</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w:t>
      </w:r>
    </w:p>
    <w:p>
      <w:pPr>
        <w:spacing w:after="0" w:line="102"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The safety, health and wellness of our employees is a top priority. In response to COVID-19, we have implemented safety protocols, including limiting onsite activities to essential staff during periods of increased regional COVID-19 infection rates, routine screening for employees and others visiting the site, contact tracing and appropriate protocols to address any known exposures, increased cleaning procedures and readily available hand sanitizer stations, and additional controls based on case rates and local requirements including the wearing of masks and for social distancing. These protocols are designed to maintain the health and safety of our employees and comply with health and safety standards as required by federal, state and local government agencies, taking into consideration guidelines of the Centers for Disease Control and Prevention and other public health authorities.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board of directors has established an audit committee, a compensation committee, and a corporate governance and nominating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Audit Committee</w:t>
      </w:r>
    </w:p>
    <w:p>
      <w:pPr>
        <w:spacing w:after="0" w:line="11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Our audit committee consists of Ms. Hemrajani and Messrs. Lettmann and Nielsen. Ms. Hemrajani is the chair of our audit committee and is our audit committee financial expert, as that term is defined under the SEC rules implementing Section 407 of SOX, and possesses financial sophistication, as defined under the rules of Nasdaq. Our board of directors has determined that each of the members of our audit committee satisfies the independence requirements under the listing standards of Nasdaq and Rule 10A-3 of the Exchange Act. Our audit committee oversees our corporate accounting and financial reporting process and assists our board of directors in monitoring our financial systems. Our audit committee also:</w:t>
      </w:r>
    </w:p>
    <w:p>
      <w:pPr>
        <w:spacing w:after="0" w:line="177" w:lineRule="exact"/>
        <w:rPr>
          <w:sz w:val="20"/>
          <w:szCs w:val="20"/>
          <w:color w:val="auto"/>
        </w:rPr>
      </w:pPr>
    </w:p>
    <w:p>
      <w:pPr>
        <w:ind w:left="1020" w:hanging="450"/>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selects and hires the independent registered public accounting firm to audit our consolidated financial statements;</w:t>
      </w:r>
    </w:p>
    <w:p>
      <w:pPr>
        <w:spacing w:after="0" w:line="225" w:lineRule="exact"/>
        <w:rPr>
          <w:rFonts w:ascii="Arial" w:cs="Arial" w:eastAsia="Arial" w:hAnsi="Arial"/>
          <w:sz w:val="18"/>
          <w:szCs w:val="18"/>
          <w:color w:val="auto"/>
        </w:rPr>
      </w:pPr>
    </w:p>
    <w:p>
      <w:pPr>
        <w:ind w:left="1020" w:hanging="450"/>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helps to ensure the independence and evaluate the performance of the registered public accounting firm;</w:t>
      </w:r>
    </w:p>
    <w:p>
      <w:pPr>
        <w:spacing w:after="0" w:line="225" w:lineRule="exact"/>
        <w:rPr>
          <w:rFonts w:ascii="Arial" w:cs="Arial" w:eastAsia="Arial" w:hAnsi="Arial"/>
          <w:sz w:val="18"/>
          <w:szCs w:val="18"/>
          <w:color w:val="auto"/>
        </w:rPr>
      </w:pPr>
    </w:p>
    <w:p>
      <w:pPr>
        <w:ind w:left="1020" w:hanging="450"/>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approves audit and non-audit services and fees;</w:t>
      </w:r>
    </w:p>
    <w:p>
      <w:pPr>
        <w:spacing w:after="0" w:line="238" w:lineRule="exact"/>
        <w:rPr>
          <w:rFonts w:ascii="Arial" w:cs="Arial" w:eastAsia="Arial" w:hAnsi="Arial"/>
          <w:sz w:val="18"/>
          <w:szCs w:val="18"/>
          <w:color w:val="auto"/>
        </w:rPr>
      </w:pPr>
    </w:p>
    <w:p>
      <w:pPr>
        <w:ind w:left="1020" w:right="380" w:hanging="450"/>
        <w:spacing w:after="0" w:line="23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our consolidated financial statements and discusses with management and the independent registered public accounting firm our annual audited and quarterly reviewed consolidated financial statements, the results of the independent audit and the quarterly reviews and the reports and certifications regarding internal controls over financial reporting and disclosure controls;</w:t>
      </w:r>
    </w:p>
    <w:p>
      <w:pPr>
        <w:spacing w:after="0" w:line="195" w:lineRule="exact"/>
        <w:rPr>
          <w:rFonts w:ascii="Arial" w:cs="Arial" w:eastAsia="Arial" w:hAnsi="Arial"/>
          <w:sz w:val="18"/>
          <w:szCs w:val="18"/>
          <w:color w:val="auto"/>
        </w:rPr>
      </w:pPr>
    </w:p>
    <w:p>
      <w:pPr>
        <w:ind w:left="1020" w:hanging="450"/>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prepares the audit committee report that the SEC requires to be included in our annual proxy statement;</w:t>
      </w:r>
    </w:p>
    <w:p>
      <w:pPr>
        <w:spacing w:after="0" w:line="238" w:lineRule="exact"/>
        <w:rPr>
          <w:rFonts w:ascii="Arial" w:cs="Arial" w:eastAsia="Arial" w:hAnsi="Arial"/>
          <w:sz w:val="18"/>
          <w:szCs w:val="18"/>
          <w:color w:val="auto"/>
        </w:rPr>
      </w:pPr>
    </w:p>
    <w:p>
      <w:pPr>
        <w:ind w:left="1020" w:hanging="450"/>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reports and communications from the independent registered public accounting firm;</w:t>
      </w:r>
    </w:p>
    <w:p>
      <w:pPr>
        <w:spacing w:after="0" w:line="225" w:lineRule="exact"/>
        <w:rPr>
          <w:rFonts w:ascii="Arial" w:cs="Arial" w:eastAsia="Arial" w:hAnsi="Arial"/>
          <w:sz w:val="18"/>
          <w:szCs w:val="18"/>
          <w:color w:val="auto"/>
        </w:rPr>
      </w:pPr>
    </w:p>
    <w:p>
      <w:pPr>
        <w:ind w:left="1020" w:hanging="450"/>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the adequacy and effectiveness of our internal controls and disclosure controls and procedure;</w:t>
      </w:r>
    </w:p>
    <w:p>
      <w:pPr>
        <w:spacing w:after="0" w:line="225" w:lineRule="exact"/>
        <w:rPr>
          <w:rFonts w:ascii="Arial" w:cs="Arial" w:eastAsia="Arial" w:hAnsi="Arial"/>
          <w:sz w:val="18"/>
          <w:szCs w:val="18"/>
          <w:color w:val="auto"/>
        </w:rPr>
      </w:pPr>
    </w:p>
    <w:p>
      <w:pPr>
        <w:ind w:left="1020" w:hanging="450"/>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our policies on risk assessment and risk management;</w:t>
      </w:r>
    </w:p>
    <w:p>
      <w:pPr>
        <w:spacing w:after="0" w:line="238" w:lineRule="exact"/>
        <w:rPr>
          <w:rFonts w:ascii="Arial" w:cs="Arial" w:eastAsia="Arial" w:hAnsi="Arial"/>
          <w:sz w:val="18"/>
          <w:szCs w:val="18"/>
          <w:color w:val="auto"/>
        </w:rPr>
      </w:pPr>
    </w:p>
    <w:p>
      <w:pPr>
        <w:ind w:left="1020" w:right="320" w:hanging="450"/>
        <w:spacing w:after="0" w:line="25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and monitors conflicts of interest situations, and approves or prohibits any involvement in matters that may involve a conflict of interest or taking of a corporate opportunity;</w:t>
      </w:r>
    </w:p>
    <w:p>
      <w:pPr>
        <w:spacing w:after="0" w:line="179" w:lineRule="exact"/>
        <w:rPr>
          <w:rFonts w:ascii="Arial" w:cs="Arial" w:eastAsia="Arial" w:hAnsi="Arial"/>
          <w:sz w:val="18"/>
          <w:szCs w:val="18"/>
          <w:color w:val="auto"/>
        </w:rPr>
      </w:pPr>
    </w:p>
    <w:p>
      <w:pPr>
        <w:ind w:left="1020" w:hanging="450"/>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related party transactions; and</w:t>
      </w:r>
    </w:p>
    <w:p>
      <w:pPr>
        <w:spacing w:after="0" w:line="225" w:lineRule="exact"/>
        <w:rPr>
          <w:rFonts w:ascii="Arial" w:cs="Arial" w:eastAsia="Arial" w:hAnsi="Arial"/>
          <w:sz w:val="18"/>
          <w:szCs w:val="18"/>
          <w:color w:val="auto"/>
        </w:rPr>
      </w:pPr>
    </w:p>
    <w:p>
      <w:pPr>
        <w:ind w:left="1020" w:right="820" w:hanging="450"/>
        <w:spacing w:after="0" w:line="25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establishes and oversees procedures for the receipt, retention and treatment of accounting related complaints and the confidential submission by our employees of concerns regarding questionable accounting or auditing matters.</w:t>
      </w:r>
    </w:p>
    <w:p>
      <w:pPr>
        <w:spacing w:after="0" w:line="166"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color w:val="auto"/>
        </w:rPr>
        <w:t>Our audit committee operates under a written charter that satisfies the applicable rules and regulations of the SEC and the listing standards of Nasdaq. A copy of the charter for our audit committee is available on our investor relations website at https://ir.alxoncology.com/. During 2021, our audit committee held four meetings.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1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compensation committee consists of Dr. Goodman and Messrs. Lettmann and Nielsen. Dr. Goodman is the chair of our compensation committee. Our board of directors has determined that each of the members of our compensation committee is independent under the listing standards of Nasdaq and a</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0" w:right="379" w:bottom="1440" w:gutter="0" w:footer="0" w:header="0"/>
        </w:sectPr>
      </w:pPr>
    </w:p>
    <w:bookmarkStart w:id="20" w:name="page21"/>
    <w:bookmarkEnd w:id="20"/>
    <w:p>
      <w:pPr>
        <w:ind w:right="620"/>
        <w:spacing w:after="0" w:line="287" w:lineRule="auto"/>
        <w:rPr>
          <w:sz w:val="20"/>
          <w:szCs w:val="20"/>
          <w:color w:val="auto"/>
        </w:rPr>
      </w:pPr>
      <w:r>
        <w:rPr>
          <w:rFonts w:ascii="Arial" w:cs="Arial" w:eastAsia="Arial" w:hAnsi="Arial"/>
          <w:sz w:val="18"/>
          <w:szCs w:val="18"/>
          <w:color w:val="auto"/>
        </w:rPr>
        <w:t>“non-employee director” as defined in Rule 16b-3 under the Exchange Act. Our compensation committee oversees our compensation policies, plans, and benefits programs. The compensation committee also:</w:t>
      </w:r>
    </w:p>
    <w:p>
      <w:pPr>
        <w:spacing w:after="0" w:line="126" w:lineRule="exact"/>
        <w:rPr>
          <w:sz w:val="20"/>
          <w:szCs w:val="20"/>
          <w:color w:val="auto"/>
        </w:rPr>
      </w:pPr>
    </w:p>
    <w:p>
      <w:pPr>
        <w:ind w:left="1020" w:hanging="450"/>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oversees our overall compensation philosophy and compensation policies, plans and benefit programs;</w:t>
      </w:r>
    </w:p>
    <w:p>
      <w:pPr>
        <w:spacing w:after="0" w:line="225" w:lineRule="exact"/>
        <w:rPr>
          <w:rFonts w:ascii="Arial" w:cs="Arial" w:eastAsia="Arial" w:hAnsi="Arial"/>
          <w:sz w:val="18"/>
          <w:szCs w:val="18"/>
          <w:color w:val="auto"/>
        </w:rPr>
      </w:pPr>
    </w:p>
    <w:p>
      <w:pPr>
        <w:ind w:left="1020" w:right="340" w:hanging="450"/>
        <w:spacing w:after="0" w:line="25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reviews and approves, or recommends to the board of directors for approval, the compensation of our executive officers and directors;</w:t>
      </w:r>
    </w:p>
    <w:p>
      <w:pPr>
        <w:spacing w:after="0" w:line="192" w:lineRule="exact"/>
        <w:rPr>
          <w:rFonts w:ascii="Arial" w:cs="Arial" w:eastAsia="Arial" w:hAnsi="Arial"/>
          <w:sz w:val="18"/>
          <w:szCs w:val="18"/>
          <w:color w:val="auto"/>
        </w:rPr>
      </w:pPr>
    </w:p>
    <w:p>
      <w:pPr>
        <w:ind w:left="1020" w:hanging="450"/>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prepares the compensation committee report that the SEC requires to be included in our annual proxy statement; and</w:t>
      </w:r>
    </w:p>
    <w:p>
      <w:pPr>
        <w:spacing w:after="0" w:line="225" w:lineRule="exact"/>
        <w:rPr>
          <w:rFonts w:ascii="Arial" w:cs="Arial" w:eastAsia="Arial" w:hAnsi="Arial"/>
          <w:sz w:val="18"/>
          <w:szCs w:val="18"/>
          <w:color w:val="auto"/>
        </w:rPr>
      </w:pPr>
    </w:p>
    <w:p>
      <w:pPr>
        <w:ind w:left="1020" w:hanging="450"/>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administers our equity compensation plans.</w:t>
      </w:r>
    </w:p>
    <w:p>
      <w:pPr>
        <w:spacing w:after="0" w:line="21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Our compensation committee operates under a written charter that satisfies the applicable rules and regulations of the SEC and the listing standards of Nasdaq. A copy of the charter for our compensation committee is available on our investor relations website at https://ir.alxoncology.com/. During 2021, our compensation committee held two meetings.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1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corporate governance and nominating committee currently consists of Mr. Lettmann, Drs. Canamasas and Goodman and Ms. Hemrajani. Mr. Lettmann is the chair of our corporate governance and nominating committee. Dr. Canamasas was appointed to the corporate governance and nominating committee in April 2022. Our board of directors has determined that each member of our corporate governance and nominating committee is independent under the listing standards of Nasdaq.</w:t>
      </w:r>
    </w:p>
    <w:p>
      <w:pPr>
        <w:spacing w:after="0" w:line="21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Our corporate governance and nominating committee oversees and assists our board of directors in reviewing and recommending nominees for election as directors. Specifically, the corporate governance and nominating committee:</w:t>
      </w:r>
    </w:p>
    <w:p>
      <w:pPr>
        <w:spacing w:after="0" w:line="140" w:lineRule="exact"/>
        <w:rPr>
          <w:sz w:val="20"/>
          <w:szCs w:val="20"/>
          <w:color w:val="auto"/>
        </w:rPr>
      </w:pPr>
    </w:p>
    <w:p>
      <w:pPr>
        <w:ind w:left="1020" w:right="420" w:hanging="450"/>
        <w:spacing w:after="0" w:line="256"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identifies, evaluates, and makes recommendations to our board of directors regarding nominees for election to our board of directors and its committees;</w:t>
      </w:r>
    </w:p>
    <w:p>
      <w:pPr>
        <w:spacing w:after="0" w:line="192" w:lineRule="exact"/>
        <w:rPr>
          <w:rFonts w:ascii="Arial" w:cs="Arial" w:eastAsia="Arial" w:hAnsi="Arial"/>
          <w:sz w:val="18"/>
          <w:szCs w:val="18"/>
          <w:color w:val="auto"/>
        </w:rPr>
      </w:pPr>
    </w:p>
    <w:p>
      <w:pPr>
        <w:ind w:left="1020" w:right="400" w:hanging="450"/>
        <w:spacing w:after="0" w:line="256"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considers and makes recommendations to our board of directors regarding the composition of our board of directors and its committees;</w:t>
      </w:r>
    </w:p>
    <w:p>
      <w:pPr>
        <w:spacing w:after="0" w:line="179" w:lineRule="exact"/>
        <w:rPr>
          <w:rFonts w:ascii="Arial" w:cs="Arial" w:eastAsia="Arial" w:hAnsi="Arial"/>
          <w:sz w:val="18"/>
          <w:szCs w:val="18"/>
          <w:color w:val="auto"/>
        </w:rPr>
      </w:pPr>
    </w:p>
    <w:p>
      <w:pPr>
        <w:ind w:left="1020" w:hanging="450"/>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reviews developments in corporate governance practices;</w:t>
      </w:r>
    </w:p>
    <w:p>
      <w:pPr>
        <w:spacing w:after="0" w:line="225" w:lineRule="exact"/>
        <w:rPr>
          <w:rFonts w:ascii="Arial" w:cs="Arial" w:eastAsia="Arial" w:hAnsi="Arial"/>
          <w:sz w:val="18"/>
          <w:szCs w:val="18"/>
          <w:color w:val="auto"/>
        </w:rPr>
      </w:pPr>
    </w:p>
    <w:p>
      <w:pPr>
        <w:ind w:left="1020" w:hanging="450"/>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evaluates the adequacy of our corporate governance practices and reporting; and</w:t>
      </w:r>
    </w:p>
    <w:p>
      <w:pPr>
        <w:spacing w:after="0" w:line="238" w:lineRule="exact"/>
        <w:rPr>
          <w:rFonts w:ascii="Arial" w:cs="Arial" w:eastAsia="Arial" w:hAnsi="Arial"/>
          <w:sz w:val="18"/>
          <w:szCs w:val="18"/>
          <w:color w:val="auto"/>
        </w:rPr>
      </w:pPr>
    </w:p>
    <w:p>
      <w:pPr>
        <w:ind w:left="1020" w:hanging="450"/>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evaluates the performance of our board of directors and of individual directors.</w:t>
      </w:r>
    </w:p>
    <w:p>
      <w:pPr>
        <w:spacing w:after="0" w:line="21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corporate governance and nominating committee operates under a written charter that satisfies the listing standards of Nasdaq. A copy of the charter for our corporate governance and nominating committee is available on our investor relations website at https://ir.alxoncology.com/. During 2021, our corporate governance and nominating committee held no formal meetings.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Attendance at Board and Stockholder Meetings</w:t>
      </w:r>
    </w:p>
    <w:p>
      <w:pPr>
        <w:spacing w:after="0" w:line="11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During our fiscal year ended December 31, 2021, our board of directors held eight meetings (including regularly scheduled and special meetings), and each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 on such committee.</w:t>
      </w:r>
    </w:p>
    <w:p>
      <w:pPr>
        <w:spacing w:after="0" w:line="17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Although we do not have a formal policy regarding attendance by members of our board of directors at annual meetings of stockholders, we strongly encourage, but do not require, our directors to attend. This is our second annual meeting of stockholders. Six of our seven then-current directors attended our 2021 annual meeting of stockholders.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During 2021, Dr. Goodman and Messrs. Lettmann and Nielsen served on our compensation committee. 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10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corporate governance and nominating committee uses a variety of methods, including engaging the services of outside consultants and search firms, to identify and evaluate director nominees. In its evaluation of director candidates, our corporate governance and nominating committee will consider the current size and composition of our board of directors and the needs of our board of directors and the respective committees of our board of directors. Some of the qualifications that our corporate governance and nominating committee considers include such factors as character, integrity, judgment, diversity (including, without limitation, diversity in terms of gender, race, ethnicity and experience), age, independence, skills, education, expertise, business acumen, corporate experience, length of service, understanding of our business and other commitments, among other things. Nominees must also have the highest personal and professional ethics and integrity and skills that are complementary to those of the existing directors. Director candidates must have the ability to assist and support management and make significant contributions to our success based on proven achievement and competence in the nominee’s field and the ability to exercise sound business judgment. Nominees must also have an understanding of the fiduciary responsibilities that are required of a member of our board of directors and the commitment of time and energy necessary to diligently carry out those responsibilities. Members of our board of directors are expected to prepare for, attend, and participate in all board of directors and applicable committee meetings. Our corporate governance and nominating committee may also consider such other factors as it may deem, from time to time, are in our and our stockholders’ best interests.</w:t>
      </w:r>
    </w:p>
    <w:p>
      <w:pPr>
        <w:spacing w:after="0" w:line="18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corporate governance and nominating committee considers the suitability of each director candidate, including current directors, in light of the current size and composition of our board. Although our board of directors does not maintain a specific policy with respect to board diversity, our board of directors believes that our board of directors should be a diverse body, and our corporate governance and nominating committee considers a broad range of backgrounds and experiences. In making determinations regarding nominations of directors, our corporate governance and nominating committee may take into account the benefits of diverse viewpoints. Our corporate governance and nominating committee also considers these and other factors as it oversees the annual board of director and committee evaluations. After completing its review and evaluation of director candidates, our corporate governance and nominating committee recommends to our full board of directors the director nominees for selection.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131"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Our corporate governance and nominating committee will consider director candidates recommended by stockholders holding no less than $2,000 in market value, or one percent (1%), of the outstanding shares of our common stock continuously for at least 12 months prior to the date of the submission of the recommendation or nomination, as long as such recommendations or nominations comply with our amended and restated certificate of incorporation, Bylaws, policies and procedures for director candidates, and applicable laws, rules and regulations, including those promulgated by the SEC. Our corporate governance and nominating committee will evaluate such recommendations in accordance with its charter, our Bylaws and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Secretary in writing. Such recommendations must include information about the candidate, including the principal occupation or employment of the candidate; a statement of support executed by the candidate acknowledging that as a director of the corporation, the nominee will owe a fiduciary duty under Delaware law with respect to the corporation and its stockholders; evidence of the recommending stockholder’s ownership of our capital stock; a description of all arrangements or understandings between the stockholder and each nominee and any other person or persons (naming such person or persons) pursuant to which the nominations are to be made by the stockholder; and any additional information required by our Bylaws and our policies and procedures for director candidates. Our corporate governance and nominating committee has discretion to decide which individuals to recommend for nomination as directors.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10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Interested parties wishing to communicate with non-management members of our board of directors may do so by writing and mailing the correspondence to our Secretary at ALX Oncology Holdings Inc., 323 Allerton Avenue, South San Francisco, California 94080. Our Secretary monitors these communications and will provide a summary of all received bona fide messages to our board of directors at each regularly scheduled meeting of our board of directors. Where the nature of a communication warrants, our Secretary may determine, in his or her judgment, to obtain the more immediate attention of the appropriate committee of the board of directors or non-management director, of independent advisors or of our management.</w:t>
      </w:r>
    </w:p>
    <w:p>
      <w:pPr>
        <w:spacing w:after="0" w:line="19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This procedure does not apply to (a) communications to non-management directors from officers or directors who are stockholders, (b) stockholder proposals submitted pursuant to Rule 14a-8 under the Exchange Act or (c) communications to our audit committee pursuant to our complaint procedures for accounting and auditing matters.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 of Business Conduct and Ethics</w:t>
      </w:r>
    </w:p>
    <w:p>
      <w:pPr>
        <w:spacing w:after="0" w:line="10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is posted on our investor relations website at https://ir.alxoncology.com/. We will post any amendments to our Code of Business Conduct and Ethics and any waivers of our Code of Business Conduct and Ethics for directors and executive officers on the same website or in filings under the Exchange Act.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Director Compensation</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July 2020, our board of directors adopted, and our stockholders approved, an Outside Director Compensation Policy that provides for certain compensation to our non-employee directors. This policy was developed with input from our compensation committee’s independent compensation consultant, Compensia, regarding practices and compensation levels at comparable companies. It is designed to attract, retain and reward non-employee directors.</w:t>
      </w:r>
    </w:p>
    <w:p>
      <w:pPr>
        <w:spacing w:after="0" w:line="170"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Under the outside director compensation policy, each non-employee director receives the cash and equity compensation for his or her services as a member of our board of directors, as described below.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Outside Director Compensation Policy provides for the following cash compensation program for our non-employee directors:</w:t>
      </w:r>
    </w:p>
    <w:p>
      <w:pPr>
        <w:spacing w:after="0" w:line="198" w:lineRule="exact"/>
        <w:rPr>
          <w:sz w:val="20"/>
          <w:szCs w:val="20"/>
          <w:color w:val="auto"/>
        </w:rPr>
      </w:pPr>
    </w:p>
    <w:p>
      <w:pPr>
        <w:ind w:left="1020" w:hanging="450"/>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$40,000 per year for service as a non-employee director;</w:t>
      </w:r>
    </w:p>
    <w:p>
      <w:pPr>
        <w:spacing w:after="0" w:line="238" w:lineRule="exact"/>
        <w:rPr>
          <w:rFonts w:ascii="Arial" w:cs="Arial" w:eastAsia="Arial" w:hAnsi="Arial"/>
          <w:sz w:val="18"/>
          <w:szCs w:val="18"/>
          <w:color w:val="auto"/>
        </w:rPr>
      </w:pPr>
    </w:p>
    <w:p>
      <w:pPr>
        <w:ind w:left="1020" w:hanging="450"/>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$30,000 per year for service as non-employee chair of our board of directors;</w:t>
      </w:r>
    </w:p>
    <w:p>
      <w:pPr>
        <w:spacing w:after="0" w:line="225" w:lineRule="exact"/>
        <w:rPr>
          <w:rFonts w:ascii="Arial" w:cs="Arial" w:eastAsia="Arial" w:hAnsi="Arial"/>
          <w:sz w:val="18"/>
          <w:szCs w:val="18"/>
          <w:color w:val="auto"/>
        </w:rPr>
      </w:pPr>
    </w:p>
    <w:p>
      <w:pPr>
        <w:ind w:left="1020" w:hanging="450"/>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$20,000 per year for service as chair of the audit committee;</w:t>
      </w:r>
    </w:p>
    <w:p>
      <w:pPr>
        <w:spacing w:after="0" w:line="225" w:lineRule="exact"/>
        <w:rPr>
          <w:rFonts w:ascii="Arial" w:cs="Arial" w:eastAsia="Arial" w:hAnsi="Arial"/>
          <w:sz w:val="18"/>
          <w:szCs w:val="18"/>
          <w:color w:val="auto"/>
        </w:rPr>
      </w:pPr>
    </w:p>
    <w:p>
      <w:pPr>
        <w:ind w:left="1020" w:hanging="450"/>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$7,500 per year for service as a member of the audit committee;</w:t>
      </w:r>
    </w:p>
    <w:p>
      <w:pPr>
        <w:spacing w:after="0" w:line="238" w:lineRule="exact"/>
        <w:rPr>
          <w:rFonts w:ascii="Arial" w:cs="Arial" w:eastAsia="Arial" w:hAnsi="Arial"/>
          <w:sz w:val="18"/>
          <w:szCs w:val="18"/>
          <w:color w:val="auto"/>
        </w:rPr>
      </w:pPr>
    </w:p>
    <w:p>
      <w:pPr>
        <w:ind w:left="1020" w:hanging="450"/>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$10,000 per year for service as chair of the compensation committee;</w:t>
      </w:r>
    </w:p>
    <w:p>
      <w:pPr>
        <w:spacing w:after="0" w:line="225" w:lineRule="exact"/>
        <w:rPr>
          <w:rFonts w:ascii="Arial" w:cs="Arial" w:eastAsia="Arial" w:hAnsi="Arial"/>
          <w:sz w:val="18"/>
          <w:szCs w:val="18"/>
          <w:color w:val="auto"/>
        </w:rPr>
      </w:pPr>
    </w:p>
    <w:p>
      <w:pPr>
        <w:ind w:left="1020" w:hanging="450"/>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$5,000 per year for service as a member of the compensation committee;</w:t>
      </w:r>
    </w:p>
    <w:p>
      <w:pPr>
        <w:spacing w:after="0" w:line="238" w:lineRule="exact"/>
        <w:rPr>
          <w:rFonts w:ascii="Arial" w:cs="Arial" w:eastAsia="Arial" w:hAnsi="Arial"/>
          <w:sz w:val="18"/>
          <w:szCs w:val="18"/>
          <w:color w:val="auto"/>
        </w:rPr>
      </w:pPr>
    </w:p>
    <w:p>
      <w:pPr>
        <w:ind w:left="1020" w:hanging="450"/>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$8,000 per year for service as chair of the corporate governance and nominating committee; and</w:t>
      </w:r>
    </w:p>
    <w:p>
      <w:pPr>
        <w:spacing w:after="0" w:line="225" w:lineRule="exact"/>
        <w:rPr>
          <w:rFonts w:ascii="Arial" w:cs="Arial" w:eastAsia="Arial" w:hAnsi="Arial"/>
          <w:sz w:val="18"/>
          <w:szCs w:val="18"/>
          <w:color w:val="auto"/>
        </w:rPr>
      </w:pPr>
    </w:p>
    <w:p>
      <w:pPr>
        <w:ind w:left="1020" w:hanging="450"/>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$4,000 per year for service as a member of the corporate governance and nominating committee</w:t>
      </w:r>
    </w:p>
    <w:p>
      <w:pPr>
        <w:spacing w:after="0" w:line="21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Each non-employee director who serves as a committee chair will receive only the cash retainer fee as the chair of the committee but not the cash retainer fee as a member of that committee. These fees to our non-employee directors are paid quarterly in arrears on a prorated basis. Under our Outside Director Compensation Policy, we also will reimburse our non-employee directors for reasonable travel expenses to attend meetings of our board of directors and its committees.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15"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i w:val="1"/>
          <w:iCs w:val="1"/>
          <w:color w:val="auto"/>
        </w:rPr>
        <w:t>Initial Award</w:t>
      </w:r>
      <w:r>
        <w:rPr>
          <w:rFonts w:ascii="Arial" w:cs="Arial" w:eastAsia="Arial" w:hAnsi="Arial"/>
          <w:sz w:val="18"/>
          <w:szCs w:val="18"/>
          <w:color w:val="auto"/>
        </w:rPr>
        <w:t>. Pursuant to our Outside Director Compensation Policy, each person who first becomes a non-employee director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date of such policy will receive, on the first trading day on or after the date that the person first becomes a non-employee director, an initial award, or the Initial Award, of stock options to purchase 24,009 shares of our common stock. The Initial Award will be scheduled to vest in equal installments as to one thirty-sixth of the shares of our common stock subject at grant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line="245" w:lineRule="auto"/>
        <w:rPr>
          <w:sz w:val="20"/>
          <w:szCs w:val="20"/>
          <w:color w:val="auto"/>
        </w:rPr>
      </w:pPr>
      <w:r>
        <w:rPr>
          <w:rFonts w:ascii="Arial" w:cs="Arial" w:eastAsia="Arial" w:hAnsi="Arial"/>
          <w:sz w:val="18"/>
          <w:szCs w:val="18"/>
          <w:i w:val="1"/>
          <w:iCs w:val="1"/>
          <w:color w:val="auto"/>
        </w:rPr>
        <w:t>Annual Award</w:t>
      </w:r>
      <w:r>
        <w:rPr>
          <w:rFonts w:ascii="Arial" w:cs="Arial" w:eastAsia="Arial" w:hAnsi="Arial"/>
          <w:sz w:val="18"/>
          <w:szCs w:val="18"/>
          <w:color w:val="auto"/>
        </w:rPr>
        <w:t>. Pursuant to our Outside Director Compensation Policy, each non-employee director automatically will receive, on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day immediately after the date of each annual meeting of our stockholders that occurs following the effective date of our Outside Director Compensation Policy, an annual award, or the Annual Award, of stock options to purchase 12,004 shares of our common stock, with such number of shares prorated if the recipient commenced service as a non-employee director after the date of the immediately prior annual meeting of our stockholders, based on the number of whole months of non-employee director service completed before the Annual Award’s grant date. Each Annual Award will be scheduled to vest as to one-twelfth of the shares of our common stock subject at grant to the Annual Award on a monthly basis following the Annual Award’s grant date, on the same day of the month as the grant date, or if earlier, the day immediately before the day of the next annual meeting of stockholders that occurs after the grant date of the Annual Award, subject to continued services to us through the applicable vesting dates.</w:t>
      </w:r>
    </w:p>
    <w:p>
      <w:pPr>
        <w:spacing w:after="0" w:line="17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a change in control, as defined in our Amended and Restated 2020 Equity Incentive Plan, each non-employee director’s then outstanding equity awards covering shares of our common stock will accelerate vesting in full, provided that he or she remains a non-employee director through the date of our change in control.</w:t>
      </w:r>
    </w:p>
    <w:p>
      <w:pPr>
        <w:spacing w:after="0" w:line="16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i w:val="1"/>
          <w:iCs w:val="1"/>
          <w:color w:val="auto"/>
        </w:rPr>
        <w:t>Other Award Terms</w:t>
      </w:r>
      <w:r>
        <w:rPr>
          <w:rFonts w:ascii="Arial" w:cs="Arial" w:eastAsia="Arial" w:hAnsi="Arial"/>
          <w:sz w:val="18"/>
          <w:szCs w:val="18"/>
          <w:color w:val="auto"/>
        </w:rPr>
        <w:t>. Each Initial Award and Annual Award will be granted under our Amended and Restated 2020 Equity Incentive Plan (or</w:t>
      </w:r>
      <w:r>
        <w:rPr>
          <w:rFonts w:ascii="Arial" w:cs="Arial" w:eastAsia="Arial" w:hAnsi="Arial"/>
          <w:sz w:val="18"/>
          <w:szCs w:val="18"/>
          <w:i w:val="1"/>
          <w:iCs w:val="1"/>
          <w:color w:val="auto"/>
        </w:rPr>
        <w:t xml:space="preserve"> </w:t>
      </w:r>
      <w:r>
        <w:rPr>
          <w:rFonts w:ascii="Arial" w:cs="Arial" w:eastAsia="Arial" w:hAnsi="Arial"/>
          <w:sz w:val="18"/>
          <w:szCs w:val="18"/>
          <w:color w:val="auto"/>
        </w:rPr>
        <w:t>its successor plan, as applicable) and form of award agreement under such plan. These awards will have a maximum term to expiration of ten years from their grant and a per-share exercise price equal to 100% of the fair market value of a share of our common stock on the award’s grant date.</w:t>
      </w:r>
    </w:p>
    <w:p>
      <w:pPr>
        <w:spacing w:after="0" w:line="170"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i w:val="1"/>
          <w:iCs w:val="1"/>
          <w:color w:val="auto"/>
        </w:rPr>
        <w:t xml:space="preserve">Director Compensation Limits. </w:t>
      </w:r>
      <w:r>
        <w:rPr>
          <w:rFonts w:ascii="Arial" w:cs="Arial" w:eastAsia="Arial" w:hAnsi="Arial"/>
          <w:sz w:val="18"/>
          <w:szCs w:val="18"/>
          <w:color w:val="auto"/>
        </w:rPr>
        <w:t>Our Outside Director Compensation Policy provides that in any fiscal year, a non-employee director may be</w:t>
      </w:r>
      <w:r>
        <w:rPr>
          <w:rFonts w:ascii="Arial" w:cs="Arial" w:eastAsia="Arial" w:hAnsi="Arial"/>
          <w:sz w:val="18"/>
          <w:szCs w:val="18"/>
          <w:i w:val="1"/>
          <w:iCs w:val="1"/>
          <w:color w:val="auto"/>
        </w:rPr>
        <w:t xml:space="preserve"> </w:t>
      </w:r>
      <w:r>
        <w:rPr>
          <w:rFonts w:ascii="Arial" w:cs="Arial" w:eastAsia="Arial" w:hAnsi="Arial"/>
          <w:sz w:val="18"/>
          <w:szCs w:val="18"/>
          <w:color w:val="auto"/>
        </w:rPr>
        <w:t>paid cash compensation and granted equity awards with an aggregate value of no more than $1,000,000 (with the value of equity awards based on its grant date fair value determined in accordance with U.S. GAAP for purposes of this limit). Equity awards granted or other compensation provided to a non-employee director while he or she was an employee or consultant (other than a non-employee director), or granted or provided before the effective date of the registration statement related to our initial public offering, do not count toward this annual limit.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Compensation</w:t>
      </w:r>
    </w:p>
    <w:p>
      <w:pPr>
        <w:spacing w:after="0" w:line="115"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Directors who are also our employees receive no additional compensation for their service as directors. During 2021, Drs. Pons and Randolph were employees and executive officers of the Company and did not receive compensation as directors. See the section titled “Executive Compensation” for additional information about Dr. Pons’ and Dr. Randolph’s compensation for the year ended December 31, 2021.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5" w:name="page26"/>
    <w:bookmarkEnd w:id="25"/>
    <w:p>
      <w:pPr>
        <w:ind w:right="40"/>
        <w:spacing w:after="0" w:line="261" w:lineRule="auto"/>
        <w:rPr>
          <w:sz w:val="20"/>
          <w:szCs w:val="20"/>
          <w:color w:val="auto"/>
        </w:rPr>
      </w:pPr>
      <w:r>
        <w:rPr>
          <w:rFonts w:ascii="Arial" w:cs="Arial" w:eastAsia="Arial" w:hAnsi="Arial"/>
          <w:sz w:val="18"/>
          <w:szCs w:val="18"/>
          <w:color w:val="auto"/>
        </w:rPr>
        <w:t>The following table presents the total compensation each of our non-employee directors received during the year ended December 31, 2021. Other than as set forth in the table, we did not pay any compensation, make any equity awards or non-equity awards to or pay any other compensation to any of our non-employee directors in 2021.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Fees Earned</w:t>
            </w:r>
          </w:p>
        </w:tc>
        <w:tc>
          <w:tcPr>
            <w:tcW w:w="2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8"/>
        </w:trPr>
        <w:tc>
          <w:tcPr>
            <w:tcW w:w="65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or Paid in</w:t>
            </w:r>
          </w:p>
        </w:tc>
        <w:tc>
          <w:tcPr>
            <w:tcW w:w="24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Awards</w:t>
            </w: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8"/>
        </w:trPr>
        <w:tc>
          <w:tcPr>
            <w:tcW w:w="6540" w:type="dxa"/>
            <w:vAlign w:val="bottom"/>
          </w:tcPr>
          <w:p>
            <w:pPr>
              <w:ind w:left="3000"/>
              <w:spacing w:after="0"/>
              <w:rPr>
                <w:sz w:val="20"/>
                <w:szCs w:val="20"/>
                <w:color w:val="auto"/>
              </w:rPr>
            </w:pPr>
            <w:r>
              <w:rPr>
                <w:rFonts w:ascii="Arial" w:cs="Arial" w:eastAsia="Arial" w:hAnsi="Arial"/>
                <w:sz w:val="14"/>
                <w:szCs w:val="14"/>
                <w:b w:val="1"/>
                <w:bCs w:val="1"/>
                <w:color w:val="auto"/>
              </w:rPr>
              <w:t>Name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Cash ($)</w:t>
            </w:r>
          </w:p>
        </w:tc>
        <w:tc>
          <w:tcPr>
            <w:tcW w:w="1620" w:type="dxa"/>
            <w:vAlign w:val="bottom"/>
            <w:gridSpan w:val="2"/>
          </w:tcPr>
          <w:p>
            <w:pPr>
              <w:jc w:val="center"/>
              <w:ind w:left="174"/>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7"/>
                <w:szCs w:val="17"/>
                <w:color w:val="auto"/>
              </w:rPr>
            </w:pPr>
          </w:p>
        </w:tc>
        <w:tc>
          <w:tcPr>
            <w:tcW w:w="1360" w:type="dxa"/>
            <w:vAlign w:val="bottom"/>
          </w:tcPr>
          <w:p>
            <w:pPr>
              <w:jc w:val="right"/>
              <w:ind w:right="319"/>
              <w:spacing w:after="0"/>
              <w:rPr>
                <w:sz w:val="20"/>
                <w:szCs w:val="20"/>
                <w:color w:val="auto"/>
              </w:rPr>
            </w:pPr>
            <w:r>
              <w:rPr>
                <w:rFonts w:ascii="Arial" w:cs="Arial" w:eastAsia="Arial" w:hAnsi="Arial"/>
                <w:sz w:val="14"/>
                <w:szCs w:val="14"/>
                <w:b w:val="1"/>
                <w:bCs w:val="1"/>
                <w:color w:val="auto"/>
              </w:rPr>
              <w:t>Total ($)</w:t>
            </w:r>
          </w:p>
        </w:tc>
        <w:tc>
          <w:tcPr>
            <w:tcW w:w="80" w:type="dxa"/>
            <w:vAlign w:val="bottom"/>
          </w:tcPr>
          <w:p>
            <w:pPr>
              <w:spacing w:after="0"/>
              <w:rPr>
                <w:sz w:val="17"/>
                <w:szCs w:val="17"/>
                <w:color w:val="auto"/>
              </w:rPr>
            </w:pPr>
          </w:p>
        </w:tc>
      </w:tr>
      <w:tr>
        <w:trPr>
          <w:trHeight w:val="209"/>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Corey Goodman, Ph.D.</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84,000</w:t>
            </w:r>
          </w:p>
        </w:tc>
        <w:tc>
          <w:tcPr>
            <w:tcW w:w="24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480,962</w:t>
            </w:r>
          </w:p>
        </w:tc>
        <w:tc>
          <w:tcPr>
            <w:tcW w:w="24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564,962</w:t>
            </w:r>
          </w:p>
        </w:tc>
        <w:tc>
          <w:tcPr>
            <w:tcW w:w="80" w:type="dxa"/>
            <w:vAlign w:val="bottom"/>
            <w:shd w:val="clear" w:color="auto" w:fill="CFF0FC"/>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Rekha Hemrajani</w:t>
            </w:r>
          </w:p>
        </w:tc>
        <w:tc>
          <w:tcPr>
            <w:tcW w:w="1400" w:type="dxa"/>
            <w:vAlign w:val="bottom"/>
          </w:tcPr>
          <w:p>
            <w:pPr>
              <w:jc w:val="right"/>
              <w:spacing w:after="0"/>
              <w:rPr>
                <w:sz w:val="20"/>
                <w:szCs w:val="20"/>
                <w:color w:val="auto"/>
              </w:rPr>
            </w:pPr>
            <w:r>
              <w:rPr>
                <w:rFonts w:ascii="Arial" w:cs="Arial" w:eastAsia="Arial" w:hAnsi="Arial"/>
                <w:sz w:val="18"/>
                <w:szCs w:val="18"/>
                <w:color w:val="auto"/>
              </w:rPr>
              <w:t>64,000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480,962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544,962</w:t>
            </w:r>
          </w:p>
        </w:tc>
        <w:tc>
          <w:tcPr>
            <w:tcW w:w="80" w:type="dxa"/>
            <w:vAlign w:val="bottom"/>
          </w:tcPr>
          <w:p>
            <w:pPr>
              <w:spacing w:after="0"/>
              <w:rPr>
                <w:sz w:val="18"/>
                <w:szCs w:val="18"/>
                <w:color w:val="auto"/>
              </w:rPr>
            </w:pPr>
          </w:p>
        </w:tc>
      </w:tr>
      <w:tr>
        <w:trPr>
          <w:trHeight w:val="216"/>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Jason Lettmann</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55,601</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480,962</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536,563</w:t>
            </w:r>
          </w:p>
        </w:tc>
        <w:tc>
          <w:tcPr>
            <w:tcW w:w="80" w:type="dxa"/>
            <w:vAlign w:val="bottom"/>
            <w:shd w:val="clear" w:color="auto" w:fill="CFF0FC"/>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Jack Nielsen</w:t>
            </w:r>
          </w:p>
        </w:tc>
        <w:tc>
          <w:tcPr>
            <w:tcW w:w="1400" w:type="dxa"/>
            <w:vAlign w:val="bottom"/>
          </w:tcPr>
          <w:p>
            <w:pPr>
              <w:jc w:val="right"/>
              <w:spacing w:after="0"/>
              <w:rPr>
                <w:sz w:val="20"/>
                <w:szCs w:val="20"/>
                <w:color w:val="auto"/>
              </w:rPr>
            </w:pPr>
            <w:r>
              <w:rPr>
                <w:rFonts w:ascii="Arial" w:cs="Arial" w:eastAsia="Arial" w:hAnsi="Arial"/>
                <w:sz w:val="18"/>
                <w:szCs w:val="18"/>
                <w:color w:val="auto"/>
              </w:rPr>
              <w:t>52,500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480,962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533,462</w:t>
            </w:r>
          </w:p>
        </w:tc>
        <w:tc>
          <w:tcPr>
            <w:tcW w:w="80" w:type="dxa"/>
            <w:vAlign w:val="bottom"/>
          </w:tcPr>
          <w:p>
            <w:pPr>
              <w:spacing w:after="0"/>
              <w:rPr>
                <w:sz w:val="18"/>
                <w:szCs w:val="18"/>
                <w:color w:val="auto"/>
              </w:rPr>
            </w:pPr>
          </w:p>
        </w:tc>
      </w:tr>
      <w:tr>
        <w:trPr>
          <w:trHeight w:val="216"/>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Graham Walmsley, M.D., Ph.D.(2)</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33,641</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480,962</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514,603</w:t>
            </w:r>
          </w:p>
        </w:tc>
        <w:tc>
          <w:tcPr>
            <w:tcW w:w="80" w:type="dxa"/>
            <w:vAlign w:val="bottom"/>
            <w:shd w:val="clear" w:color="auto" w:fill="CFF0FC"/>
          </w:tcPr>
          <w:p>
            <w:pPr>
              <w:spacing w:after="0"/>
              <w:rPr>
                <w:sz w:val="18"/>
                <w:szCs w:val="18"/>
                <w:color w:val="auto"/>
              </w:rPr>
            </w:pPr>
          </w:p>
        </w:tc>
      </w:tr>
    </w:tbl>
    <w:p>
      <w:pPr>
        <w:spacing w:after="0" w:line="211" w:lineRule="exact"/>
        <w:rPr>
          <w:sz w:val="20"/>
          <w:szCs w:val="20"/>
          <w:color w:val="auto"/>
        </w:rPr>
      </w:pPr>
    </w:p>
    <w:p>
      <w:pPr>
        <w:ind w:left="460" w:right="220" w:hanging="444"/>
        <w:spacing w:after="0" w:line="22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This column reflects the aggregate grant date fair value of option awards granted to the officer in the applicable fiscal year, computed in accordance with Financial Accounting Standards Board (FASB) Accounting Standards Codification (ASC) 718,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 Compensation </w:t>
      </w:r>
      <w:r>
        <w:rPr>
          <w:rFonts w:ascii="Arial" w:cs="Arial" w:eastAsia="Arial" w:hAnsi="Arial"/>
          <w:sz w:val="18"/>
          <w:szCs w:val="18"/>
          <w:color w:val="auto"/>
        </w:rPr>
        <w:t>(Topic 718). See Note 9 to our financial statements for the year ended December 31, 2021 included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Report on Form 10-K for the year ended December 31, 2021 for a discussion of the assumptions made by us in determining the grant date fair value of our equity awards. Our named executive officers will only realize compensation to the extent the trading price of our common stock is greater than the exercise price of such stock options.</w:t>
      </w:r>
    </w:p>
    <w:p>
      <w:pPr>
        <w:spacing w:after="0" w:line="157" w:lineRule="exact"/>
        <w:rPr>
          <w:rFonts w:ascii="Arial" w:cs="Arial" w:eastAsia="Arial" w:hAnsi="Arial"/>
          <w:sz w:val="18"/>
          <w:szCs w:val="18"/>
          <w:color w:val="auto"/>
        </w:rPr>
      </w:pPr>
    </w:p>
    <w:p>
      <w:pPr>
        <w:ind w:left="460" w:hanging="444"/>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 Walmsley resigned from our board of directors on August 26,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all outstanding equity awards held by non-employee directors as of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Option Awards</w:t>
            </w:r>
          </w:p>
        </w:tc>
        <w:tc>
          <w:tcPr>
            <w:tcW w:w="10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1"/>
                <w:szCs w:val="11"/>
                <w:color w:val="auto"/>
              </w:rPr>
            </w:pPr>
          </w:p>
        </w:tc>
        <w:tc>
          <w:tcPr>
            <w:tcW w:w="13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Number of</w:t>
            </w: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Securities</w:t>
            </w: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Securities</w:t>
            </w:r>
          </w:p>
        </w:tc>
        <w:tc>
          <w:tcPr>
            <w:tcW w:w="58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Underlying</w:t>
            </w: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Underlying</w:t>
            </w:r>
          </w:p>
        </w:tc>
        <w:tc>
          <w:tcPr>
            <w:tcW w:w="5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160" w:type="dxa"/>
            <w:vAlign w:val="bottom"/>
          </w:tcPr>
          <w:p>
            <w:pPr>
              <w:spacing w:after="0"/>
              <w:rPr>
                <w:sz w:val="13"/>
                <w:szCs w:val="13"/>
                <w:color w:val="auto"/>
              </w:rPr>
            </w:pPr>
          </w:p>
        </w:tc>
        <w:tc>
          <w:tcPr>
            <w:tcW w:w="12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rPr>
              <w:t>Date of</w:t>
            </w:r>
          </w:p>
        </w:tc>
        <w:tc>
          <w:tcPr>
            <w:tcW w:w="13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Exercisable</w:t>
            </w:r>
          </w:p>
        </w:tc>
        <w:tc>
          <w:tcPr>
            <w:tcW w:w="240" w:type="dxa"/>
            <w:vAlign w:val="bottom"/>
          </w:tcPr>
          <w:p>
            <w:pPr>
              <w:spacing w:after="0"/>
              <w:rPr>
                <w:sz w:val="13"/>
                <w:szCs w:val="13"/>
                <w:color w:val="auto"/>
              </w:rPr>
            </w:pPr>
          </w:p>
        </w:tc>
        <w:tc>
          <w:tcPr>
            <w:tcW w:w="13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Unexercisable</w:t>
            </w:r>
          </w:p>
        </w:tc>
        <w:tc>
          <w:tcPr>
            <w:tcW w:w="580" w:type="dxa"/>
            <w:vAlign w:val="bottom"/>
          </w:tcPr>
          <w:p>
            <w:pPr>
              <w:spacing w:after="0"/>
              <w:rPr>
                <w:sz w:val="13"/>
                <w:szCs w:val="13"/>
                <w:color w:val="auto"/>
              </w:rPr>
            </w:pP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Exercise</w:t>
            </w:r>
          </w:p>
        </w:tc>
        <w:tc>
          <w:tcPr>
            <w:tcW w:w="180" w:type="dxa"/>
            <w:vAlign w:val="bottom"/>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9"/>
        </w:trPr>
        <w:tc>
          <w:tcPr>
            <w:tcW w:w="4160" w:type="dxa"/>
            <w:vAlign w:val="bottom"/>
          </w:tcPr>
          <w:p>
            <w:pPr>
              <w:ind w:left="1840"/>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Grant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5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Price ($)</w:t>
            </w:r>
          </w:p>
        </w:tc>
        <w:tc>
          <w:tcPr>
            <w:tcW w:w="180" w:type="dxa"/>
            <w:vAlign w:val="bottom"/>
          </w:tcPr>
          <w:p>
            <w:pPr>
              <w:spacing w:after="0"/>
              <w:rPr>
                <w:sz w:val="16"/>
                <w:szCs w:val="16"/>
                <w:color w:val="auto"/>
              </w:rPr>
            </w:pPr>
          </w:p>
        </w:tc>
        <w:tc>
          <w:tcPr>
            <w:tcW w:w="1080" w:type="dxa"/>
            <w:vAlign w:val="bottom"/>
          </w:tcPr>
          <w:p>
            <w:pPr>
              <w:ind w:left="3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91"/>
        </w:trPr>
        <w:tc>
          <w:tcPr>
            <w:tcW w:w="4160" w:type="dxa"/>
            <w:vAlign w:val="bottom"/>
            <w:shd w:val="clear" w:color="auto" w:fill="CFF0FC"/>
          </w:tcPr>
          <w:p>
            <w:pPr>
              <w:ind w:left="20"/>
              <w:spacing w:after="0" w:line="191" w:lineRule="exact"/>
              <w:rPr>
                <w:sz w:val="20"/>
                <w:szCs w:val="20"/>
                <w:color w:val="auto"/>
              </w:rPr>
            </w:pPr>
            <w:r>
              <w:rPr>
                <w:rFonts w:ascii="Arial" w:cs="Arial" w:eastAsia="Arial" w:hAnsi="Arial"/>
                <w:sz w:val="18"/>
                <w:szCs w:val="18"/>
                <w:color w:val="auto"/>
              </w:rPr>
              <w:t>Corey Goodman, Ph.D.</w:t>
            </w:r>
          </w:p>
        </w:tc>
        <w:tc>
          <w:tcPr>
            <w:tcW w:w="1140" w:type="dxa"/>
            <w:vAlign w:val="bottom"/>
            <w:tcBorders>
              <w:top w:val="single" w:sz="8" w:color="auto"/>
            </w:tcBorders>
            <w:shd w:val="clear" w:color="auto" w:fill="CFF0FC"/>
          </w:tcPr>
          <w:p>
            <w:pPr>
              <w:jc w:val="right"/>
              <w:spacing w:after="0" w:line="191" w:lineRule="exact"/>
              <w:rPr>
                <w:sz w:val="20"/>
                <w:szCs w:val="20"/>
                <w:color w:val="auto"/>
              </w:rPr>
            </w:pPr>
            <w:r>
              <w:rPr>
                <w:rFonts w:ascii="Arial" w:cs="Arial" w:eastAsia="Arial" w:hAnsi="Arial"/>
                <w:sz w:val="18"/>
                <w:szCs w:val="18"/>
                <w:color w:val="auto"/>
              </w:rPr>
              <w:t>06/11/21</w:t>
            </w:r>
          </w:p>
        </w:tc>
        <w:tc>
          <w:tcPr>
            <w:tcW w:w="120" w:type="dxa"/>
            <w:vAlign w:val="bottom"/>
            <w:shd w:val="clear" w:color="auto" w:fill="CFF0FC"/>
          </w:tcPr>
          <w:p>
            <w:pPr>
              <w:spacing w:after="0"/>
              <w:rPr>
                <w:sz w:val="16"/>
                <w:szCs w:val="16"/>
                <w:color w:val="auto"/>
              </w:rPr>
            </w:pPr>
          </w:p>
        </w:tc>
        <w:tc>
          <w:tcPr>
            <w:tcW w:w="1360" w:type="dxa"/>
            <w:vAlign w:val="bottom"/>
            <w:tcBorders>
              <w:top w:val="single" w:sz="8" w:color="auto"/>
            </w:tcBorders>
            <w:shd w:val="clear" w:color="auto" w:fill="CFF0FC"/>
          </w:tcPr>
          <w:p>
            <w:pPr>
              <w:jc w:val="right"/>
              <w:spacing w:after="0" w:line="191" w:lineRule="exact"/>
              <w:rPr>
                <w:sz w:val="20"/>
                <w:szCs w:val="20"/>
                <w:color w:val="auto"/>
              </w:rPr>
            </w:pPr>
            <w:r>
              <w:rPr>
                <w:rFonts w:ascii="Arial" w:cs="Arial" w:eastAsia="Arial" w:hAnsi="Arial"/>
                <w:sz w:val="18"/>
                <w:szCs w:val="18"/>
                <w:color w:val="auto"/>
              </w:rPr>
              <w:t>6,002</w:t>
            </w:r>
          </w:p>
        </w:tc>
        <w:tc>
          <w:tcPr>
            <w:tcW w:w="240" w:type="dxa"/>
            <w:vAlign w:val="bottom"/>
            <w:shd w:val="clear" w:color="auto" w:fill="CFF0FC"/>
          </w:tcPr>
          <w:p>
            <w:pPr>
              <w:spacing w:after="0"/>
              <w:rPr>
                <w:sz w:val="16"/>
                <w:szCs w:val="16"/>
                <w:color w:val="auto"/>
              </w:rPr>
            </w:pPr>
          </w:p>
        </w:tc>
        <w:tc>
          <w:tcPr>
            <w:tcW w:w="1340" w:type="dxa"/>
            <w:vAlign w:val="bottom"/>
            <w:tcBorders>
              <w:top w:val="single" w:sz="8" w:color="auto"/>
            </w:tcBorders>
            <w:shd w:val="clear" w:color="auto" w:fill="CFF0FC"/>
          </w:tcPr>
          <w:p>
            <w:pPr>
              <w:jc w:val="right"/>
              <w:spacing w:after="0" w:line="191" w:lineRule="exact"/>
              <w:rPr>
                <w:sz w:val="20"/>
                <w:szCs w:val="20"/>
                <w:color w:val="auto"/>
              </w:rPr>
            </w:pPr>
            <w:r>
              <w:rPr>
                <w:rFonts w:ascii="Arial" w:cs="Arial" w:eastAsia="Arial" w:hAnsi="Arial"/>
                <w:sz w:val="18"/>
                <w:szCs w:val="18"/>
                <w:color w:val="auto"/>
              </w:rPr>
              <w:t>6,002</w:t>
            </w:r>
          </w:p>
        </w:tc>
        <w:tc>
          <w:tcPr>
            <w:tcW w:w="580" w:type="dxa"/>
            <w:vAlign w:val="bottom"/>
            <w:shd w:val="clear" w:color="auto" w:fill="CFF0FC"/>
          </w:tcPr>
          <w:p>
            <w:pPr>
              <w:jc w:val="right"/>
              <w:spacing w:after="0" w:line="191" w:lineRule="exact"/>
              <w:rPr>
                <w:sz w:val="20"/>
                <w:szCs w:val="20"/>
                <w:color w:val="auto"/>
              </w:rPr>
            </w:pPr>
            <w:r>
              <w:rPr>
                <w:rFonts w:ascii="Arial" w:cs="Arial" w:eastAsia="Arial" w:hAnsi="Arial"/>
                <w:sz w:val="18"/>
                <w:szCs w:val="18"/>
                <w:color w:val="auto"/>
              </w:rPr>
              <w:t>(3 )</w:t>
            </w:r>
          </w:p>
        </w:tc>
        <w:tc>
          <w:tcPr>
            <w:tcW w:w="1040" w:type="dxa"/>
            <w:vAlign w:val="bottom"/>
            <w:tcBorders>
              <w:top w:val="single" w:sz="8" w:color="auto"/>
            </w:tcBorders>
            <w:shd w:val="clear" w:color="auto" w:fill="CFF0FC"/>
          </w:tcPr>
          <w:p>
            <w:pPr>
              <w:jc w:val="right"/>
              <w:spacing w:after="0" w:line="191" w:lineRule="exact"/>
              <w:rPr>
                <w:sz w:val="20"/>
                <w:szCs w:val="20"/>
                <w:color w:val="auto"/>
              </w:rPr>
            </w:pPr>
            <w:r>
              <w:rPr>
                <w:rFonts w:ascii="Arial" w:cs="Arial" w:eastAsia="Arial" w:hAnsi="Arial"/>
                <w:sz w:val="18"/>
                <w:szCs w:val="18"/>
                <w:color w:val="auto"/>
              </w:rPr>
              <w:t>59.66</w:t>
            </w:r>
          </w:p>
        </w:tc>
        <w:tc>
          <w:tcPr>
            <w:tcW w:w="180" w:type="dxa"/>
            <w:vAlign w:val="bottom"/>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ind w:left="360"/>
              <w:spacing w:after="0" w:line="191" w:lineRule="exact"/>
              <w:rPr>
                <w:sz w:val="20"/>
                <w:szCs w:val="20"/>
                <w:color w:val="auto"/>
              </w:rPr>
            </w:pPr>
            <w:r>
              <w:rPr>
                <w:rFonts w:ascii="Arial" w:cs="Arial" w:eastAsia="Arial" w:hAnsi="Arial"/>
                <w:sz w:val="18"/>
                <w:szCs w:val="18"/>
                <w:color w:val="auto"/>
                <w:w w:val="99"/>
              </w:rPr>
              <w:t>06/10/31</w:t>
            </w:r>
          </w:p>
        </w:tc>
        <w:tc>
          <w:tcPr>
            <w:tcW w:w="0" w:type="dxa"/>
            <w:vAlign w:val="bottom"/>
          </w:tcPr>
          <w:p>
            <w:pPr>
              <w:spacing w:after="0"/>
              <w:rPr>
                <w:sz w:val="1"/>
                <w:szCs w:val="1"/>
                <w:color w:val="auto"/>
              </w:rPr>
            </w:pPr>
          </w:p>
        </w:tc>
      </w:tr>
      <w:tr>
        <w:trPr>
          <w:trHeight w:val="235"/>
        </w:trPr>
        <w:tc>
          <w:tcPr>
            <w:tcW w:w="41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07/16/20</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11,337</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12,672</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w:t>
            </w:r>
          </w:p>
        </w:tc>
        <w:tc>
          <w:tcPr>
            <w:tcW w:w="126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w w:val="99"/>
              </w:rPr>
              <w:t>07/16/30</w:t>
            </w:r>
          </w:p>
        </w:tc>
        <w:tc>
          <w:tcPr>
            <w:tcW w:w="0" w:type="dxa"/>
            <w:vAlign w:val="bottom"/>
          </w:tcPr>
          <w:p>
            <w:pPr>
              <w:spacing w:after="0"/>
              <w:rPr>
                <w:sz w:val="1"/>
                <w:szCs w:val="1"/>
                <w:color w:val="auto"/>
              </w:rPr>
            </w:pPr>
          </w:p>
        </w:tc>
      </w:tr>
      <w:tr>
        <w:trPr>
          <w:trHeight w:val="197"/>
        </w:trPr>
        <w:tc>
          <w:tcPr>
            <w:tcW w:w="4160" w:type="dxa"/>
            <w:vAlign w:val="bottom"/>
          </w:tcPr>
          <w:p>
            <w:pPr>
              <w:ind w:left="20"/>
              <w:spacing w:after="0" w:line="197" w:lineRule="exact"/>
              <w:rPr>
                <w:sz w:val="20"/>
                <w:szCs w:val="20"/>
                <w:color w:val="auto"/>
              </w:rPr>
            </w:pPr>
            <w:r>
              <w:rPr>
                <w:rFonts w:ascii="Arial" w:cs="Arial" w:eastAsia="Arial" w:hAnsi="Arial"/>
                <w:sz w:val="18"/>
                <w:szCs w:val="18"/>
                <w:color w:val="auto"/>
              </w:rPr>
              <w:t>Rekha Hemrajani</w:t>
            </w:r>
          </w:p>
        </w:tc>
        <w:tc>
          <w:tcPr>
            <w:tcW w:w="1140" w:type="dxa"/>
            <w:vAlign w:val="bottom"/>
          </w:tcPr>
          <w:p>
            <w:pPr>
              <w:jc w:val="right"/>
              <w:spacing w:after="0" w:line="197" w:lineRule="exact"/>
              <w:rPr>
                <w:sz w:val="20"/>
                <w:szCs w:val="20"/>
                <w:color w:val="auto"/>
              </w:rPr>
            </w:pPr>
            <w:r>
              <w:rPr>
                <w:rFonts w:ascii="Arial" w:cs="Arial" w:eastAsia="Arial" w:hAnsi="Arial"/>
                <w:sz w:val="18"/>
                <w:szCs w:val="18"/>
                <w:color w:val="auto"/>
              </w:rPr>
              <w:t>06/11/21</w:t>
            </w:r>
          </w:p>
        </w:tc>
        <w:tc>
          <w:tcPr>
            <w:tcW w:w="120" w:type="dxa"/>
            <w:vAlign w:val="bottom"/>
          </w:tcPr>
          <w:p>
            <w:pPr>
              <w:spacing w:after="0"/>
              <w:rPr>
                <w:sz w:val="17"/>
                <w:szCs w:val="17"/>
                <w:color w:val="auto"/>
              </w:rPr>
            </w:pPr>
          </w:p>
        </w:tc>
        <w:tc>
          <w:tcPr>
            <w:tcW w:w="1360" w:type="dxa"/>
            <w:vAlign w:val="bottom"/>
          </w:tcPr>
          <w:p>
            <w:pPr>
              <w:jc w:val="right"/>
              <w:spacing w:after="0" w:line="197" w:lineRule="exact"/>
              <w:rPr>
                <w:sz w:val="20"/>
                <w:szCs w:val="20"/>
                <w:color w:val="auto"/>
              </w:rPr>
            </w:pPr>
            <w:r>
              <w:rPr>
                <w:rFonts w:ascii="Arial" w:cs="Arial" w:eastAsia="Arial" w:hAnsi="Arial"/>
                <w:sz w:val="18"/>
                <w:szCs w:val="18"/>
                <w:color w:val="auto"/>
              </w:rPr>
              <w:t>6,002</w:t>
            </w:r>
          </w:p>
        </w:tc>
        <w:tc>
          <w:tcPr>
            <w:tcW w:w="158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6,002</w:t>
            </w:r>
          </w:p>
        </w:tc>
        <w:tc>
          <w:tcPr>
            <w:tcW w:w="580" w:type="dxa"/>
            <w:vAlign w:val="bottom"/>
          </w:tcPr>
          <w:p>
            <w:pPr>
              <w:jc w:val="right"/>
              <w:spacing w:after="0" w:line="197" w:lineRule="exact"/>
              <w:rPr>
                <w:sz w:val="20"/>
                <w:szCs w:val="20"/>
                <w:color w:val="auto"/>
              </w:rPr>
            </w:pPr>
            <w:r>
              <w:rPr>
                <w:rFonts w:ascii="Arial" w:cs="Arial" w:eastAsia="Arial" w:hAnsi="Arial"/>
                <w:sz w:val="18"/>
                <w:szCs w:val="18"/>
                <w:color w:val="auto"/>
              </w:rPr>
              <w:t>(3 )</w:t>
            </w:r>
          </w:p>
        </w:tc>
        <w:tc>
          <w:tcPr>
            <w:tcW w:w="1040" w:type="dxa"/>
            <w:vAlign w:val="bottom"/>
          </w:tcPr>
          <w:p>
            <w:pPr>
              <w:jc w:val="right"/>
              <w:spacing w:after="0" w:line="197" w:lineRule="exact"/>
              <w:rPr>
                <w:sz w:val="20"/>
                <w:szCs w:val="20"/>
                <w:color w:val="auto"/>
              </w:rPr>
            </w:pPr>
            <w:r>
              <w:rPr>
                <w:rFonts w:ascii="Arial" w:cs="Arial" w:eastAsia="Arial" w:hAnsi="Arial"/>
                <w:sz w:val="18"/>
                <w:szCs w:val="18"/>
                <w:color w:val="auto"/>
              </w:rPr>
              <w:t>59.66</w:t>
            </w:r>
          </w:p>
        </w:tc>
        <w:tc>
          <w:tcPr>
            <w:tcW w:w="1260" w:type="dxa"/>
            <w:vAlign w:val="bottom"/>
            <w:gridSpan w:val="2"/>
          </w:tcPr>
          <w:p>
            <w:pPr>
              <w:ind w:left="540"/>
              <w:spacing w:after="0" w:line="197" w:lineRule="exact"/>
              <w:rPr>
                <w:sz w:val="20"/>
                <w:szCs w:val="20"/>
                <w:color w:val="auto"/>
              </w:rPr>
            </w:pPr>
            <w:r>
              <w:rPr>
                <w:rFonts w:ascii="Arial" w:cs="Arial" w:eastAsia="Arial" w:hAnsi="Arial"/>
                <w:sz w:val="18"/>
                <w:szCs w:val="18"/>
                <w:color w:val="auto"/>
                <w:w w:val="99"/>
              </w:rPr>
              <w:t>06/10/31</w:t>
            </w:r>
          </w:p>
        </w:tc>
        <w:tc>
          <w:tcPr>
            <w:tcW w:w="0" w:type="dxa"/>
            <w:vAlign w:val="bottom"/>
          </w:tcPr>
          <w:p>
            <w:pPr>
              <w:spacing w:after="0"/>
              <w:rPr>
                <w:sz w:val="1"/>
                <w:szCs w:val="1"/>
                <w:color w:val="auto"/>
              </w:rPr>
            </w:pPr>
          </w:p>
        </w:tc>
      </w:tr>
      <w:tr>
        <w:trPr>
          <w:trHeight w:val="235"/>
        </w:trPr>
        <w:tc>
          <w:tcPr>
            <w:tcW w:w="4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04/30/20</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36,407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50,971</w:t>
            </w:r>
          </w:p>
        </w:tc>
        <w:tc>
          <w:tcPr>
            <w:tcW w:w="580" w:type="dxa"/>
            <w:vAlign w:val="bottom"/>
          </w:tcPr>
          <w:p>
            <w:pPr>
              <w:jc w:val="right"/>
              <w:spacing w:after="0"/>
              <w:rPr>
                <w:sz w:val="20"/>
                <w:szCs w:val="20"/>
                <w:color w:val="auto"/>
              </w:rPr>
            </w:pPr>
            <w:r>
              <w:rPr>
                <w:rFonts w:ascii="Arial" w:cs="Arial" w:eastAsia="Arial" w:hAnsi="Arial"/>
                <w:sz w:val="18"/>
                <w:szCs w:val="18"/>
                <w:color w:val="auto"/>
              </w:rPr>
              <w:t>(2 )</w:t>
            </w:r>
          </w:p>
        </w:tc>
        <w:tc>
          <w:tcPr>
            <w:tcW w:w="1040" w:type="dxa"/>
            <w:vAlign w:val="bottom"/>
          </w:tcPr>
          <w:p>
            <w:pPr>
              <w:jc w:val="right"/>
              <w:spacing w:after="0"/>
              <w:rPr>
                <w:sz w:val="20"/>
                <w:szCs w:val="20"/>
                <w:color w:val="auto"/>
              </w:rPr>
            </w:pPr>
            <w:r>
              <w:rPr>
                <w:rFonts w:ascii="Arial" w:cs="Arial" w:eastAsia="Arial" w:hAnsi="Arial"/>
                <w:sz w:val="18"/>
                <w:szCs w:val="18"/>
                <w:color w:val="auto"/>
              </w:rPr>
              <w:t>4.81</w:t>
            </w:r>
          </w:p>
        </w:tc>
        <w:tc>
          <w:tcPr>
            <w:tcW w:w="1260" w:type="dxa"/>
            <w:vAlign w:val="bottom"/>
            <w:gridSpan w:val="2"/>
          </w:tcPr>
          <w:p>
            <w:pPr>
              <w:ind w:left="540"/>
              <w:spacing w:after="0"/>
              <w:rPr>
                <w:sz w:val="20"/>
                <w:szCs w:val="20"/>
                <w:color w:val="auto"/>
              </w:rPr>
            </w:pPr>
            <w:r>
              <w:rPr>
                <w:rFonts w:ascii="Arial" w:cs="Arial" w:eastAsia="Arial" w:hAnsi="Arial"/>
                <w:sz w:val="18"/>
                <w:szCs w:val="18"/>
                <w:color w:val="auto"/>
                <w:w w:val="99"/>
              </w:rPr>
              <w:t>04/30/30</w:t>
            </w:r>
          </w:p>
        </w:tc>
        <w:tc>
          <w:tcPr>
            <w:tcW w:w="0" w:type="dxa"/>
            <w:vAlign w:val="bottom"/>
          </w:tcPr>
          <w:p>
            <w:pPr>
              <w:spacing w:after="0"/>
              <w:rPr>
                <w:sz w:val="1"/>
                <w:szCs w:val="1"/>
                <w:color w:val="auto"/>
              </w:rPr>
            </w:pPr>
          </w:p>
        </w:tc>
      </w:tr>
      <w:tr>
        <w:trPr>
          <w:trHeight w:val="197"/>
        </w:trPr>
        <w:tc>
          <w:tcPr>
            <w:tcW w:w="416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Jason Lettmann</w:t>
            </w:r>
          </w:p>
        </w:tc>
        <w:tc>
          <w:tcPr>
            <w:tcW w:w="1140" w:type="dxa"/>
            <w:vAlign w:val="bottom"/>
            <w:shd w:val="clear" w:color="auto" w:fill="CFF0FC"/>
          </w:tcPr>
          <w:p>
            <w:pPr>
              <w:jc w:val="right"/>
              <w:spacing w:after="0" w:line="197" w:lineRule="exact"/>
              <w:rPr>
                <w:sz w:val="20"/>
                <w:szCs w:val="20"/>
                <w:color w:val="auto"/>
              </w:rPr>
            </w:pPr>
            <w:r>
              <w:rPr>
                <w:rFonts w:ascii="Arial" w:cs="Arial" w:eastAsia="Arial" w:hAnsi="Arial"/>
                <w:sz w:val="18"/>
                <w:szCs w:val="18"/>
                <w:color w:val="auto"/>
              </w:rPr>
              <w:t>06/11/21</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7" w:lineRule="exact"/>
              <w:rPr>
                <w:sz w:val="20"/>
                <w:szCs w:val="20"/>
                <w:color w:val="auto"/>
              </w:rPr>
            </w:pPr>
            <w:r>
              <w:rPr>
                <w:rFonts w:ascii="Arial" w:cs="Arial" w:eastAsia="Arial" w:hAnsi="Arial"/>
                <w:sz w:val="18"/>
                <w:szCs w:val="18"/>
                <w:color w:val="auto"/>
              </w:rPr>
              <w:t>6,002</w:t>
            </w:r>
          </w:p>
        </w:tc>
        <w:tc>
          <w:tcPr>
            <w:tcW w:w="1580" w:type="dxa"/>
            <w:vAlign w:val="bottom"/>
            <w:gridSpan w:val="2"/>
            <w:shd w:val="clear" w:color="auto" w:fill="CFF0FC"/>
          </w:tcPr>
          <w:p>
            <w:pPr>
              <w:jc w:val="right"/>
              <w:spacing w:after="0" w:line="197" w:lineRule="exact"/>
              <w:rPr>
                <w:sz w:val="20"/>
                <w:szCs w:val="20"/>
                <w:color w:val="auto"/>
              </w:rPr>
            </w:pPr>
            <w:r>
              <w:rPr>
                <w:rFonts w:ascii="Arial" w:cs="Arial" w:eastAsia="Arial" w:hAnsi="Arial"/>
                <w:sz w:val="18"/>
                <w:szCs w:val="18"/>
                <w:color w:val="auto"/>
              </w:rPr>
              <w:t>6,002</w:t>
            </w:r>
          </w:p>
        </w:tc>
        <w:tc>
          <w:tcPr>
            <w:tcW w:w="580" w:type="dxa"/>
            <w:vAlign w:val="bottom"/>
            <w:shd w:val="clear" w:color="auto" w:fill="CFF0FC"/>
          </w:tcPr>
          <w:p>
            <w:pPr>
              <w:jc w:val="right"/>
              <w:spacing w:after="0" w:line="197" w:lineRule="exact"/>
              <w:rPr>
                <w:sz w:val="20"/>
                <w:szCs w:val="20"/>
                <w:color w:val="auto"/>
              </w:rPr>
            </w:pPr>
            <w:r>
              <w:rPr>
                <w:rFonts w:ascii="Arial" w:cs="Arial" w:eastAsia="Arial" w:hAnsi="Arial"/>
                <w:sz w:val="18"/>
                <w:szCs w:val="18"/>
                <w:color w:val="auto"/>
              </w:rPr>
              <w:t>(3 )</w:t>
            </w:r>
          </w:p>
        </w:tc>
        <w:tc>
          <w:tcPr>
            <w:tcW w:w="1040" w:type="dxa"/>
            <w:vAlign w:val="bottom"/>
            <w:shd w:val="clear" w:color="auto" w:fill="CFF0FC"/>
          </w:tcPr>
          <w:p>
            <w:pPr>
              <w:jc w:val="right"/>
              <w:spacing w:after="0" w:line="197" w:lineRule="exact"/>
              <w:rPr>
                <w:sz w:val="20"/>
                <w:szCs w:val="20"/>
                <w:color w:val="auto"/>
              </w:rPr>
            </w:pPr>
            <w:r>
              <w:rPr>
                <w:rFonts w:ascii="Arial" w:cs="Arial" w:eastAsia="Arial" w:hAnsi="Arial"/>
                <w:sz w:val="18"/>
                <w:szCs w:val="18"/>
                <w:color w:val="auto"/>
              </w:rPr>
              <w:t>59.66</w:t>
            </w:r>
          </w:p>
        </w:tc>
        <w:tc>
          <w:tcPr>
            <w:tcW w:w="1260" w:type="dxa"/>
            <w:vAlign w:val="bottom"/>
            <w:gridSpan w:val="2"/>
            <w:shd w:val="clear" w:color="auto" w:fill="CFF0FC"/>
          </w:tcPr>
          <w:p>
            <w:pPr>
              <w:ind w:left="540"/>
              <w:spacing w:after="0" w:line="197" w:lineRule="exact"/>
              <w:rPr>
                <w:sz w:val="20"/>
                <w:szCs w:val="20"/>
                <w:color w:val="auto"/>
              </w:rPr>
            </w:pPr>
            <w:r>
              <w:rPr>
                <w:rFonts w:ascii="Arial" w:cs="Arial" w:eastAsia="Arial" w:hAnsi="Arial"/>
                <w:sz w:val="18"/>
                <w:szCs w:val="18"/>
                <w:color w:val="auto"/>
                <w:w w:val="99"/>
              </w:rPr>
              <w:t>06/10/31</w:t>
            </w:r>
          </w:p>
        </w:tc>
        <w:tc>
          <w:tcPr>
            <w:tcW w:w="0" w:type="dxa"/>
            <w:vAlign w:val="bottom"/>
          </w:tcPr>
          <w:p>
            <w:pPr>
              <w:spacing w:after="0"/>
              <w:rPr>
                <w:sz w:val="1"/>
                <w:szCs w:val="1"/>
                <w:color w:val="auto"/>
              </w:rPr>
            </w:pPr>
          </w:p>
        </w:tc>
      </w:tr>
      <w:tr>
        <w:trPr>
          <w:trHeight w:val="235"/>
        </w:trPr>
        <w:tc>
          <w:tcPr>
            <w:tcW w:w="41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07/16/20</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11,337</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12,672</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w:t>
            </w:r>
          </w:p>
        </w:tc>
        <w:tc>
          <w:tcPr>
            <w:tcW w:w="126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w w:val="99"/>
              </w:rPr>
              <w:t>07/16/30</w:t>
            </w:r>
          </w:p>
        </w:tc>
        <w:tc>
          <w:tcPr>
            <w:tcW w:w="0" w:type="dxa"/>
            <w:vAlign w:val="bottom"/>
          </w:tcPr>
          <w:p>
            <w:pPr>
              <w:spacing w:after="0"/>
              <w:rPr>
                <w:sz w:val="1"/>
                <w:szCs w:val="1"/>
                <w:color w:val="auto"/>
              </w:rPr>
            </w:pPr>
          </w:p>
        </w:tc>
      </w:tr>
      <w:tr>
        <w:trPr>
          <w:trHeight w:val="197"/>
        </w:trPr>
        <w:tc>
          <w:tcPr>
            <w:tcW w:w="4160" w:type="dxa"/>
            <w:vAlign w:val="bottom"/>
          </w:tcPr>
          <w:p>
            <w:pPr>
              <w:ind w:left="20"/>
              <w:spacing w:after="0" w:line="197" w:lineRule="exact"/>
              <w:rPr>
                <w:sz w:val="20"/>
                <w:szCs w:val="20"/>
                <w:color w:val="auto"/>
              </w:rPr>
            </w:pPr>
            <w:r>
              <w:rPr>
                <w:rFonts w:ascii="Arial" w:cs="Arial" w:eastAsia="Arial" w:hAnsi="Arial"/>
                <w:sz w:val="18"/>
                <w:szCs w:val="18"/>
                <w:color w:val="auto"/>
              </w:rPr>
              <w:t>Jack Nielsen</w:t>
            </w:r>
          </w:p>
        </w:tc>
        <w:tc>
          <w:tcPr>
            <w:tcW w:w="1140" w:type="dxa"/>
            <w:vAlign w:val="bottom"/>
          </w:tcPr>
          <w:p>
            <w:pPr>
              <w:jc w:val="right"/>
              <w:spacing w:after="0" w:line="197" w:lineRule="exact"/>
              <w:rPr>
                <w:sz w:val="20"/>
                <w:szCs w:val="20"/>
                <w:color w:val="auto"/>
              </w:rPr>
            </w:pPr>
            <w:r>
              <w:rPr>
                <w:rFonts w:ascii="Arial" w:cs="Arial" w:eastAsia="Arial" w:hAnsi="Arial"/>
                <w:sz w:val="18"/>
                <w:szCs w:val="18"/>
                <w:color w:val="auto"/>
              </w:rPr>
              <w:t>06/11/21</w:t>
            </w:r>
          </w:p>
        </w:tc>
        <w:tc>
          <w:tcPr>
            <w:tcW w:w="120" w:type="dxa"/>
            <w:vAlign w:val="bottom"/>
          </w:tcPr>
          <w:p>
            <w:pPr>
              <w:spacing w:after="0"/>
              <w:rPr>
                <w:sz w:val="17"/>
                <w:szCs w:val="17"/>
                <w:color w:val="auto"/>
              </w:rPr>
            </w:pPr>
          </w:p>
        </w:tc>
        <w:tc>
          <w:tcPr>
            <w:tcW w:w="1360" w:type="dxa"/>
            <w:vAlign w:val="bottom"/>
          </w:tcPr>
          <w:p>
            <w:pPr>
              <w:jc w:val="right"/>
              <w:spacing w:after="0" w:line="197" w:lineRule="exact"/>
              <w:rPr>
                <w:sz w:val="20"/>
                <w:szCs w:val="20"/>
                <w:color w:val="auto"/>
              </w:rPr>
            </w:pPr>
            <w:r>
              <w:rPr>
                <w:rFonts w:ascii="Arial" w:cs="Arial" w:eastAsia="Arial" w:hAnsi="Arial"/>
                <w:sz w:val="18"/>
                <w:szCs w:val="18"/>
                <w:color w:val="auto"/>
              </w:rPr>
              <w:t>6,002</w:t>
            </w:r>
          </w:p>
        </w:tc>
        <w:tc>
          <w:tcPr>
            <w:tcW w:w="158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6,002</w:t>
            </w:r>
          </w:p>
        </w:tc>
        <w:tc>
          <w:tcPr>
            <w:tcW w:w="580" w:type="dxa"/>
            <w:vAlign w:val="bottom"/>
          </w:tcPr>
          <w:p>
            <w:pPr>
              <w:jc w:val="right"/>
              <w:spacing w:after="0" w:line="197" w:lineRule="exact"/>
              <w:rPr>
                <w:sz w:val="20"/>
                <w:szCs w:val="20"/>
                <w:color w:val="auto"/>
              </w:rPr>
            </w:pPr>
            <w:r>
              <w:rPr>
                <w:rFonts w:ascii="Arial" w:cs="Arial" w:eastAsia="Arial" w:hAnsi="Arial"/>
                <w:sz w:val="18"/>
                <w:szCs w:val="18"/>
                <w:color w:val="auto"/>
              </w:rPr>
              <w:t>(3 )</w:t>
            </w:r>
          </w:p>
        </w:tc>
        <w:tc>
          <w:tcPr>
            <w:tcW w:w="1040" w:type="dxa"/>
            <w:vAlign w:val="bottom"/>
          </w:tcPr>
          <w:p>
            <w:pPr>
              <w:jc w:val="right"/>
              <w:spacing w:after="0" w:line="197" w:lineRule="exact"/>
              <w:rPr>
                <w:sz w:val="20"/>
                <w:szCs w:val="20"/>
                <w:color w:val="auto"/>
              </w:rPr>
            </w:pPr>
            <w:r>
              <w:rPr>
                <w:rFonts w:ascii="Arial" w:cs="Arial" w:eastAsia="Arial" w:hAnsi="Arial"/>
                <w:sz w:val="18"/>
                <w:szCs w:val="18"/>
                <w:color w:val="auto"/>
              </w:rPr>
              <w:t>59.66</w:t>
            </w:r>
          </w:p>
        </w:tc>
        <w:tc>
          <w:tcPr>
            <w:tcW w:w="1260" w:type="dxa"/>
            <w:vAlign w:val="bottom"/>
            <w:gridSpan w:val="2"/>
          </w:tcPr>
          <w:p>
            <w:pPr>
              <w:ind w:left="540"/>
              <w:spacing w:after="0" w:line="197" w:lineRule="exact"/>
              <w:rPr>
                <w:sz w:val="20"/>
                <w:szCs w:val="20"/>
                <w:color w:val="auto"/>
              </w:rPr>
            </w:pPr>
            <w:r>
              <w:rPr>
                <w:rFonts w:ascii="Arial" w:cs="Arial" w:eastAsia="Arial" w:hAnsi="Arial"/>
                <w:sz w:val="18"/>
                <w:szCs w:val="18"/>
                <w:color w:val="auto"/>
                <w:w w:val="99"/>
              </w:rPr>
              <w:t>06/10/31</w:t>
            </w:r>
          </w:p>
        </w:tc>
        <w:tc>
          <w:tcPr>
            <w:tcW w:w="0" w:type="dxa"/>
            <w:vAlign w:val="bottom"/>
          </w:tcPr>
          <w:p>
            <w:pPr>
              <w:spacing w:after="0"/>
              <w:rPr>
                <w:sz w:val="1"/>
                <w:szCs w:val="1"/>
                <w:color w:val="auto"/>
              </w:rPr>
            </w:pPr>
          </w:p>
        </w:tc>
      </w:tr>
      <w:tr>
        <w:trPr>
          <w:trHeight w:val="235"/>
        </w:trPr>
        <w:tc>
          <w:tcPr>
            <w:tcW w:w="4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07/16/20</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11,337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12,672</w:t>
            </w:r>
          </w:p>
        </w:tc>
        <w:tc>
          <w:tcPr>
            <w:tcW w:w="580" w:type="dxa"/>
            <w:vAlign w:val="bottom"/>
          </w:tcPr>
          <w:p>
            <w:pPr>
              <w:jc w:val="right"/>
              <w:spacing w:after="0"/>
              <w:rPr>
                <w:sz w:val="20"/>
                <w:szCs w:val="20"/>
                <w:color w:val="auto"/>
              </w:rPr>
            </w:pPr>
            <w:r>
              <w:rPr>
                <w:rFonts w:ascii="Arial" w:cs="Arial" w:eastAsia="Arial" w:hAnsi="Arial"/>
                <w:sz w:val="18"/>
                <w:szCs w:val="18"/>
                <w:color w:val="auto"/>
              </w:rPr>
              <w:t>(1 )</w:t>
            </w:r>
          </w:p>
        </w:tc>
        <w:tc>
          <w:tcPr>
            <w:tcW w:w="1040" w:type="dxa"/>
            <w:vAlign w:val="bottom"/>
          </w:tcPr>
          <w:p>
            <w:pPr>
              <w:jc w:val="right"/>
              <w:spacing w:after="0"/>
              <w:rPr>
                <w:sz w:val="20"/>
                <w:szCs w:val="20"/>
                <w:color w:val="auto"/>
              </w:rPr>
            </w:pPr>
            <w:r>
              <w:rPr>
                <w:rFonts w:ascii="Arial" w:cs="Arial" w:eastAsia="Arial" w:hAnsi="Arial"/>
                <w:sz w:val="18"/>
                <w:szCs w:val="18"/>
                <w:color w:val="auto"/>
              </w:rPr>
              <w:t>19.00</w:t>
            </w:r>
          </w:p>
        </w:tc>
        <w:tc>
          <w:tcPr>
            <w:tcW w:w="1260" w:type="dxa"/>
            <w:vAlign w:val="bottom"/>
            <w:gridSpan w:val="2"/>
          </w:tcPr>
          <w:p>
            <w:pPr>
              <w:ind w:left="540"/>
              <w:spacing w:after="0"/>
              <w:rPr>
                <w:sz w:val="20"/>
                <w:szCs w:val="20"/>
                <w:color w:val="auto"/>
              </w:rPr>
            </w:pPr>
            <w:r>
              <w:rPr>
                <w:rFonts w:ascii="Arial" w:cs="Arial" w:eastAsia="Arial" w:hAnsi="Arial"/>
                <w:sz w:val="18"/>
                <w:szCs w:val="18"/>
                <w:color w:val="auto"/>
                <w:w w:val="99"/>
              </w:rPr>
              <w:t>07/16/30</w:t>
            </w:r>
          </w:p>
        </w:tc>
        <w:tc>
          <w:tcPr>
            <w:tcW w:w="0" w:type="dxa"/>
            <w:vAlign w:val="bottom"/>
          </w:tcPr>
          <w:p>
            <w:pPr>
              <w:spacing w:after="0"/>
              <w:rPr>
                <w:sz w:val="1"/>
                <w:szCs w:val="1"/>
                <w:color w:val="auto"/>
              </w:rPr>
            </w:pPr>
          </w:p>
        </w:tc>
      </w:tr>
      <w:tr>
        <w:trPr>
          <w:trHeight w:val="197"/>
        </w:trPr>
        <w:tc>
          <w:tcPr>
            <w:tcW w:w="416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Graham Walmsley, M.D. Ph.D.(4)</w:t>
            </w:r>
          </w:p>
        </w:tc>
        <w:tc>
          <w:tcPr>
            <w:tcW w:w="1140" w:type="dxa"/>
            <w:vAlign w:val="bottom"/>
            <w:shd w:val="clear" w:color="auto" w:fill="CFF0FC"/>
          </w:tcPr>
          <w:p>
            <w:pPr>
              <w:jc w:val="right"/>
              <w:spacing w:after="0" w:line="197" w:lineRule="exact"/>
              <w:rPr>
                <w:sz w:val="20"/>
                <w:szCs w:val="20"/>
                <w:color w:val="auto"/>
              </w:rPr>
            </w:pPr>
            <w:r>
              <w:rPr>
                <w:rFonts w:ascii="Arial" w:cs="Arial" w:eastAsia="Arial" w:hAnsi="Arial"/>
                <w:sz w:val="18"/>
                <w:szCs w:val="18"/>
                <w:color w:val="auto"/>
              </w:rPr>
              <w:t>06/11/21</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7" w:lineRule="exact"/>
              <w:rPr>
                <w:sz w:val="20"/>
                <w:szCs w:val="20"/>
                <w:color w:val="auto"/>
              </w:rPr>
            </w:pPr>
            <w:r>
              <w:rPr>
                <w:rFonts w:ascii="Arial" w:cs="Arial" w:eastAsia="Arial" w:hAnsi="Arial"/>
                <w:sz w:val="18"/>
                <w:szCs w:val="18"/>
                <w:color w:val="auto"/>
              </w:rPr>
              <w:t>2,000</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7"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7" w:lineRule="exact"/>
              <w:rPr>
                <w:sz w:val="20"/>
                <w:szCs w:val="20"/>
                <w:color w:val="auto"/>
              </w:rPr>
            </w:pPr>
            <w:r>
              <w:rPr>
                <w:rFonts w:ascii="Arial" w:cs="Arial" w:eastAsia="Arial" w:hAnsi="Arial"/>
                <w:sz w:val="18"/>
                <w:szCs w:val="18"/>
                <w:color w:val="auto"/>
              </w:rPr>
              <w:t>59.66</w:t>
            </w:r>
          </w:p>
        </w:tc>
        <w:tc>
          <w:tcPr>
            <w:tcW w:w="1260" w:type="dxa"/>
            <w:vAlign w:val="bottom"/>
            <w:gridSpan w:val="2"/>
            <w:shd w:val="clear" w:color="auto" w:fill="CFF0FC"/>
          </w:tcPr>
          <w:p>
            <w:pPr>
              <w:ind w:left="540"/>
              <w:spacing w:after="0" w:line="197" w:lineRule="exact"/>
              <w:rPr>
                <w:sz w:val="20"/>
                <w:szCs w:val="20"/>
                <w:color w:val="auto"/>
              </w:rPr>
            </w:pPr>
            <w:r>
              <w:rPr>
                <w:rFonts w:ascii="Arial" w:cs="Arial" w:eastAsia="Arial" w:hAnsi="Arial"/>
                <w:sz w:val="18"/>
                <w:szCs w:val="18"/>
                <w:color w:val="auto"/>
                <w:w w:val="99"/>
              </w:rPr>
              <w:t>06/10/31</w:t>
            </w:r>
          </w:p>
        </w:tc>
        <w:tc>
          <w:tcPr>
            <w:tcW w:w="0" w:type="dxa"/>
            <w:vAlign w:val="bottom"/>
          </w:tcPr>
          <w:p>
            <w:pPr>
              <w:spacing w:after="0"/>
              <w:rPr>
                <w:sz w:val="1"/>
                <w:szCs w:val="1"/>
                <w:color w:val="auto"/>
              </w:rPr>
            </w:pPr>
          </w:p>
        </w:tc>
      </w:tr>
      <w:tr>
        <w:trPr>
          <w:trHeight w:val="235"/>
        </w:trPr>
        <w:tc>
          <w:tcPr>
            <w:tcW w:w="41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07/16/20</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8,669</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w:t>
            </w:r>
          </w:p>
        </w:tc>
        <w:tc>
          <w:tcPr>
            <w:tcW w:w="126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w w:val="99"/>
              </w:rPr>
              <w:t>07/16/30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60" w:right="180" w:hanging="444"/>
        <w:spacing w:after="0" w:line="256"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Shares subject to the option vest in 36 equal monthly installments beginning on August 16, 2020 subject to continued service through each such vesting date.</w:t>
      </w:r>
    </w:p>
    <w:p>
      <w:pPr>
        <w:spacing w:after="0" w:line="90" w:lineRule="exact"/>
        <w:rPr>
          <w:rFonts w:ascii="Arial" w:cs="Arial" w:eastAsia="Arial" w:hAnsi="Arial"/>
          <w:sz w:val="18"/>
          <w:szCs w:val="18"/>
          <w:color w:val="auto"/>
        </w:rPr>
      </w:pPr>
    </w:p>
    <w:p>
      <w:pPr>
        <w:ind w:left="460" w:right="180" w:hanging="444"/>
        <w:spacing w:after="0" w:line="216"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1/4</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of the shares subject to the option vested on April 27, 2021 and 1/36</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of the remaining shares subject to the option vest monthly thereafter subject to continued service through each such vesting date.</w:t>
      </w:r>
    </w:p>
    <w:p>
      <w:pPr>
        <w:spacing w:after="0" w:line="126" w:lineRule="exact"/>
        <w:rPr>
          <w:rFonts w:ascii="Arial" w:cs="Arial" w:eastAsia="Arial" w:hAnsi="Arial"/>
          <w:sz w:val="18"/>
          <w:szCs w:val="18"/>
          <w:color w:val="auto"/>
        </w:rPr>
      </w:pPr>
    </w:p>
    <w:p>
      <w:pPr>
        <w:ind w:left="460" w:right="260" w:hanging="444"/>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Shares subject to the option vest in 12 equal monthly installments on the same day of month of grant date, or if earlier, the day immediately before the day of the next annual meeting of stockholders, subject to continued service through each such vesting date.</w:t>
      </w:r>
    </w:p>
    <w:p>
      <w:pPr>
        <w:spacing w:after="0" w:line="126" w:lineRule="exact"/>
        <w:rPr>
          <w:rFonts w:ascii="Arial" w:cs="Arial" w:eastAsia="Arial" w:hAnsi="Arial"/>
          <w:sz w:val="18"/>
          <w:szCs w:val="18"/>
          <w:color w:val="auto"/>
        </w:rPr>
      </w:pPr>
    </w:p>
    <w:p>
      <w:pPr>
        <w:ind w:left="460" w:hanging="444"/>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 Walmsley resigned from our board of directors on August 26, 2021.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jc w:val="center"/>
        <w:ind w:right="20"/>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ELECTION OF DIRECTORS</w:t>
      </w:r>
    </w:p>
    <w:p>
      <w:pPr>
        <w:spacing w:after="0" w:line="19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board of directors is currently composed of seven members. In accordance with our amended and restated certificate of incorporation, our board of directors is divided into three classes with staggered three-year terms. At the Annual Meeting, two Class II directors will be elected for a three-year term to succeed the same class whose term is then expiring.</w:t>
      </w:r>
    </w:p>
    <w:p>
      <w:pPr>
        <w:spacing w:after="0" w:line="16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Each director’s term continues until the election and qualification of such director’s successor, or such director’s earlier death, resignation or removal. Any increase or decrease in the number of directors will be distributed among the three classes so that, as nearly as possible, each class will consist of one-third of our directors. This classification of our board of directors may have the effect of delaying or preventing changes in control of our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11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corporate governance and nominating committee has recommended, and our board of directors has approved, Itziar Canamasas, Ph.D. and Jack Nielsen as nominees for election as Class II directors at the Annual Meeting. If elected, each of Dr. Canamasas and Mr. Nielsen will serve as a Class II director until the 2025 annual meeting of stockholders or until his or her successor is duly elected and qualified. Dr.</w:t>
      </w:r>
    </w:p>
    <w:p>
      <w:pPr>
        <w:spacing w:after="0" w:line="2"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color w:val="auto"/>
        </w:rPr>
        <w:t>Canamasas and Mr. Nielsen are currently directors of our company, and each has agreed to being named in this proxy statement as a nominee. For information concerning the nominees, please see the section titled “Board of Directors and Corporate Governance.”</w:t>
      </w:r>
    </w:p>
    <w:p>
      <w:pPr>
        <w:spacing w:after="0" w:line="158"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If you are a stockholder of record and you sign your proxy card or vote over the Internet or by telephone but do not give instructions with respect to the voting of directors, your shares will be voted FOR the election of Dr. Canamasas and Mr. Nielsen. If you are a street name stockholder of shares of our common stock and you do not give voting instructions to your broker, bank or other nominee, then your broker, bank or other nominee will leave your shares unvoted on this matter. We expect that Dr. Canamasas and Mr. Nielsen will accept such nomination; however, in the event that a director nominee is unable or declines to serve as a director at the time of the Annual Meeting, the proxies will be voted for any nominee who shall be designated by our board of directors to fill such vacancy.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0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election of Class II directors requires a plurality of the votes of the shares of our common stock present in person (including virtually) or represented by proxy at the Annual Meeting and entitled to vote thereon to be approved. “Plurality” means that the two nominees who receive the most votes cast ‘FOR’ will be elected as Class II directors. As a result, any shares not voted ‘FOR’ a particular nominee (whether as a result of voting withheld or a broker non-vote) will not be counted in such nominee’s favor and will have no effect on the outcome of the election.</w:t>
      </w:r>
    </w:p>
    <w:p>
      <w:pPr>
        <w:spacing w:after="0" w:line="173" w:lineRule="exact"/>
        <w:rPr>
          <w:sz w:val="20"/>
          <w:szCs w:val="20"/>
          <w:color w:val="auto"/>
        </w:rPr>
      </w:pPr>
    </w:p>
    <w:p>
      <w:pPr>
        <w:jc w:val="center"/>
        <w:ind w:right="20"/>
        <w:spacing w:after="0" w:line="281" w:lineRule="auto"/>
        <w:rPr>
          <w:sz w:val="20"/>
          <w:szCs w:val="20"/>
          <w:color w:val="auto"/>
        </w:rPr>
      </w:pPr>
      <w:r>
        <w:rPr>
          <w:rFonts w:ascii="Arial" w:cs="Arial" w:eastAsia="Arial" w:hAnsi="Arial"/>
          <w:sz w:val="18"/>
          <w:szCs w:val="18"/>
          <w:b w:val="1"/>
          <w:bCs w:val="1"/>
          <w:color w:val="auto"/>
        </w:rPr>
        <w:t>THE BOARD OF DIRECTORS RECOMMENDS A VOTE “FOR” THE ELECTION OF EACH OF THE TWO NOMINEES NAMED ABOVE AS CLASS II DIRECTORS TO SERVE FOR A THREE-YEAR TERM.</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ADVISORY VOTE ON THE COMPENSATION OF OUR NAMED EXECUTIVE OFFICERS</w:t>
      </w:r>
    </w:p>
    <w:p>
      <w:pPr>
        <w:spacing w:after="0" w:line="194"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This stockholder advisory vote, commonly known as “say-on-pay,” is required pursuant to Section 14A of the Exchange Act and gives our stockholders the opportunity to approve or not approve, on a non-binding advisory basis, the compensation paid to our Chief Executive Officer and the other executive officers named in the Summary Compensation Table (named executive officers) as disclosed in this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a vote “FOR” the following resolution:</w:t>
      </w:r>
    </w:p>
    <w:p>
      <w:pPr>
        <w:spacing w:after="0" w:line="225"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“RESOLVED, that the stockholders of ALX Oncology Holdings Inc. approve, on an advisory basis, the compensation of the named executive officers, as disclosed in the proxy statement, including the Compensation Discussion and Analysis, the compensation tables and any related narrative discussion.”</w:t>
      </w:r>
    </w:p>
    <w:p>
      <w:pPr>
        <w:spacing w:after="0" w:line="18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 became a public company in July 2020 and since that time we have made important changes to our executive compensation program to reflect our transition from a private to public company. This is the first time we have included an advisory “say-on-pay” vote at the annual meeting of the stockholders, as our board of directors believes that stockholders will now be able to provide more meaningful feedback regarding the effectiveness of our executive compensation program and its relation to business outcomes of our company. Each year we intend to submit the executive compensation of our named executive officers to an advisory vote at our annual meeting of stockholders.</w:t>
      </w:r>
    </w:p>
    <w:p>
      <w:pPr>
        <w:spacing w:after="0" w:line="17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Compensation Discussion and Analysis, beginning on page 20, describes our executive compensation programs and the compensation decisions made by our compensation committee and board of directors for the fiscal year ended December 31, 2021 with respect to the named executive officers. As described in detail in the Compensation Discussion and Analysis and highlighted in the section titled “Executive Summary,” our compensation committee believes that the most effective compensation program is designed to provide a substantial portion of executive compensation in the form of variable, at-risk pay which is earned based on performance. Our compensation committee thoughtfully employs the primary compensation elements of base salary, annual cash incentives, and long-term equity awards, to achieve these objectives.</w:t>
      </w:r>
    </w:p>
    <w:p>
      <w:pPr>
        <w:spacing w:after="0" w:line="17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Our board of directors is asking you to support this proposal. Because this vote is advisory, it will not be binding on us, our compensation committee or our board of directors. However, our compensation committee and our board of directors will review the voting results in their entirety and take them into consideration when making future decisions regarding named executive officer compensation.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RECOMMENDS A VOTE “FOR”</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APPROVAL OF THE COMPENSATION OF OUR NAMED EXECUTIVE OFFICERS AS DISCLOSED IN THE PROXY STATEMENT.</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8" w:name="page29"/>
    <w:bookmarkEnd w:id="28"/>
    <w:p>
      <w:pPr>
        <w:ind w:left="4840"/>
        <w:spacing w:after="0"/>
        <w:rPr>
          <w:sz w:val="20"/>
          <w:szCs w:val="20"/>
          <w:color w:val="auto"/>
        </w:rPr>
      </w:pPr>
      <w:r>
        <w:rPr>
          <w:rFonts w:ascii="Arial" w:cs="Arial" w:eastAsia="Arial" w:hAnsi="Arial"/>
          <w:sz w:val="18"/>
          <w:szCs w:val="18"/>
          <w:b w:val="1"/>
          <w:bCs w:val="1"/>
          <w:color w:val="auto"/>
        </w:rPr>
        <w:t>PROPOSAL NO. 3</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ADVISORY VOTE ON THE FREQUENCY OF FUTURE ADVISORY VOTES ON</w:t>
      </w:r>
    </w:p>
    <w:p>
      <w:pPr>
        <w:jc w:val="center"/>
        <w:ind w:right="-19"/>
        <w:spacing w:after="0"/>
        <w:rPr>
          <w:sz w:val="20"/>
          <w:szCs w:val="20"/>
          <w:color w:val="auto"/>
        </w:rPr>
      </w:pPr>
      <w:r>
        <w:rPr>
          <w:rFonts w:ascii="Arial" w:cs="Arial" w:eastAsia="Arial" w:hAnsi="Arial"/>
          <w:sz w:val="18"/>
          <w:szCs w:val="18"/>
          <w:b w:val="1"/>
          <w:bCs w:val="1"/>
          <w:color w:val="auto"/>
        </w:rPr>
        <w:t>THE COMPENSATION OF OUR NAMED EXECUTIVE OFFICERS</w:t>
      </w:r>
    </w:p>
    <w:p>
      <w:pPr>
        <w:spacing w:after="0" w:line="1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accordance with The Dodd-Frank Wall Street Reform and Consumer Protection Act of 2010 and Section 14A of the Exchange Act, we must provide our stockholders with the opportunity to make a non-binding, advisory vote on the frequency of future advisory votes on named executive officer compensation (“say-on-frequency” vote). The non-binding, advisory “say-on-frequency” vote must be submitted to our stockholders at least once every six years.</w:t>
      </w:r>
    </w:p>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asking stockholders to indicate whether they prefer to cast future advisory votes on named executive officer compensation “EVERY YEAR,” “EVERY TWO YEARS” or “EVERY THREE YEARS.” Stockholders may also abstain from voting on this proposal. The frequency that receives the greatest number of votes cast by stockholders will be considered the advisory vote of our stockholders.</w:t>
      </w:r>
    </w:p>
    <w:p>
      <w:pPr>
        <w:spacing w:after="0" w:line="18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Our board of directors values the opinions of our stockholders and will consider the result of the “say-on-frequency” vote in determining the frequency with which we will hold future advisory votes on named executive officer compensation. However, the “say-on-frequency” vote is not binding. Our board of directors may determine that it is in the best interests of the company and our stockholders to hold an advisory vote on named executive officer compensation more or less frequently than the frequency that is selected by our stockholders.</w:t>
      </w:r>
    </w:p>
    <w:p>
      <w:pPr>
        <w:spacing w:after="0" w:line="187" w:lineRule="exact"/>
        <w:rPr>
          <w:sz w:val="20"/>
          <w:szCs w:val="20"/>
          <w:color w:val="auto"/>
        </w:rPr>
      </w:pPr>
    </w:p>
    <w:p>
      <w:pPr>
        <w:ind w:right="340"/>
        <w:spacing w:after="0" w:line="281" w:lineRule="auto"/>
        <w:rPr>
          <w:sz w:val="20"/>
          <w:szCs w:val="20"/>
          <w:color w:val="auto"/>
        </w:rPr>
      </w:pPr>
      <w:r>
        <w:rPr>
          <w:rFonts w:ascii="Arial" w:cs="Arial" w:eastAsia="Arial" w:hAnsi="Arial"/>
          <w:sz w:val="18"/>
          <w:szCs w:val="18"/>
          <w:color w:val="auto"/>
        </w:rPr>
        <w:t xml:space="preserve">After careful consideration, our board of directors recommends that future non-binding advisory votes on the compensation of our named executive officers be held </w:t>
      </w:r>
      <w:r>
        <w:rPr>
          <w:rFonts w:ascii="Arial" w:cs="Arial" w:eastAsia="Arial" w:hAnsi="Arial"/>
          <w:sz w:val="18"/>
          <w:szCs w:val="18"/>
          <w:b w:val="1"/>
          <w:bCs w:val="1"/>
          <w:color w:val="auto"/>
        </w:rPr>
        <w:t>every year</w:t>
      </w:r>
      <w:r>
        <w:rPr>
          <w:rFonts w:ascii="Arial" w:cs="Arial" w:eastAsia="Arial" w:hAnsi="Arial"/>
          <w:sz w:val="18"/>
          <w:szCs w:val="18"/>
          <w:color w:val="auto"/>
        </w:rPr>
        <w:t>.</w:t>
      </w:r>
    </w:p>
    <w:p>
      <w:pPr>
        <w:spacing w:after="0" w:line="136"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OUR BOARD OF DIRECTORS RECOMMENDS A VOTE FOR “EVERY YEAR”</w:t>
      </w:r>
    </w:p>
    <w:p>
      <w:pPr>
        <w:spacing w:after="0" w:line="2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ON THE FREQUENCY OF FUTURE ADVISORY VOTES ON</w:t>
      </w:r>
    </w:p>
    <w:p>
      <w:pPr>
        <w:jc w:val="center"/>
        <w:ind w:right="-19"/>
        <w:spacing w:after="0"/>
        <w:rPr>
          <w:sz w:val="20"/>
          <w:szCs w:val="20"/>
          <w:color w:val="auto"/>
        </w:rPr>
      </w:pPr>
      <w:r>
        <w:rPr>
          <w:rFonts w:ascii="Arial" w:cs="Arial" w:eastAsia="Arial" w:hAnsi="Arial"/>
          <w:sz w:val="18"/>
          <w:szCs w:val="18"/>
          <w:b w:val="1"/>
          <w:bCs w:val="1"/>
          <w:color w:val="auto"/>
        </w:rPr>
        <w:t>THE COMPENSATION OF OUR NAMED EXECUTIVE OFFICERS.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9" w:name="page30"/>
    <w:bookmarkEnd w:id="29"/>
    <w:p>
      <w:pPr>
        <w:ind w:left="4840"/>
        <w:spacing w:after="0"/>
        <w:rPr>
          <w:sz w:val="20"/>
          <w:szCs w:val="20"/>
          <w:color w:val="auto"/>
        </w:rPr>
      </w:pPr>
      <w:r>
        <w:rPr>
          <w:rFonts w:ascii="Arial" w:cs="Arial" w:eastAsia="Arial" w:hAnsi="Arial"/>
          <w:sz w:val="18"/>
          <w:szCs w:val="18"/>
          <w:b w:val="1"/>
          <w:bCs w:val="1"/>
          <w:color w:val="auto"/>
        </w:rPr>
        <w:t>PROPOSAL NO. 4</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RATIFICATION OF APPOINTMENT OF</w:t>
      </w:r>
    </w:p>
    <w:p>
      <w:pPr>
        <w:jc w:val="center"/>
        <w:ind w:right="2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9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Our audit committee has appointed KPMG LLP, an independent registered public accounting firm, to audit our financial statements for our fiscal year ending December 31, 2022. KPMG LLP has served as our independent registered public accounting firm since 2016.</w:t>
      </w:r>
    </w:p>
    <w:p>
      <w:pPr>
        <w:spacing w:after="0" w:line="13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At the Annual Meeting, our stockholders are being asked to ratify the appointment of KPMG LLP as our independent registered public accounting firm for our fiscal year ending December 31, 2022. Stockholder ratification of the appointment of KPMG LLP is not required by our Bylaws or other applicable legal requirements. However, our board of directors is submitting the appointment of KPMG LLP to our stockholders for ratification as a matter of good corporate governance. In the event that this appointment is not ratified by the affirmative vote of a majority of the shares present in person (including virtually) or represented by proxy at the Annual Meeting and entitled to vote, such appointment will be reconsidered by our audit committee. Even if the appointment is ratified, our audit committee, in its sole discretion, may appoint another independent registered public accounting firm at any time during our fiscal year ending December 31, 2022 if our audit committee believes that such a change would be in the best interests our company and our stockholders. A representative of KPMG LLP is expected to be present at the Annual Meeting, will have an opportunity to make a statement if he or she wishes to do so, and is expected to be available to respond to appropriate questions from stockholders.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10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following table presents fees for professional audit services and other services rendered to us by KPMG LLP for our fiscal years ended December 31, 2021 and 2020.</w:t>
      </w:r>
    </w:p>
    <w:p>
      <w:pPr>
        <w:spacing w:after="0" w:line="136"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20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Audit Fees(1)</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1,188,530</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1,381,242</w:t>
            </w:r>
          </w:p>
        </w:tc>
        <w:tc>
          <w:tcPr>
            <w:tcW w:w="60" w:type="dxa"/>
            <w:vAlign w:val="bottom"/>
            <w:shd w:val="clear" w:color="auto" w:fill="CFF0FC"/>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Audit-Related Fees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Tax Fees(2)</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6,320</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43,116</w:t>
            </w:r>
          </w:p>
        </w:tc>
        <w:tc>
          <w:tcPr>
            <w:tcW w:w="60" w:type="dxa"/>
            <w:vAlign w:val="bottom"/>
            <w:shd w:val="clear" w:color="auto" w:fill="CFF0FC"/>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All Other Fees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60" w:type="dxa"/>
            <w:vAlign w:val="bottom"/>
          </w:tcPr>
          <w:p>
            <w:pPr>
              <w:spacing w:after="0"/>
              <w:rPr>
                <w:sz w:val="18"/>
                <w:szCs w:val="18"/>
                <w:color w:val="auto"/>
              </w:rPr>
            </w:pPr>
          </w:p>
        </w:tc>
      </w:tr>
      <w:tr>
        <w:trPr>
          <w:trHeight w:val="20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Total Fees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1,194,850</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1,426,138</w:t>
            </w:r>
          </w:p>
        </w:tc>
        <w:tc>
          <w:tcPr>
            <w:tcW w:w="60" w:type="dxa"/>
            <w:vAlign w:val="bottom"/>
            <w:shd w:val="clear" w:color="auto" w:fill="CFF0FC"/>
          </w:tcPr>
          <w:p>
            <w:pPr>
              <w:spacing w:after="0"/>
              <w:rPr>
                <w:sz w:val="18"/>
                <w:szCs w:val="18"/>
                <w:color w:val="auto"/>
              </w:rPr>
            </w:pPr>
          </w:p>
        </w:tc>
      </w:tr>
    </w:tbl>
    <w:p>
      <w:pPr>
        <w:spacing w:after="0" w:line="224" w:lineRule="exact"/>
        <w:rPr>
          <w:sz w:val="20"/>
          <w:szCs w:val="20"/>
          <w:color w:val="auto"/>
        </w:rPr>
      </w:pPr>
    </w:p>
    <w:p>
      <w:pPr>
        <w:ind w:left="480" w:right="260" w:hanging="464"/>
        <w:spacing w:after="0" w:line="226" w:lineRule="auto"/>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“Audit fees” represent fees billed for professional services rendered for the audits of our annual consolidated financial statements, audit of internal controls, quarterly reviews of our consolidated financial statements, statutory audits, reviews of documents filed with the SEC, registration statements and comfort letters.</w:t>
      </w:r>
    </w:p>
    <w:p>
      <w:pPr>
        <w:ind w:left="480" w:hanging="464"/>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 Fees” consist of fees billed for professional services rendered by KPMG LLP for tax compliance, tax advice and tax planning.</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10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 our fiscal year ended December 31, 2021, there were no other professional services provided by KPMG LLP that would have required our audit committee to consider their compatibility with maintaining the independence of KPMG LLP.</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0" w:name="page31"/>
    <w:bookmarkEnd w:id="30"/>
    <w:p>
      <w:pPr>
        <w:ind w:right="900"/>
        <w:spacing w:after="0" w:line="296" w:lineRule="auto"/>
        <w:rPr>
          <w:sz w:val="20"/>
          <w:szCs w:val="20"/>
          <w:color w:val="auto"/>
        </w:rPr>
      </w:pPr>
      <w:r>
        <w:rPr>
          <w:rFonts w:ascii="Arial" w:cs="Arial" w:eastAsia="Arial" w:hAnsi="Arial"/>
          <w:sz w:val="18"/>
          <w:szCs w:val="18"/>
          <w:b w:val="1"/>
          <w:bCs w:val="1"/>
          <w:color w:val="auto"/>
        </w:rPr>
        <w:t>Audit Committee Policy on Pre-Approval of Audit and Permissible Non-Audit Services of Independent Registered Public Accounting Firm</w:t>
      </w:r>
    </w:p>
    <w:p>
      <w:pPr>
        <w:spacing w:after="0" w:line="1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audit committee has established a policy governing our use of the services of our independent registered public accounting firm. Under the policy, our audit committee is required to pre-approve all audit and permissible non-audit services performed by our independent registered public accounting firm in order to ensure that the provision of such services does not impair such accounting firm’s independence. All services provided by KPMG LLP for our fiscal years ended December 31, 2021 and December 31, 2020 were pre-approved by our audit committee.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0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ratification of the appointment of KPMG LLP as our independent registered public accounting firm for our fiscal year ending December 31, 2022 requires the affirmative vote of a majority of the shares of our common stock present in person (including virtually) or represented by proxy at the Annual Meeting and entitled to vote thereon. Abstentions will have the effect of a vote AGAINST this proposal, and broker non-votes will have no effect.</w:t>
      </w:r>
    </w:p>
    <w:p>
      <w:pPr>
        <w:spacing w:after="0" w:line="170" w:lineRule="exact"/>
        <w:rPr>
          <w:sz w:val="20"/>
          <w:szCs w:val="20"/>
          <w:color w:val="auto"/>
        </w:rPr>
      </w:pPr>
    </w:p>
    <w:p>
      <w:pPr>
        <w:jc w:val="center"/>
        <w:ind w:left="360" w:right="80"/>
        <w:spacing w:after="0" w:line="281" w:lineRule="auto"/>
        <w:rPr>
          <w:sz w:val="20"/>
          <w:szCs w:val="20"/>
          <w:color w:val="auto"/>
        </w:rPr>
      </w:pPr>
      <w:r>
        <w:rPr>
          <w:rFonts w:ascii="Arial" w:cs="Arial" w:eastAsia="Arial" w:hAnsi="Arial"/>
          <w:sz w:val="18"/>
          <w:szCs w:val="18"/>
          <w:b w:val="1"/>
          <w:bCs w:val="1"/>
          <w:color w:val="auto"/>
        </w:rPr>
        <w:t>THE BOARD OF DIRECTORS RECOMMENDS A VOTE “FOR” THE RATIFICATION OF THE APPOINTMENT OF KPMG LLP AS OUR INDEPENDENT REGISTERED PUBLIC ACCOUNTING FIRM FOR OUR FISCAL YEAR ENDING DECEMBER 31, 2022.</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88" w:right="419" w:bottom="1440" w:gutter="0" w:footer="0" w:header="0"/>
        </w:sectPr>
      </w:pPr>
    </w:p>
    <w:bookmarkStart w:id="31" w:name="page32"/>
    <w:bookmarkEnd w:id="31"/>
    <w:p>
      <w:pPr>
        <w:jc w:val="center"/>
        <w:ind w:right="40"/>
        <w:spacing w:after="0"/>
        <w:rPr>
          <w:sz w:val="20"/>
          <w:szCs w:val="20"/>
          <w:color w:val="auto"/>
        </w:rPr>
      </w:pPr>
      <w:r>
        <w:rPr>
          <w:rFonts w:ascii="Arial" w:cs="Arial" w:eastAsia="Arial" w:hAnsi="Arial"/>
          <w:sz w:val="18"/>
          <w:szCs w:val="18"/>
          <w:b w:val="1"/>
          <w:bCs w:val="1"/>
          <w:color w:val="auto"/>
        </w:rPr>
        <w:t>AUDIT COMMITTEE REPORT</w:t>
      </w:r>
    </w:p>
    <w:p>
      <w:pPr>
        <w:spacing w:after="0" w:line="225"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The audit committee is a committee of the board of directors comprised solely of independent directors as required by the listing standards of the Nasdaq Stock Market LLC and the rules and regulations of the Securities and Exchange Commission (the SEC). The composition of the audit committee, the attributes of its members and the responsibilities of the audit committee, as reflected in its charter, are intended to be in accordance with applicable requirements for corporate audit committees. The audit committee operates under a written charter approved by the board of directors, which is available on our website at https://ir.alxoncology.com/. The audit committee reviews and assesses the adequacy of its charter and the audit committee’s performance on an annual basis.</w:t>
      </w:r>
    </w:p>
    <w:p>
      <w:pPr>
        <w:spacing w:after="0" w:line="190"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With respect to the Company’s financial reporting process, the Company’s management is responsible for (1) establishing and maintaining internal controls and (2) preparing the Company’s financial statements. The Company’s independent registered public accounting firm, KPMG LLP (KPMG), is responsible for performing an independent audit of the Company’s financial statements. It is the responsibility of the audit committee to oversee these activities. It is not the responsibility of the audit committee to prepare the Company’s financial statements. These are the fundamental responsibilities of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the performance of its oversight function, the audit committee has:</w:t>
      </w:r>
    </w:p>
    <w:p>
      <w:pPr>
        <w:spacing w:after="0" w:line="198" w:lineRule="exact"/>
        <w:rPr>
          <w:sz w:val="20"/>
          <w:szCs w:val="20"/>
          <w:color w:val="auto"/>
        </w:rPr>
      </w:pPr>
    </w:p>
    <w:p>
      <w:pPr>
        <w:ind w:left="1020" w:hanging="450"/>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 KPMG;</w:t>
      </w:r>
    </w:p>
    <w:p>
      <w:pPr>
        <w:spacing w:after="0" w:line="238" w:lineRule="exact"/>
        <w:rPr>
          <w:rFonts w:ascii="Arial" w:cs="Arial" w:eastAsia="Arial" w:hAnsi="Arial"/>
          <w:sz w:val="18"/>
          <w:szCs w:val="18"/>
          <w:color w:val="auto"/>
        </w:rPr>
      </w:pPr>
    </w:p>
    <w:p>
      <w:pPr>
        <w:ind w:left="1020" w:right="220" w:hanging="450"/>
        <w:spacing w:after="0" w:line="256"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discussed with KPMG the matters required to be discussed by the applicable requirements of the Public Company Accounting Oversight Board (PCAOB) and the SEC; and</w:t>
      </w:r>
    </w:p>
    <w:p>
      <w:pPr>
        <w:spacing w:after="0" w:line="179" w:lineRule="exact"/>
        <w:rPr>
          <w:rFonts w:ascii="Arial" w:cs="Arial" w:eastAsia="Arial" w:hAnsi="Arial"/>
          <w:sz w:val="18"/>
          <w:szCs w:val="18"/>
          <w:color w:val="auto"/>
        </w:rPr>
      </w:pPr>
    </w:p>
    <w:p>
      <w:pPr>
        <w:ind w:left="1020" w:right="240" w:hanging="450"/>
        <w:spacing w:after="0" w:line="238"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KPMG required by applicable requirements of the PCAOB regarding the independent accountant’s communications with the audit committee concerning independence and has discussed with KPMG its independence.</w:t>
      </w:r>
    </w:p>
    <w:p>
      <w:pPr>
        <w:spacing w:after="0" w:line="18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Based on the audit committee’s review and discussions with management and KPMG, the audit committee recommended to the board of directors that the audited financial statements be included in the Company’s Annual Report on Form 10-K for the fiscal year ended December 31, 2021 for filing with the SEC.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Rekha Hemrajani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Jason Lettmann</w:t>
      </w:r>
    </w:p>
    <w:p>
      <w:pPr>
        <w:spacing w:after="0"/>
        <w:rPr>
          <w:sz w:val="20"/>
          <w:szCs w:val="20"/>
          <w:color w:val="auto"/>
        </w:rPr>
      </w:pPr>
      <w:r>
        <w:rPr>
          <w:rFonts w:ascii="Arial" w:cs="Arial" w:eastAsia="Arial" w:hAnsi="Arial"/>
          <w:sz w:val="18"/>
          <w:szCs w:val="18"/>
          <w:b w:val="1"/>
          <w:bCs w:val="1"/>
          <w:color w:val="auto"/>
        </w:rPr>
        <w:t>Jack Nielsen</w:t>
      </w:r>
    </w:p>
    <w:p>
      <w:pPr>
        <w:spacing w:after="0" w:line="19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i w:val="1"/>
          <w:iCs w:val="1"/>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(the Securities Act), or under the Securities Exchange Act of 1934, as amended (the Exchange Act), except to the extent that we specifically incorporate this information by reference, and will not otherwise be deemed “soliciting material” or “filed” under either the Securities Act or the Exchange Act.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EXECUTIVE OFFICERS</w:t>
      </w:r>
    </w:p>
    <w:p>
      <w:pPr>
        <w:spacing w:after="0" w:line="225"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The following table sets forth certain information about our executive officers as of March 31, 2022. Officers are elected by our board of directors to hold office until their successors are elected and qualified.</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3"/>
          </w:tcPr>
          <w:p>
            <w:pPr>
              <w:jc w:val="center"/>
              <w:ind w:left="515"/>
              <w:spacing w:after="0"/>
              <w:rPr>
                <w:sz w:val="20"/>
                <w:szCs w:val="20"/>
                <w:color w:val="auto"/>
              </w:rPr>
            </w:pPr>
            <w:r>
              <w:rPr>
                <w:rFonts w:ascii="Arial" w:cs="Arial" w:eastAsia="Arial" w:hAnsi="Arial"/>
                <w:sz w:val="14"/>
                <w:szCs w:val="14"/>
                <w:b w:val="1"/>
                <w:bCs w:val="1"/>
                <w:color w:val="auto"/>
                <w:w w:val="98"/>
              </w:rPr>
              <w:t>Age</w:t>
            </w:r>
          </w:p>
        </w:tc>
        <w:tc>
          <w:tcPr>
            <w:tcW w:w="316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240" w:type="dxa"/>
            <w:vAlign w:val="bottom"/>
            <w:gridSpan w:val="2"/>
          </w:tcPr>
          <w:p>
            <w:pPr>
              <w:spacing w:after="0" w:line="150" w:lineRule="exact"/>
              <w:rPr>
                <w:sz w:val="20"/>
                <w:szCs w:val="20"/>
                <w:color w:val="auto"/>
              </w:rPr>
            </w:pPr>
            <w:r>
              <w:rPr>
                <w:rFonts w:ascii="Arial" w:cs="Arial" w:eastAsia="Arial" w:hAnsi="Arial"/>
                <w:sz w:val="17"/>
                <w:szCs w:val="17"/>
                <w:color w:val="auto"/>
              </w:rPr>
              <w:t>Jaume Pons, Ph.D.</w:t>
            </w:r>
          </w:p>
        </w:tc>
        <w:tc>
          <w:tcPr>
            <w:tcW w:w="840" w:type="dxa"/>
            <w:vAlign w:val="bottom"/>
            <w:vMerge w:val="continue"/>
          </w:tcPr>
          <w:p>
            <w:pPr>
              <w:spacing w:after="0"/>
              <w:rPr>
                <w:sz w:val="13"/>
                <w:szCs w:val="13"/>
                <w:color w:val="auto"/>
              </w:rPr>
            </w:pPr>
          </w:p>
        </w:tc>
        <w:tc>
          <w:tcPr>
            <w:tcW w:w="260" w:type="dxa"/>
            <w:vAlign w:val="bottom"/>
          </w:tcPr>
          <w:p>
            <w:pPr>
              <w:jc w:val="center"/>
              <w:spacing w:after="0" w:line="150" w:lineRule="exact"/>
              <w:rPr>
                <w:sz w:val="20"/>
                <w:szCs w:val="20"/>
                <w:color w:val="auto"/>
              </w:rPr>
            </w:pPr>
            <w:r>
              <w:rPr>
                <w:rFonts w:ascii="Arial" w:cs="Arial" w:eastAsia="Arial" w:hAnsi="Arial"/>
                <w:sz w:val="17"/>
                <w:szCs w:val="17"/>
                <w:color w:val="auto"/>
              </w:rPr>
              <w:t>56</w:t>
            </w:r>
          </w:p>
        </w:tc>
        <w:tc>
          <w:tcPr>
            <w:tcW w:w="240" w:type="dxa"/>
            <w:vAlign w:val="bottom"/>
            <w:vMerge w:val="continue"/>
          </w:tcPr>
          <w:p>
            <w:pPr>
              <w:spacing w:after="0"/>
              <w:rPr>
                <w:sz w:val="13"/>
                <w:szCs w:val="13"/>
                <w:color w:val="auto"/>
              </w:rPr>
            </w:pPr>
          </w:p>
        </w:tc>
        <w:tc>
          <w:tcPr>
            <w:tcW w:w="4480" w:type="dxa"/>
            <w:vAlign w:val="bottom"/>
            <w:gridSpan w:val="3"/>
          </w:tcPr>
          <w:p>
            <w:pPr>
              <w:ind w:left="240"/>
              <w:spacing w:after="0" w:line="150" w:lineRule="exact"/>
              <w:rPr>
                <w:sz w:val="20"/>
                <w:szCs w:val="20"/>
                <w:color w:val="auto"/>
              </w:rPr>
            </w:pPr>
            <w:r>
              <w:rPr>
                <w:rFonts w:ascii="Arial" w:cs="Arial" w:eastAsia="Arial" w:hAnsi="Arial"/>
                <w:sz w:val="17"/>
                <w:szCs w:val="17"/>
                <w:color w:val="auto"/>
              </w:rPr>
              <w:t>Chief Executive Officer, President and Director</w:t>
            </w:r>
          </w:p>
        </w:tc>
        <w:tc>
          <w:tcPr>
            <w:tcW w:w="0" w:type="dxa"/>
            <w:vAlign w:val="bottom"/>
          </w:tcPr>
          <w:p>
            <w:pPr>
              <w:spacing w:after="0"/>
              <w:rPr>
                <w:sz w:val="1"/>
                <w:szCs w:val="1"/>
                <w:color w:val="auto"/>
              </w:rPr>
            </w:pPr>
          </w:p>
        </w:tc>
      </w:tr>
      <w:tr>
        <w:trPr>
          <w:trHeight w:val="189"/>
        </w:trPr>
        <w:tc>
          <w:tcPr>
            <w:tcW w:w="3240" w:type="dxa"/>
            <w:vAlign w:val="bottom"/>
            <w:gridSpan w:val="2"/>
          </w:tcPr>
          <w:p>
            <w:pPr>
              <w:spacing w:after="0" w:line="189" w:lineRule="exact"/>
              <w:rPr>
                <w:sz w:val="20"/>
                <w:szCs w:val="20"/>
                <w:color w:val="auto"/>
              </w:rPr>
            </w:pPr>
            <w:r>
              <w:rPr>
                <w:rFonts w:ascii="Arial" w:cs="Arial" w:eastAsia="Arial" w:hAnsi="Arial"/>
                <w:sz w:val="18"/>
                <w:szCs w:val="18"/>
                <w:color w:val="auto"/>
              </w:rPr>
              <w:t>Peter Garcia</w:t>
            </w:r>
          </w:p>
        </w:tc>
        <w:tc>
          <w:tcPr>
            <w:tcW w:w="1100" w:type="dxa"/>
            <w:vAlign w:val="bottom"/>
            <w:gridSpan w:val="2"/>
          </w:tcPr>
          <w:p>
            <w:pPr>
              <w:jc w:val="center"/>
              <w:ind w:left="775"/>
              <w:spacing w:after="0" w:line="189" w:lineRule="exact"/>
              <w:rPr>
                <w:sz w:val="20"/>
                <w:szCs w:val="20"/>
                <w:color w:val="auto"/>
              </w:rPr>
            </w:pPr>
            <w:r>
              <w:rPr>
                <w:rFonts w:ascii="Arial" w:cs="Arial" w:eastAsia="Arial" w:hAnsi="Arial"/>
                <w:sz w:val="18"/>
                <w:szCs w:val="18"/>
                <w:color w:val="auto"/>
                <w:w w:val="99"/>
              </w:rPr>
              <w:t>60</w:t>
            </w:r>
          </w:p>
        </w:tc>
        <w:tc>
          <w:tcPr>
            <w:tcW w:w="240" w:type="dxa"/>
            <w:vAlign w:val="bottom"/>
          </w:tcPr>
          <w:p>
            <w:pPr>
              <w:spacing w:after="0"/>
              <w:rPr>
                <w:sz w:val="16"/>
                <w:szCs w:val="16"/>
                <w:color w:val="auto"/>
              </w:rPr>
            </w:pPr>
          </w:p>
        </w:tc>
        <w:tc>
          <w:tcPr>
            <w:tcW w:w="4480" w:type="dxa"/>
            <w:vAlign w:val="bottom"/>
            <w:gridSpan w:val="3"/>
          </w:tcPr>
          <w:p>
            <w:pPr>
              <w:ind w:left="240"/>
              <w:spacing w:after="0" w:line="189" w:lineRule="exact"/>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189"/>
        </w:trPr>
        <w:tc>
          <w:tcPr>
            <w:tcW w:w="3240" w:type="dxa"/>
            <w:vAlign w:val="bottom"/>
            <w:gridSpan w:val="2"/>
          </w:tcPr>
          <w:p>
            <w:pPr>
              <w:spacing w:after="0" w:line="189" w:lineRule="exact"/>
              <w:rPr>
                <w:sz w:val="20"/>
                <w:szCs w:val="20"/>
                <w:color w:val="auto"/>
              </w:rPr>
            </w:pPr>
            <w:r>
              <w:rPr>
                <w:rFonts w:ascii="Arial" w:cs="Arial" w:eastAsia="Arial" w:hAnsi="Arial"/>
                <w:sz w:val="18"/>
                <w:szCs w:val="18"/>
                <w:color w:val="auto"/>
              </w:rPr>
              <w:t>Sophia Randolph, M.D., Ph.D.</w:t>
            </w:r>
          </w:p>
        </w:tc>
        <w:tc>
          <w:tcPr>
            <w:tcW w:w="1100" w:type="dxa"/>
            <w:vAlign w:val="bottom"/>
            <w:gridSpan w:val="2"/>
          </w:tcPr>
          <w:p>
            <w:pPr>
              <w:jc w:val="center"/>
              <w:ind w:left="775"/>
              <w:spacing w:after="0" w:line="189" w:lineRule="exact"/>
              <w:rPr>
                <w:sz w:val="20"/>
                <w:szCs w:val="20"/>
                <w:color w:val="auto"/>
              </w:rPr>
            </w:pPr>
            <w:r>
              <w:rPr>
                <w:rFonts w:ascii="Arial" w:cs="Arial" w:eastAsia="Arial" w:hAnsi="Arial"/>
                <w:sz w:val="18"/>
                <w:szCs w:val="18"/>
                <w:color w:val="auto"/>
                <w:w w:val="99"/>
              </w:rPr>
              <w:t>54</w:t>
            </w:r>
          </w:p>
        </w:tc>
        <w:tc>
          <w:tcPr>
            <w:tcW w:w="240" w:type="dxa"/>
            <w:vAlign w:val="bottom"/>
          </w:tcPr>
          <w:p>
            <w:pPr>
              <w:spacing w:after="0"/>
              <w:rPr>
                <w:sz w:val="16"/>
                <w:szCs w:val="16"/>
                <w:color w:val="auto"/>
              </w:rPr>
            </w:pPr>
          </w:p>
        </w:tc>
        <w:tc>
          <w:tcPr>
            <w:tcW w:w="4480" w:type="dxa"/>
            <w:vAlign w:val="bottom"/>
            <w:gridSpan w:val="3"/>
          </w:tcPr>
          <w:p>
            <w:pPr>
              <w:ind w:left="240"/>
              <w:spacing w:after="0" w:line="189" w:lineRule="exact"/>
              <w:rPr>
                <w:sz w:val="20"/>
                <w:szCs w:val="20"/>
                <w:color w:val="auto"/>
              </w:rPr>
            </w:pPr>
            <w:r>
              <w:rPr>
                <w:rFonts w:ascii="Arial" w:cs="Arial" w:eastAsia="Arial" w:hAnsi="Arial"/>
                <w:sz w:val="18"/>
                <w:szCs w:val="18"/>
                <w:color w:val="auto"/>
              </w:rPr>
              <w:t>Chief Medical Officer and Director</w:t>
            </w:r>
          </w:p>
        </w:tc>
        <w:tc>
          <w:tcPr>
            <w:tcW w:w="0" w:type="dxa"/>
            <w:vAlign w:val="bottom"/>
          </w:tcPr>
          <w:p>
            <w:pPr>
              <w:spacing w:after="0"/>
              <w:rPr>
                <w:sz w:val="1"/>
                <w:szCs w:val="1"/>
                <w:color w:val="auto"/>
              </w:rPr>
            </w:pPr>
          </w:p>
        </w:tc>
      </w:tr>
      <w:tr>
        <w:trPr>
          <w:trHeight w:val="239"/>
        </w:trPr>
        <w:tc>
          <w:tcPr>
            <w:tcW w:w="3240" w:type="dxa"/>
            <w:vAlign w:val="bottom"/>
            <w:gridSpan w:val="2"/>
          </w:tcPr>
          <w:p>
            <w:pPr>
              <w:spacing w:after="0"/>
              <w:rPr>
                <w:sz w:val="20"/>
                <w:szCs w:val="20"/>
                <w:color w:val="auto"/>
              </w:rPr>
            </w:pPr>
            <w:r>
              <w:rPr>
                <w:rFonts w:ascii="Arial" w:cs="Arial" w:eastAsia="Arial" w:hAnsi="Arial"/>
                <w:sz w:val="18"/>
                <w:szCs w:val="18"/>
                <w:color w:val="auto"/>
              </w:rPr>
              <w:t>Shelly Pinto</w:t>
            </w:r>
          </w:p>
        </w:tc>
        <w:tc>
          <w:tcPr>
            <w:tcW w:w="1100" w:type="dxa"/>
            <w:vAlign w:val="bottom"/>
            <w:gridSpan w:val="2"/>
          </w:tcPr>
          <w:p>
            <w:pPr>
              <w:jc w:val="center"/>
              <w:ind w:left="775"/>
              <w:spacing w:after="0"/>
              <w:rPr>
                <w:sz w:val="20"/>
                <w:szCs w:val="20"/>
                <w:color w:val="auto"/>
              </w:rPr>
            </w:pPr>
            <w:r>
              <w:rPr>
                <w:rFonts w:ascii="Arial" w:cs="Arial" w:eastAsia="Arial" w:hAnsi="Arial"/>
                <w:sz w:val="18"/>
                <w:szCs w:val="18"/>
                <w:color w:val="auto"/>
                <w:w w:val="99"/>
              </w:rPr>
              <w:t>46</w:t>
            </w:r>
          </w:p>
        </w:tc>
        <w:tc>
          <w:tcPr>
            <w:tcW w:w="240" w:type="dxa"/>
            <w:vAlign w:val="bottom"/>
          </w:tcPr>
          <w:p>
            <w:pPr>
              <w:spacing w:after="0"/>
              <w:rPr>
                <w:sz w:val="20"/>
                <w:szCs w:val="20"/>
                <w:color w:val="auto"/>
              </w:rPr>
            </w:pPr>
          </w:p>
        </w:tc>
        <w:tc>
          <w:tcPr>
            <w:tcW w:w="4480" w:type="dxa"/>
            <w:vAlign w:val="bottom"/>
            <w:gridSpan w:val="3"/>
          </w:tcPr>
          <w:p>
            <w:pPr>
              <w:ind w:left="240"/>
              <w:spacing w:after="0"/>
              <w:rPr>
                <w:sz w:val="20"/>
                <w:szCs w:val="20"/>
                <w:color w:val="auto"/>
              </w:rPr>
            </w:pPr>
            <w:r>
              <w:rPr>
                <w:rFonts w:ascii="Arial" w:cs="Arial" w:eastAsia="Arial" w:hAnsi="Arial"/>
                <w:sz w:val="18"/>
                <w:szCs w:val="18"/>
                <w:color w:val="auto"/>
                <w:w w:val="99"/>
              </w:rPr>
              <w:t>Vice President, Finance and Chief Accounting Officer</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For the biography of Dr. Pons, please see “Board of Directors and Corporate Governance—Continuing Directors.</w:t>
      </w:r>
    </w:p>
    <w:p>
      <w:pPr>
        <w:spacing w:after="0" w:line="239"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 xml:space="preserve">Peter Garcia </w:t>
      </w:r>
      <w:r>
        <w:rPr>
          <w:rFonts w:ascii="Arial" w:cs="Arial" w:eastAsia="Arial" w:hAnsi="Arial"/>
          <w:sz w:val="18"/>
          <w:szCs w:val="18"/>
          <w:color w:val="auto"/>
        </w:rPr>
        <w:t>has served as our Chief Financial Officer since January 2020. Prior to joining us, he served as Vice President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Financial Officer from May 2013 until August 2019 and as Acting Chief Accounting Officer from May 2013 until July 2013 at PDL BioPharma, Inc., an acquirer of royalties and pharmaceutical assets. From October 2011 to May 2013, Mr. Garcia served as Chief Financial Officer at BioTime, Inc., a clinical-stage biotechnology company now known as Lineage Cell Therapeutics. He previously served as Chief Financial Officer of six biotechnology and high technology companies, including Marina Biotech, Nanosys, Nuvelo, Novacept, IntraBiotics Pharmaceuticals and Dendreon. Mr. Garcia currently serves as a member of the board of directors of DURECT Corporation, </w:t>
      </w:r>
      <w:r>
        <w:rPr>
          <w:rFonts w:ascii="Arial" w:cs="Arial" w:eastAsia="Arial" w:hAnsi="Arial"/>
          <w:sz w:val="18"/>
          <w:szCs w:val="18"/>
          <w:color w:val="202124"/>
        </w:rPr>
        <w:t>a</w:t>
      </w:r>
      <w:r>
        <w:rPr>
          <w:rFonts w:ascii="Arial" w:cs="Arial" w:eastAsia="Arial" w:hAnsi="Arial"/>
          <w:sz w:val="18"/>
          <w:szCs w:val="18"/>
          <w:color w:val="auto"/>
        </w:rPr>
        <w:t xml:space="preserve"> </w:t>
      </w:r>
      <w:r>
        <w:rPr>
          <w:rFonts w:ascii="Arial" w:cs="Arial" w:eastAsia="Arial" w:hAnsi="Arial"/>
          <w:sz w:val="18"/>
          <w:szCs w:val="18"/>
          <w:color w:val="202124"/>
        </w:rPr>
        <w:t xml:space="preserve">biopharmaceutical company. He </w:t>
      </w:r>
      <w:r>
        <w:rPr>
          <w:rFonts w:ascii="Arial" w:cs="Arial" w:eastAsia="Arial" w:hAnsi="Arial"/>
          <w:sz w:val="18"/>
          <w:szCs w:val="18"/>
          <w:color w:val="000000"/>
        </w:rPr>
        <w:t>holds a B.A. in Economics and Sociology from Stanford University and an M.B.A. from the University of</w:t>
      </w:r>
      <w:r>
        <w:rPr>
          <w:rFonts w:ascii="Arial" w:cs="Arial" w:eastAsia="Arial" w:hAnsi="Arial"/>
          <w:sz w:val="18"/>
          <w:szCs w:val="18"/>
          <w:color w:val="202124"/>
        </w:rPr>
        <w:t xml:space="preserve"> </w:t>
      </w:r>
      <w:r>
        <w:rPr>
          <w:rFonts w:ascii="Arial" w:cs="Arial" w:eastAsia="Arial" w:hAnsi="Arial"/>
          <w:sz w:val="18"/>
          <w:szCs w:val="18"/>
          <w:color w:val="000000"/>
        </w:rPr>
        <w:t>California, Los Angeles.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For the biography of Dr. Randolph, please see “Board of Directors and Corporate Governance—Continuing Directors.”</w:t>
      </w:r>
    </w:p>
    <w:p>
      <w:pPr>
        <w:spacing w:after="0" w:line="225"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b w:val="1"/>
          <w:bCs w:val="1"/>
          <w:i w:val="1"/>
          <w:iCs w:val="1"/>
          <w:color w:val="auto"/>
        </w:rPr>
        <w:t xml:space="preserve">Shelly Pinto </w:t>
      </w:r>
      <w:r>
        <w:rPr>
          <w:rFonts w:ascii="Arial" w:cs="Arial" w:eastAsia="Arial" w:hAnsi="Arial"/>
          <w:sz w:val="18"/>
          <w:szCs w:val="18"/>
          <w:color w:val="auto"/>
        </w:rPr>
        <w:t>has served as our Vice President, Finance and Chief Accounting Officer since May 2021. Prior to joining us, she was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Tizona Therapeutics, Inc. from July 2016 to April 2021, where she served most recently as Vice President of Finance and Operations from October 2020 to April 2021. Ms. Pinto was the Controller at InSite Vision Inc. from December 2008 to July 2016, the Assistant Controller at Bare Escentuals, Inc. from May 2007 to November 2008, and Director of Corporate Accounting and Financial Reporting at Dreyer’s Grand Ice Cream Holdings, Inc. from March 2002 to May 2007. Ms. Pinto started her career within the audit practice at Deloitte and Touche LLP after graduating with a B.S.B.A. in Accounting from Montana State University.</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33" w:name="page34"/>
    <w:bookmarkEnd w:id="33"/>
    <w:p>
      <w:pPr>
        <w:jc w:val="center"/>
        <w:ind w:right="4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0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This Compensation Discussion and Analysis (CD&amp;A) describes the principles underlying the material components of our executive compensation program for our executive officers, including the named executive officers in the “Summary Compensation Table.” We also provide an overview of the overall objectives of the program and the factors relevant to an analysis of these policies and decisions and how we use our executive compensation program to drive our performance.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(or NEOs) for the year ended December 31, 2021 are: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1"/>
                <w:szCs w:val="21"/>
                <w:color w:val="auto"/>
              </w:rPr>
            </w:pPr>
          </w:p>
        </w:tc>
        <w:tc>
          <w:tcPr>
            <w:tcW w:w="5720" w:type="dxa"/>
            <w:vAlign w:val="bottom"/>
            <w:tcBorders>
              <w:bottom w:val="single" w:sz="8" w:color="auto"/>
            </w:tcBorders>
          </w:tcPr>
          <w:p>
            <w:pPr>
              <w:ind w:left="2680"/>
              <w:spacing w:after="0"/>
              <w:rPr>
                <w:sz w:val="20"/>
                <w:szCs w:val="20"/>
                <w:color w:val="auto"/>
              </w:rPr>
            </w:pPr>
            <w:r>
              <w:rPr>
                <w:rFonts w:ascii="Arial" w:cs="Arial" w:eastAsia="Arial" w:hAnsi="Arial"/>
                <w:sz w:val="18"/>
                <w:szCs w:val="18"/>
                <w:b w:val="1"/>
                <w:bCs w:val="1"/>
                <w:color w:val="auto"/>
              </w:rPr>
              <w:t>Title</w:t>
            </w:r>
          </w:p>
        </w:tc>
      </w:tr>
      <w:tr>
        <w:trPr>
          <w:trHeight w:val="150"/>
        </w:trPr>
        <w:tc>
          <w:tcPr>
            <w:tcW w:w="5300" w:type="dxa"/>
            <w:vAlign w:val="bottom"/>
          </w:tcPr>
          <w:p>
            <w:pPr>
              <w:ind w:left="20"/>
              <w:spacing w:after="0" w:line="150" w:lineRule="exact"/>
              <w:rPr>
                <w:sz w:val="20"/>
                <w:szCs w:val="20"/>
                <w:color w:val="auto"/>
              </w:rPr>
            </w:pPr>
            <w:r>
              <w:rPr>
                <w:rFonts w:ascii="Arial" w:cs="Arial" w:eastAsia="Arial" w:hAnsi="Arial"/>
                <w:sz w:val="17"/>
                <w:szCs w:val="17"/>
                <w:color w:val="auto"/>
              </w:rPr>
              <w:t>Jaume Pons, Ph.D.</w:t>
            </w:r>
          </w:p>
        </w:tc>
        <w:tc>
          <w:tcPr>
            <w:tcW w:w="220" w:type="dxa"/>
            <w:vAlign w:val="bottom"/>
          </w:tcPr>
          <w:p>
            <w:pPr>
              <w:spacing w:after="0"/>
              <w:rPr>
                <w:sz w:val="13"/>
                <w:szCs w:val="13"/>
                <w:color w:val="auto"/>
              </w:rPr>
            </w:pPr>
          </w:p>
        </w:tc>
        <w:tc>
          <w:tcPr>
            <w:tcW w:w="5720" w:type="dxa"/>
            <w:vAlign w:val="bottom"/>
          </w:tcPr>
          <w:p>
            <w:pPr>
              <w:spacing w:after="0" w:line="150" w:lineRule="exact"/>
              <w:rPr>
                <w:sz w:val="20"/>
                <w:szCs w:val="20"/>
                <w:color w:val="auto"/>
              </w:rPr>
            </w:pPr>
            <w:r>
              <w:rPr>
                <w:rFonts w:ascii="Arial" w:cs="Arial" w:eastAsia="Arial" w:hAnsi="Arial"/>
                <w:sz w:val="17"/>
                <w:szCs w:val="17"/>
                <w:color w:val="auto"/>
              </w:rPr>
              <w:t>President and Chief Executive Officer</w:t>
            </w:r>
          </w:p>
        </w:tc>
      </w:tr>
      <w:tr>
        <w:trPr>
          <w:trHeight w:val="189"/>
        </w:trPr>
        <w:tc>
          <w:tcPr>
            <w:tcW w:w="5300" w:type="dxa"/>
            <w:vAlign w:val="bottom"/>
          </w:tcPr>
          <w:p>
            <w:pPr>
              <w:ind w:left="20"/>
              <w:spacing w:after="0" w:line="189" w:lineRule="exact"/>
              <w:rPr>
                <w:sz w:val="20"/>
                <w:szCs w:val="20"/>
                <w:color w:val="auto"/>
              </w:rPr>
            </w:pPr>
            <w:r>
              <w:rPr>
                <w:rFonts w:ascii="Arial" w:cs="Arial" w:eastAsia="Arial" w:hAnsi="Arial"/>
                <w:sz w:val="18"/>
                <w:szCs w:val="18"/>
                <w:color w:val="auto"/>
              </w:rPr>
              <w:t>Peter Garcia</w:t>
            </w:r>
          </w:p>
        </w:tc>
        <w:tc>
          <w:tcPr>
            <w:tcW w:w="220" w:type="dxa"/>
            <w:vAlign w:val="bottom"/>
          </w:tcPr>
          <w:p>
            <w:pPr>
              <w:spacing w:after="0"/>
              <w:rPr>
                <w:sz w:val="16"/>
                <w:szCs w:val="16"/>
                <w:color w:val="auto"/>
              </w:rPr>
            </w:pPr>
          </w:p>
        </w:tc>
        <w:tc>
          <w:tcPr>
            <w:tcW w:w="5720" w:type="dxa"/>
            <w:vAlign w:val="bottom"/>
          </w:tcPr>
          <w:p>
            <w:pPr>
              <w:spacing w:after="0" w:line="189" w:lineRule="exact"/>
              <w:rPr>
                <w:sz w:val="20"/>
                <w:szCs w:val="20"/>
                <w:color w:val="auto"/>
              </w:rPr>
            </w:pPr>
            <w:r>
              <w:rPr>
                <w:rFonts w:ascii="Arial" w:cs="Arial" w:eastAsia="Arial" w:hAnsi="Arial"/>
                <w:sz w:val="18"/>
                <w:szCs w:val="18"/>
                <w:color w:val="auto"/>
              </w:rPr>
              <w:t>Chief Financial Officer</w:t>
            </w:r>
          </w:p>
        </w:tc>
      </w:tr>
      <w:tr>
        <w:trPr>
          <w:trHeight w:val="181"/>
        </w:trPr>
        <w:tc>
          <w:tcPr>
            <w:tcW w:w="5300" w:type="dxa"/>
            <w:vAlign w:val="bottom"/>
          </w:tcPr>
          <w:p>
            <w:pPr>
              <w:ind w:left="20"/>
              <w:spacing w:after="0" w:line="181" w:lineRule="exact"/>
              <w:rPr>
                <w:sz w:val="20"/>
                <w:szCs w:val="20"/>
                <w:color w:val="auto"/>
              </w:rPr>
            </w:pPr>
            <w:r>
              <w:rPr>
                <w:rFonts w:ascii="Arial" w:cs="Arial" w:eastAsia="Arial" w:hAnsi="Arial"/>
                <w:sz w:val="18"/>
                <w:szCs w:val="18"/>
                <w:color w:val="auto"/>
              </w:rPr>
              <w:t>Sophia Randolph, M.D., Ph.D.</w:t>
            </w:r>
          </w:p>
        </w:tc>
        <w:tc>
          <w:tcPr>
            <w:tcW w:w="220" w:type="dxa"/>
            <w:vAlign w:val="bottom"/>
          </w:tcPr>
          <w:p>
            <w:pPr>
              <w:spacing w:after="0"/>
              <w:rPr>
                <w:sz w:val="15"/>
                <w:szCs w:val="15"/>
                <w:color w:val="auto"/>
              </w:rPr>
            </w:pPr>
          </w:p>
        </w:tc>
        <w:tc>
          <w:tcPr>
            <w:tcW w:w="5720" w:type="dxa"/>
            <w:vAlign w:val="bottom"/>
          </w:tcPr>
          <w:p>
            <w:pPr>
              <w:spacing w:after="0" w:line="181" w:lineRule="exact"/>
              <w:rPr>
                <w:sz w:val="20"/>
                <w:szCs w:val="20"/>
                <w:color w:val="auto"/>
              </w:rPr>
            </w:pPr>
            <w:r>
              <w:rPr>
                <w:rFonts w:ascii="Arial" w:cs="Arial" w:eastAsia="Arial" w:hAnsi="Arial"/>
                <w:sz w:val="18"/>
                <w:szCs w:val="18"/>
                <w:color w:val="auto"/>
              </w:rPr>
              <w:t>Chief Medical Officer</w:t>
            </w:r>
          </w:p>
        </w:tc>
      </w:tr>
      <w:tr>
        <w:trPr>
          <w:trHeight w:val="189"/>
        </w:trPr>
        <w:tc>
          <w:tcPr>
            <w:tcW w:w="5300" w:type="dxa"/>
            <w:vAlign w:val="bottom"/>
          </w:tcPr>
          <w:p>
            <w:pPr>
              <w:ind w:left="20"/>
              <w:spacing w:after="0" w:line="189" w:lineRule="exact"/>
              <w:rPr>
                <w:sz w:val="20"/>
                <w:szCs w:val="20"/>
                <w:color w:val="auto"/>
              </w:rPr>
            </w:pPr>
            <w:r>
              <w:rPr>
                <w:rFonts w:ascii="Arial" w:cs="Arial" w:eastAsia="Arial" w:hAnsi="Arial"/>
                <w:sz w:val="16"/>
                <w:szCs w:val="16"/>
                <w:color w:val="auto"/>
              </w:rPr>
              <w:t>Shelly Pinto</w:t>
            </w:r>
            <w:r>
              <w:rPr>
                <w:rFonts w:ascii="Arial" w:cs="Arial" w:eastAsia="Arial" w:hAnsi="Arial"/>
                <w:sz w:val="21"/>
                <w:szCs w:val="21"/>
                <w:color w:val="auto"/>
                <w:vertAlign w:val="superscript"/>
              </w:rPr>
              <w:t>(1)</w:t>
            </w:r>
          </w:p>
        </w:tc>
        <w:tc>
          <w:tcPr>
            <w:tcW w:w="220" w:type="dxa"/>
            <w:vAlign w:val="bottom"/>
          </w:tcPr>
          <w:p>
            <w:pPr>
              <w:spacing w:after="0"/>
              <w:rPr>
                <w:sz w:val="16"/>
                <w:szCs w:val="16"/>
                <w:color w:val="auto"/>
              </w:rPr>
            </w:pPr>
          </w:p>
        </w:tc>
        <w:tc>
          <w:tcPr>
            <w:tcW w:w="5720" w:type="dxa"/>
            <w:vAlign w:val="bottom"/>
          </w:tcPr>
          <w:p>
            <w:pPr>
              <w:spacing w:after="0" w:line="189" w:lineRule="exact"/>
              <w:rPr>
                <w:sz w:val="20"/>
                <w:szCs w:val="20"/>
                <w:color w:val="auto"/>
              </w:rPr>
            </w:pPr>
            <w:r>
              <w:rPr>
                <w:rFonts w:ascii="Arial" w:cs="Arial" w:eastAsia="Arial" w:hAnsi="Arial"/>
                <w:sz w:val="18"/>
                <w:szCs w:val="18"/>
                <w:color w:val="auto"/>
              </w:rPr>
              <w:t>Vice President, Finance and Chief Accounting Officer</w:t>
            </w:r>
          </w:p>
        </w:tc>
      </w:tr>
      <w:tr>
        <w:trPr>
          <w:trHeight w:val="323"/>
        </w:trPr>
        <w:tc>
          <w:tcPr>
            <w:tcW w:w="5300" w:type="dxa"/>
            <w:vAlign w:val="bottom"/>
          </w:tcPr>
          <w:p>
            <w:pPr>
              <w:ind w:left="20"/>
              <w:spacing w:after="0"/>
              <w:rPr>
                <w:sz w:val="20"/>
                <w:szCs w:val="20"/>
                <w:color w:val="auto"/>
              </w:rPr>
            </w:pPr>
            <w:r>
              <w:rPr>
                <w:rFonts w:ascii="Arial" w:cs="Arial" w:eastAsia="Arial" w:hAnsi="Arial"/>
                <w:sz w:val="18"/>
                <w:szCs w:val="18"/>
                <w:color w:val="auto"/>
              </w:rPr>
              <w:t>Steffen Pietzke</w:t>
            </w:r>
            <w:r>
              <w:rPr>
                <w:rFonts w:ascii="Arial" w:cs="Arial" w:eastAsia="Arial" w:hAnsi="Arial"/>
                <w:sz w:val="24"/>
                <w:szCs w:val="24"/>
                <w:color w:val="auto"/>
                <w:vertAlign w:val="superscript"/>
              </w:rPr>
              <w:t>(2)</w:t>
            </w:r>
          </w:p>
        </w:tc>
        <w:tc>
          <w:tcPr>
            <w:tcW w:w="2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Former Vice President, Finance and Chief Accounting Officer</w:t>
            </w:r>
          </w:p>
        </w:tc>
      </w:tr>
    </w:tbl>
    <w:p>
      <w:pPr>
        <w:spacing w:after="0" w:line="105"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23"/>
          <w:szCs w:val="23"/>
          <w:color w:val="auto"/>
          <w:vertAlign w:val="superscript"/>
        </w:rPr>
      </w:pPr>
      <w:r>
        <w:rPr>
          <w:rFonts w:ascii="Arial" w:cs="Arial" w:eastAsia="Arial" w:hAnsi="Arial"/>
          <w:sz w:val="17"/>
          <w:szCs w:val="17"/>
          <w:color w:val="auto"/>
        </w:rPr>
        <w:t>Ms. Pinto was appointed as the Company’s Vice President, Finance and Chief Accounting Officer on May 3, 2021.</w:t>
      </w:r>
    </w:p>
    <w:p>
      <w:pPr>
        <w:spacing w:after="0" w:line="154" w:lineRule="exact"/>
        <w:rPr>
          <w:rFonts w:ascii="Arial" w:cs="Arial" w:eastAsia="Arial" w:hAnsi="Arial"/>
          <w:sz w:val="23"/>
          <w:szCs w:val="23"/>
          <w:color w:val="auto"/>
          <w:vertAlign w:val="superscript"/>
        </w:rPr>
      </w:pPr>
    </w:p>
    <w:p>
      <w:pPr>
        <w:ind w:left="200" w:hanging="192"/>
        <w:spacing w:after="0"/>
        <w:tabs>
          <w:tab w:leader="none" w:pos="200" w:val="left"/>
        </w:tabs>
        <w:numPr>
          <w:ilvl w:val="0"/>
          <w:numId w:val="25"/>
        </w:numPr>
        <w:rPr>
          <w:rFonts w:ascii="Arial" w:cs="Arial" w:eastAsia="Arial" w:hAnsi="Arial"/>
          <w:sz w:val="23"/>
          <w:szCs w:val="23"/>
          <w:color w:val="auto"/>
          <w:vertAlign w:val="superscript"/>
        </w:rPr>
      </w:pPr>
      <w:r>
        <w:rPr>
          <w:rFonts w:ascii="Arial" w:cs="Arial" w:eastAsia="Arial" w:hAnsi="Arial"/>
          <w:sz w:val="17"/>
          <w:szCs w:val="17"/>
          <w:color w:val="auto"/>
        </w:rPr>
        <w:t>Mr. Pietzke resigned as the Company’s Vice President, Finance and Chief Accounting Officer on March 31,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Background and 2021 Business Highlights</w:t>
      </w:r>
    </w:p>
    <w:p>
      <w:pPr>
        <w:spacing w:after="0" w:line="102"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We are a clinical-stage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evorpacept (also known as ALX148), will have a wide therapeutic window to block the “don’t eat me” signal on cancer cells, and to leverage the immune activation of broadly used anti-cancer agents through combination strategies.</w:t>
      </w:r>
    </w:p>
    <w:p>
      <w:pPr>
        <w:spacing w:after="0" w:line="175"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Our executive compensation program seeks to incentivize and reward strong corporate performance. Highlights of our 2021 corporate performance and executive compensation program are set forth below.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and Regulatory</w:t>
      </w:r>
    </w:p>
    <w:p>
      <w:pPr>
        <w:spacing w:after="0" w:line="88" w:lineRule="exact"/>
        <w:rPr>
          <w:sz w:val="20"/>
          <w:szCs w:val="20"/>
          <w:color w:val="auto"/>
        </w:rPr>
      </w:pPr>
    </w:p>
    <w:p>
      <w:pPr>
        <w:ind w:left="1020" w:right="480" w:hanging="437"/>
        <w:spacing w:after="0" w:line="256" w:lineRule="auto"/>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We dosed over 185 subjects with evorpacept across a range of hematologic and solid malignancies in combination with a number of leading anti-cancer agents. We plan to initiate additional studies in combination with leading anti-cancer agents.</w:t>
      </w:r>
    </w:p>
    <w:p>
      <w:pPr>
        <w:spacing w:after="0" w:line="219" w:lineRule="exact"/>
        <w:rPr>
          <w:rFonts w:ascii="Arial" w:cs="Arial" w:eastAsia="Arial" w:hAnsi="Arial"/>
          <w:sz w:val="18"/>
          <w:szCs w:val="18"/>
          <w:color w:val="auto"/>
        </w:rPr>
      </w:pPr>
    </w:p>
    <w:p>
      <w:pPr>
        <w:ind w:left="1020" w:right="200" w:hanging="450"/>
        <w:spacing w:after="0" w:line="238"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hematologic malignancies, we dosed 13 subjects for the treatment of myelodysplastic syndromes, or MDS, during 2021 and advanced evorpacept into clinical development for the treatment of acute myeloid leukemia, or AML, enrolling the first patient in a Phase 1 trial in October 2021.</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ind w:left="1020" w:right="160" w:hanging="450"/>
        <w:spacing w:after="0" w:line="233"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solid tumors, we have initiated two randomized Phase 2 trials of evorpacept for the treatment of first-line head and neck squamous cell carcinoma, or HNSCC, and dosed the first subject in the first trial in May 2021, and dosed the first subject in the second trial in July 2021. Our collaborator, Zymeworks, also initiated a Phase 1 trial for the treatment of advanced HER2-expressing breast cancer and enrolled the first subject in October 2021.</w:t>
      </w:r>
    </w:p>
    <w:p>
      <w:pPr>
        <w:spacing w:after="0" w:line="235" w:lineRule="exact"/>
        <w:rPr>
          <w:rFonts w:ascii="Arial" w:cs="Arial" w:eastAsia="Arial" w:hAnsi="Arial"/>
          <w:sz w:val="18"/>
          <w:szCs w:val="18"/>
          <w:color w:val="auto"/>
        </w:rPr>
      </w:pPr>
    </w:p>
    <w:p>
      <w:pPr>
        <w:ind w:left="1020" w:right="540" w:hanging="450"/>
        <w:spacing w:after="0" w:line="25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October 2021, we acquired ScalmiBio, a company specializing protein engineering and oncology in order to expand our pipeline of drug candidates.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Financings</w:t>
      </w:r>
    </w:p>
    <w:p>
      <w:pPr>
        <w:spacing w:after="0" w:line="102" w:lineRule="exact"/>
        <w:rPr>
          <w:sz w:val="20"/>
          <w:szCs w:val="20"/>
          <w:color w:val="auto"/>
        </w:rPr>
      </w:pPr>
    </w:p>
    <w:p>
      <w:pPr>
        <w:ind w:left="1020" w:right="260" w:hanging="450"/>
        <w:spacing w:after="0" w:line="238"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December 2021, we entered into a Sales Agreement with Cantor Fitzgerald &amp; Co. and Credit Suisse Securities (USA) LLC, pursuant to which we may offer and sell from time to time up to $150 million of shares of our common stock through at-the-market offerings.</w:t>
      </w:r>
    </w:p>
    <w:p>
      <w:pPr>
        <w:spacing w:after="0" w:line="167" w:lineRule="exact"/>
        <w:rPr>
          <w:rFonts w:ascii="Arial" w:cs="Arial" w:eastAsia="Arial" w:hAnsi="Arial"/>
          <w:sz w:val="18"/>
          <w:szCs w:val="18"/>
          <w:color w:val="auto"/>
        </w:rPr>
      </w:pPr>
    </w:p>
    <w:p>
      <w:pPr>
        <w:ind w:left="1020" w:hanging="450"/>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From inception through December 31, 2021, we have raised an aggregate of $545.3 million to fund our operations, of which</w:t>
      </w:r>
    </w:p>
    <w:p>
      <w:pPr>
        <w:ind w:left="1020" w:right="140"/>
        <w:spacing w:after="0" w:line="231" w:lineRule="auto"/>
        <w:rPr>
          <w:rFonts w:ascii="Arial" w:cs="Arial" w:eastAsia="Arial" w:hAnsi="Arial"/>
          <w:sz w:val="18"/>
          <w:szCs w:val="18"/>
          <w:color w:val="auto"/>
        </w:rPr>
      </w:pPr>
      <w:r>
        <w:rPr>
          <w:rFonts w:ascii="Arial" w:cs="Arial" w:eastAsia="Arial" w:hAnsi="Arial"/>
          <w:sz w:val="18"/>
          <w:szCs w:val="18"/>
          <w:color w:val="auto"/>
        </w:rPr>
        <w:t>$175.1 million were net proceeds from sales of our convertible preferred stock, $5.8 million were net proceeds from borrowings under a term loan, $169.5 million were net proceeds from our initial public offering and $194.9 million were net proceeds from our follow-on public offering.</w:t>
      </w:r>
    </w:p>
    <w:p>
      <w:pPr>
        <w:spacing w:after="0" w:line="18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have made significant progress on developing evorpacept, advancing preclinical programs, scaling up manufacturing, conducting clinical trials and providing administrative support for these operations and other internal corporate goals.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Executive Compensation Program</w:t>
      </w:r>
    </w:p>
    <w:p>
      <w:pPr>
        <w:spacing w:after="0" w:line="11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Our executive compensation program is designed to be competitive and appropriately balance our goals of attracting, engaging and retaining our executive officers and driving company performance. To align our executive officers’ interests with those of our stockholders and to motivate and reward individual initiative and effort, a substantial portion of each executive officer’s total target annual direct compensation opportunity (that is, base salary, target annual cash incentives, and equity awards) is “at-risk,” meaning the amounts paid to each executive officer will vary based on our Company performance and their contributions to that performance.</w:t>
      </w:r>
    </w:p>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Consistent with our philosophy of aligning executive pay with the short- and long-term performance of the Company, and to align the interests of management and stockholders, the Company’s compensation programs are designed to provide the majority of executive compensation in the form of variable, at-risk pay. Our compensation committee thoughtfully employs the primary compensation elements of base salary, short-term annual cash incentives, and long-term equity awards, to achieve these objectives.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35" w:name="page36"/>
    <w:bookmarkEnd w:id="35"/>
    <w:p>
      <w:pPr>
        <w:ind w:right="420"/>
        <w:spacing w:after="0" w:line="287" w:lineRule="auto"/>
        <w:rPr>
          <w:sz w:val="20"/>
          <w:szCs w:val="20"/>
          <w:color w:val="auto"/>
        </w:rPr>
      </w:pPr>
      <w:r>
        <w:rPr>
          <w:rFonts w:ascii="Arial" w:cs="Arial" w:eastAsia="Arial" w:hAnsi="Arial"/>
          <w:sz w:val="18"/>
          <w:szCs w:val="18"/>
          <w:color w:val="auto"/>
        </w:rPr>
        <w:t>In 2021, these primary elements of compensation for our Chief Executive Officer (CEO) and for our other NEOs comprised the following portions of their total target annual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100330</wp:posOffset>
            </wp:positionV>
            <wp:extent cx="5117465" cy="2348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1746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percentages above were calculated using base salary, target annual cash incentive compensation, and the grant date fair value of stock options. The percentages shown in the graph above for our NEOs other than our CEO are averages of the percentages applicable to the compensation element for each such NEO, other than our Former Vice President, Finance and Chief Accounting Officer, who did not remain eligible for any short-term annual cash incentive, or receive any equity awards, for 2021. The percentages for our current Vice President, Finance and Chief Accounting Officer, who was appointed on May 3, 2021, are not prorated. Similar to our industry-based peers, we rely on stock option grants for our NEOs’ equity-based compensation because they do not provide realizable value to the holder unless stockholders also benefit from a stock price increase.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Governance</w:t>
      </w:r>
    </w:p>
    <w:p>
      <w:pPr>
        <w:spacing w:after="0" w:line="1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With guidance from an independent compensation consultant, Compensia, we maintain sound compensation and governance standards, and we adopt best practices in establishing and administering policies in support of these standards. The compensation committee evaluates our executive compensation program regularly to ensure that it supports our short-term and long-term goals to compete for executive talent as well as protect our stockholders’ interests.</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Our pay-for-performance philosophy and compensation governance practices provide an appropriate framework to our executives to achieve our strategic goals without encouraging them to take excessive risks in their business decisions. Some of our practices include: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6" w:name="page37"/>
    <w:bookmarkEnd w:id="36"/>
    <w:p>
      <w:pPr>
        <w:ind w:left="5500"/>
        <w:spacing w:after="0"/>
        <w:rPr>
          <w:sz w:val="20"/>
          <w:szCs w:val="20"/>
          <w:color w:val="auto"/>
        </w:rPr>
      </w:pPr>
      <w:r>
        <w:rPr>
          <w:rFonts w:ascii="Arial" w:cs="Arial" w:eastAsia="Arial" w:hAnsi="Arial"/>
          <w:sz w:val="18"/>
          <w:szCs w:val="18"/>
          <w:b w:val="1"/>
          <w:bCs w:val="1"/>
          <w:color w:val="auto"/>
        </w:rPr>
        <w:t>What We Do</w:t>
      </w:r>
    </w:p>
    <w:p>
      <w:pPr>
        <w:spacing w:after="0" w:line="185" w:lineRule="exact"/>
        <w:rPr>
          <w:sz w:val="20"/>
          <w:szCs w:val="20"/>
          <w:color w:val="auto"/>
        </w:rPr>
      </w:pPr>
    </w:p>
    <w:p>
      <w:pPr>
        <w:ind w:left="800" w:hanging="788"/>
        <w:spacing w:after="0"/>
        <w:tabs>
          <w:tab w:leader="none" w:pos="800" w:val="left"/>
        </w:tabs>
        <w:numPr>
          <w:ilvl w:val="0"/>
          <w:numId w:val="29"/>
        </w:numPr>
        <w:rPr>
          <w:rFonts w:ascii="MS PGothic" w:cs="MS PGothic" w:eastAsia="MS PGothic" w:hAnsi="MS PGothic"/>
          <w:sz w:val="18"/>
          <w:szCs w:val="18"/>
          <w:color w:val="auto"/>
        </w:rPr>
      </w:pPr>
      <w:r>
        <w:rPr>
          <w:rFonts w:ascii="Arial" w:cs="Arial" w:eastAsia="Arial" w:hAnsi="Arial"/>
          <w:sz w:val="18"/>
          <w:szCs w:val="18"/>
          <w:color w:val="auto"/>
        </w:rPr>
        <w:t>Pay for performance philosophy and culture</w:t>
      </w:r>
    </w:p>
    <w:p>
      <w:pPr>
        <w:spacing w:after="0" w:line="184" w:lineRule="exact"/>
        <w:rPr>
          <w:rFonts w:ascii="MS PGothic" w:cs="MS PGothic" w:eastAsia="MS PGothic" w:hAnsi="MS PGothic"/>
          <w:sz w:val="18"/>
          <w:szCs w:val="18"/>
          <w:color w:val="auto"/>
        </w:rPr>
      </w:pPr>
    </w:p>
    <w:p>
      <w:pPr>
        <w:ind w:left="800" w:hanging="788"/>
        <w:spacing w:after="0"/>
        <w:tabs>
          <w:tab w:leader="none" w:pos="800" w:val="left"/>
        </w:tabs>
        <w:numPr>
          <w:ilvl w:val="0"/>
          <w:numId w:val="29"/>
        </w:numPr>
        <w:rPr>
          <w:rFonts w:ascii="MS PGothic" w:cs="MS PGothic" w:eastAsia="MS PGothic" w:hAnsi="MS PGothic"/>
          <w:sz w:val="18"/>
          <w:szCs w:val="18"/>
          <w:color w:val="auto"/>
        </w:rPr>
      </w:pPr>
      <w:r>
        <w:rPr>
          <w:rFonts w:ascii="Arial" w:cs="Arial" w:eastAsia="Arial" w:hAnsi="Arial"/>
          <w:sz w:val="18"/>
          <w:szCs w:val="18"/>
          <w:color w:val="auto"/>
        </w:rPr>
        <w:t>Promote closer alignment of compensation with stockholder interests</w:t>
      </w:r>
    </w:p>
    <w:p>
      <w:pPr>
        <w:spacing w:after="0" w:line="184" w:lineRule="exact"/>
        <w:rPr>
          <w:rFonts w:ascii="MS PGothic" w:cs="MS PGothic" w:eastAsia="MS PGothic" w:hAnsi="MS PGothic"/>
          <w:sz w:val="18"/>
          <w:szCs w:val="18"/>
          <w:color w:val="auto"/>
        </w:rPr>
      </w:pPr>
    </w:p>
    <w:p>
      <w:pPr>
        <w:ind w:left="800" w:hanging="788"/>
        <w:spacing w:after="0"/>
        <w:tabs>
          <w:tab w:leader="none" w:pos="800" w:val="left"/>
        </w:tabs>
        <w:numPr>
          <w:ilvl w:val="0"/>
          <w:numId w:val="29"/>
        </w:numPr>
        <w:rPr>
          <w:rFonts w:ascii="MS PGothic" w:cs="MS PGothic" w:eastAsia="MS PGothic" w:hAnsi="MS PGothic"/>
          <w:sz w:val="18"/>
          <w:szCs w:val="18"/>
          <w:color w:val="auto"/>
        </w:rPr>
      </w:pPr>
      <w:r>
        <w:rPr>
          <w:rFonts w:ascii="Arial" w:cs="Arial" w:eastAsia="Arial" w:hAnsi="Arial"/>
          <w:sz w:val="18"/>
          <w:szCs w:val="18"/>
          <w:color w:val="auto"/>
        </w:rPr>
        <w:t>Use relevant peer group to assist with setting pay</w:t>
      </w:r>
    </w:p>
    <w:p>
      <w:pPr>
        <w:spacing w:after="0" w:line="184" w:lineRule="exact"/>
        <w:rPr>
          <w:rFonts w:ascii="MS PGothic" w:cs="MS PGothic" w:eastAsia="MS PGothic" w:hAnsi="MS PGothic"/>
          <w:sz w:val="18"/>
          <w:szCs w:val="18"/>
          <w:color w:val="auto"/>
        </w:rPr>
      </w:pPr>
    </w:p>
    <w:p>
      <w:pPr>
        <w:ind w:left="800" w:hanging="788"/>
        <w:spacing w:after="0"/>
        <w:tabs>
          <w:tab w:leader="none" w:pos="800" w:val="left"/>
        </w:tabs>
        <w:numPr>
          <w:ilvl w:val="0"/>
          <w:numId w:val="29"/>
        </w:numPr>
        <w:rPr>
          <w:rFonts w:ascii="MS PGothic" w:cs="MS PGothic" w:eastAsia="MS PGothic" w:hAnsi="MS PGothic"/>
          <w:sz w:val="18"/>
          <w:szCs w:val="18"/>
          <w:color w:val="auto"/>
        </w:rPr>
      </w:pPr>
      <w:r>
        <w:rPr>
          <w:rFonts w:ascii="Arial" w:cs="Arial" w:eastAsia="Arial" w:hAnsi="Arial"/>
          <w:sz w:val="18"/>
          <w:szCs w:val="18"/>
          <w:color w:val="auto"/>
        </w:rPr>
        <w:t>Balanced mix of fixed and at-risk pay</w:t>
      </w:r>
    </w:p>
    <w:p>
      <w:pPr>
        <w:spacing w:after="0" w:line="184" w:lineRule="exact"/>
        <w:rPr>
          <w:rFonts w:ascii="MS PGothic" w:cs="MS PGothic" w:eastAsia="MS PGothic" w:hAnsi="MS PGothic"/>
          <w:sz w:val="18"/>
          <w:szCs w:val="18"/>
          <w:color w:val="auto"/>
        </w:rPr>
      </w:pPr>
    </w:p>
    <w:p>
      <w:pPr>
        <w:ind w:left="800" w:hanging="788"/>
        <w:spacing w:after="0"/>
        <w:tabs>
          <w:tab w:leader="none" w:pos="800" w:val="left"/>
        </w:tabs>
        <w:numPr>
          <w:ilvl w:val="0"/>
          <w:numId w:val="29"/>
        </w:numPr>
        <w:rPr>
          <w:rFonts w:ascii="MS PGothic" w:cs="MS PGothic" w:eastAsia="MS PGothic" w:hAnsi="MS PGothic"/>
          <w:sz w:val="18"/>
          <w:szCs w:val="18"/>
          <w:color w:val="auto"/>
        </w:rPr>
      </w:pPr>
      <w:r>
        <w:rPr>
          <w:rFonts w:ascii="Arial" w:cs="Arial" w:eastAsia="Arial" w:hAnsi="Arial"/>
          <w:sz w:val="18"/>
          <w:szCs w:val="18"/>
          <w:color w:val="auto"/>
        </w:rPr>
        <w:t>Robust anti-hedging and pledging policies</w:t>
      </w:r>
    </w:p>
    <w:p>
      <w:pPr>
        <w:spacing w:after="0" w:line="184" w:lineRule="exact"/>
        <w:rPr>
          <w:rFonts w:ascii="MS PGothic" w:cs="MS PGothic" w:eastAsia="MS PGothic" w:hAnsi="MS PGothic"/>
          <w:sz w:val="18"/>
          <w:szCs w:val="18"/>
          <w:color w:val="auto"/>
        </w:rPr>
      </w:pPr>
    </w:p>
    <w:p>
      <w:pPr>
        <w:ind w:left="800" w:hanging="788"/>
        <w:spacing w:after="0"/>
        <w:tabs>
          <w:tab w:leader="none" w:pos="800" w:val="left"/>
        </w:tabs>
        <w:numPr>
          <w:ilvl w:val="0"/>
          <w:numId w:val="29"/>
        </w:numPr>
        <w:rPr>
          <w:rFonts w:ascii="MS PGothic" w:cs="MS PGothic" w:eastAsia="MS PGothic" w:hAnsi="MS PGothic"/>
          <w:sz w:val="18"/>
          <w:szCs w:val="18"/>
          <w:color w:val="auto"/>
        </w:rPr>
      </w:pPr>
      <w:r>
        <w:rPr>
          <w:rFonts w:ascii="Arial" w:cs="Arial" w:eastAsia="Arial" w:hAnsi="Arial"/>
          <w:sz w:val="18"/>
          <w:szCs w:val="18"/>
          <w:color w:val="auto"/>
        </w:rPr>
        <w:t>Retain an independent compensation consultant</w:t>
      </w:r>
    </w:p>
    <w:p>
      <w:pPr>
        <w:spacing w:after="0" w:line="266"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What We Don’t Do</w:t>
      </w:r>
    </w:p>
    <w:p>
      <w:pPr>
        <w:spacing w:after="0" w:line="212" w:lineRule="exact"/>
        <w:rPr>
          <w:sz w:val="20"/>
          <w:szCs w:val="20"/>
          <w:color w:val="auto"/>
        </w:rPr>
      </w:pPr>
    </w:p>
    <w:p>
      <w:pPr>
        <w:ind w:left="800" w:hanging="788"/>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excessive severance payments</w:t>
      </w:r>
    </w:p>
    <w:p>
      <w:pPr>
        <w:spacing w:after="0" w:line="279" w:lineRule="exact"/>
        <w:rPr>
          <w:rFonts w:ascii="Arial" w:cs="Arial" w:eastAsia="Arial" w:hAnsi="Arial"/>
          <w:sz w:val="18"/>
          <w:szCs w:val="18"/>
          <w:color w:val="auto"/>
        </w:rPr>
      </w:pPr>
    </w:p>
    <w:p>
      <w:pPr>
        <w:ind w:left="800" w:hanging="788"/>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excessive perquisites</w:t>
      </w:r>
    </w:p>
    <w:p>
      <w:pPr>
        <w:spacing w:after="0" w:line="211" w:lineRule="exact"/>
        <w:rPr>
          <w:rFonts w:ascii="Arial" w:cs="Arial" w:eastAsia="Arial" w:hAnsi="Arial"/>
          <w:sz w:val="18"/>
          <w:szCs w:val="18"/>
          <w:color w:val="auto"/>
        </w:rPr>
      </w:pPr>
    </w:p>
    <w:p>
      <w:pPr>
        <w:ind w:left="800" w:hanging="788"/>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tax gross-ups for any golden parachute payments</w:t>
      </w:r>
    </w:p>
    <w:p>
      <w:pPr>
        <w:spacing w:after="0" w:line="211" w:lineRule="exact"/>
        <w:rPr>
          <w:rFonts w:ascii="Arial" w:cs="Arial" w:eastAsia="Arial" w:hAnsi="Arial"/>
          <w:sz w:val="18"/>
          <w:szCs w:val="18"/>
          <w:color w:val="auto"/>
        </w:rPr>
      </w:pPr>
    </w:p>
    <w:p>
      <w:pPr>
        <w:ind w:left="800" w:hanging="788"/>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special retirement plans for executive officers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Engagement</w:t>
      </w:r>
    </w:p>
    <w:p>
      <w:pPr>
        <w:spacing w:after="0" w:line="10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Company is committed to engagement with stockholders. We will review any feedback we receive from our stockholders about our executive compensation program to ensure that we understand key matters of interest to them, and to enable us to take that feedback into consideration for our compensation decisions.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10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goals of our executive compensation program are to attract, engage, and retain executive officers who share our vision and are deeply connected to our mission. Our overall compensation philosophy is market-based and enables our executive officers to share in the Company’s long-term success. We strive to incentivize these executive officers to achieve our short-term and long-term business objectives in order to increase long-term value and increase stockholder value. Our program combines competitive cash and equity award opportunities in the forms and proportions that we believe will motivate our executive officers to increase stockholder value over the long-term. We routinely review our policies and program design.</w:t>
      </w:r>
    </w:p>
    <w:p>
      <w:pPr>
        <w:spacing w:after="0" w:line="20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Our executive compensation program delivers excellent rewards in line with individual and company performance using the following specific compensation methods:</w:t>
      </w:r>
    </w:p>
    <w:p>
      <w:pPr>
        <w:spacing w:after="0" w:line="154" w:lineRule="exact"/>
        <w:rPr>
          <w:sz w:val="20"/>
          <w:szCs w:val="20"/>
          <w:color w:val="auto"/>
        </w:rPr>
      </w:pPr>
    </w:p>
    <w:p>
      <w:pPr>
        <w:ind w:left="1020" w:hanging="450"/>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paying competitive base salaries;</w:t>
      </w:r>
    </w:p>
    <w:p>
      <w:pPr>
        <w:spacing w:after="0" w:line="225" w:lineRule="exact"/>
        <w:rPr>
          <w:rFonts w:ascii="Arial" w:cs="Arial" w:eastAsia="Arial" w:hAnsi="Arial"/>
          <w:sz w:val="18"/>
          <w:szCs w:val="18"/>
          <w:color w:val="auto"/>
        </w:rPr>
      </w:pPr>
    </w:p>
    <w:p>
      <w:pPr>
        <w:ind w:left="1020" w:hanging="450"/>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rewarding our teams with a short-term incentive bonus plan opportunity; and</w:t>
      </w:r>
    </w:p>
    <w:p>
      <w:pPr>
        <w:spacing w:after="0" w:line="238" w:lineRule="exact"/>
        <w:rPr>
          <w:rFonts w:ascii="Arial" w:cs="Arial" w:eastAsia="Arial" w:hAnsi="Arial"/>
          <w:sz w:val="18"/>
          <w:szCs w:val="18"/>
          <w:color w:val="auto"/>
        </w:rPr>
      </w:pPr>
    </w:p>
    <w:p>
      <w:pPr>
        <w:ind w:left="1020" w:right="420" w:hanging="450"/>
        <w:spacing w:after="0" w:line="256"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awarding a higher percentage of target total direct compensation opportunity as long-term equity incentives to more closely align employee and stockholder interests over the long-term.</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6"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“Say-on-Pay” Voting</w:t>
      </w:r>
    </w:p>
    <w:p>
      <w:pPr>
        <w:spacing w:after="0" w:line="117"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In the prior year, we were an “emerging growth company” as defined in the Jumpstart Our Business Startups Act of 2012, as amended. Therefore, we were not required to hold a non-binding, advisory vote on the compensation of our named executive officers. At this annual general meeting, we will hold our first “say-on-pay” vote. Our compensation committee and our board of directors will consider the result of the “say-on-pay” vote, and the related “say-on-frequency” vote, as well as feedback received throughout the year, when making compensation decisions for our executive officers in the future because we value the opinions of our stockholders.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Determination Process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Committee and Board of Directors</w:t>
      </w:r>
    </w:p>
    <w:p>
      <w:pPr>
        <w:spacing w:after="0" w:line="102"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Our compensation committee is responsible for overseeing the total compensation of our executive officers. In this capacity, our compensation committee designs, implements, reviews, and approves all compensation for our CEO and our other executive officers. The compensation committee formally met two times during fiscal year 2021 to review and discuss matters related to compensation of our employees and executive officers and acted by written consent 1 time during fiscal year 2021. Some of these meetings were held with members of management in attendance and some were held in closed session. Most of the meetings also included representatives from our compensation consultant (as described below). Typically, the compensation committee reports to the board of directors on its discussions and on occasion seeks input from the board of directors regarding the decisions to be made and other actions to be taken with regard to our executive officers’ compensation. Our compensation committee’s recommendations regarding executive compensation are based on the compensation committee’s assessment of the performance of the Company and each individual executive officer, as well as other factors, such as prevailing industry trends and the competitive market for executive talent. The compensation committee makes the final decisions regarding executive compensation.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115"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In 2021, our CEO and CFO made recommendations to our compensation committee, attended certain compensation committee meetings and were involved in the process for determining our executive officers’ compensation, provided that neither our CEO or CFO made recommendations as to their own compensation or participated in compensation committee discussion of their own compensation. Our compensation committee considers management’s recommendations but is not required to follow any recommendations and may adjust compensation up or down as it determines in its discretion. Our compensation committee reviews the recommendations and other data and makes decisions as to each executive officer’s total compensation, as well as each individual pay component. During both compensation committee meetings in 2021, the compensation committee met in executive sessions and the Company’s CEO and CFO were not present during such sessions.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Independent Compensation Consultant</w:t>
      </w:r>
    </w:p>
    <w:p>
      <w:pPr>
        <w:spacing w:after="0" w:line="10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compensation committee is authorized to retain the services of one or more executive compensation advisors, as it sees fit, in connection with the establishment of our compensation programs and related policies. In 2021, our compensation committee retained Compensia as its independent compensation consultant to provide it with information, recommendations, and other advice relating to executive compensation on an ongoing basis. Accordingly, Compensia serves at the discretion of our compensation committee. Our compensation committee engaged Compensia to assist in developing an appropriate group of peer companies, to help us determine the appropriate level of overall compensation for our executive officers, as well as assess each separate element of compensation, with a goal of ensuring that the compensation we offer to our executive officers is competitive and fair.</w:t>
      </w:r>
    </w:p>
    <w:p>
      <w:pPr>
        <w:spacing w:after="0" w:line="18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Our compensation committee periodically considers and assesses Compensia’s independence, including whether Compensia has any potential conflicts of interest with our company or members of our compensation committee. In connection with Compensia’s engagement, our compensation committee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38" w:name="page39"/>
    <w:bookmarkEnd w:id="38"/>
    <w:p>
      <w:pPr>
        <w:ind w:right="880"/>
        <w:spacing w:after="0" w:line="287" w:lineRule="auto"/>
        <w:rPr>
          <w:sz w:val="20"/>
          <w:szCs w:val="20"/>
          <w:color w:val="auto"/>
        </w:rPr>
      </w:pPr>
      <w:r>
        <w:rPr>
          <w:rFonts w:ascii="Arial" w:cs="Arial" w:eastAsia="Arial" w:hAnsi="Arial"/>
          <w:sz w:val="18"/>
          <w:szCs w:val="18"/>
          <w:color w:val="auto"/>
        </w:rPr>
        <w:t>conducted such a review and concluded that it was not aware of any conflict of interest that had been raised by work performed by Compensia or the individual consultants employed by Compensia that perform services for our compensation committee.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Peer Group</w:t>
      </w:r>
    </w:p>
    <w:p>
      <w:pPr>
        <w:spacing w:after="0" w:line="1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compensation committee approves a peer group of companies as a reference group, based upon the analysis and recommendations of Compensia, to provide a broad perspective on competitive pay levels and practices. The peers are reviewed on an annual basis in light of the dynamic environment within our company and the industry more broadly. We undertake this review with Compensia, who also provides competitive market analysis of the base salary, annual cash incentive awards and long-term incentive compensation of our executive officers compared against our compensation peer group and reviews other market practices and trends.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Peer Group</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 June 2020, the compensation committee approved a peer group for use in assisting it with base salary and annual target bonus decisions.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used the following criteria in determining the appropriate peers:</w:t>
      </w:r>
    </w:p>
    <w:p>
      <w:pPr>
        <w:spacing w:after="0" w:line="207" w:lineRule="exact"/>
        <w:rPr>
          <w:sz w:val="20"/>
          <w:szCs w:val="20"/>
          <w:color w:val="auto"/>
        </w:rPr>
      </w:pPr>
    </w:p>
    <w:p>
      <w:pPr>
        <w:ind w:left="1020" w:hanging="450"/>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Industry Sector and Product Focus— </w:t>
      </w:r>
      <w:r>
        <w:rPr>
          <w:rFonts w:ascii="Arial" w:cs="Arial" w:eastAsia="Arial" w:hAnsi="Arial"/>
          <w:sz w:val="18"/>
          <w:szCs w:val="18"/>
          <w:color w:val="auto"/>
        </w:rPr>
        <w:t>Biotechnology and pharmaceutical companies;</w:t>
      </w:r>
    </w:p>
    <w:p>
      <w:pPr>
        <w:spacing w:after="0" w:line="238" w:lineRule="exact"/>
        <w:rPr>
          <w:rFonts w:ascii="Arial" w:cs="Arial" w:eastAsia="Arial" w:hAnsi="Arial"/>
          <w:sz w:val="18"/>
          <w:szCs w:val="18"/>
          <w:color w:val="auto"/>
        </w:rPr>
      </w:pPr>
    </w:p>
    <w:p>
      <w:pPr>
        <w:ind w:left="1020" w:hanging="450"/>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Stage— </w:t>
      </w:r>
      <w:r>
        <w:rPr>
          <w:rFonts w:ascii="Arial" w:cs="Arial" w:eastAsia="Arial" w:hAnsi="Arial"/>
          <w:sz w:val="18"/>
          <w:szCs w:val="18"/>
          <w:color w:val="auto"/>
        </w:rPr>
        <w:t>Pre-commercial, developmental-stage companies with a focus on Phase 1, Phase 2 and Phase 3 companies;</w:t>
      </w:r>
    </w:p>
    <w:p>
      <w:pPr>
        <w:spacing w:after="0" w:line="225" w:lineRule="exact"/>
        <w:rPr>
          <w:rFonts w:ascii="Arial" w:cs="Arial" w:eastAsia="Arial" w:hAnsi="Arial"/>
          <w:sz w:val="18"/>
          <w:szCs w:val="18"/>
          <w:color w:val="auto"/>
        </w:rPr>
      </w:pPr>
    </w:p>
    <w:p>
      <w:pPr>
        <w:ind w:left="1020" w:hanging="450"/>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Market Capitalization— </w:t>
      </w:r>
      <w:r>
        <w:rPr>
          <w:rFonts w:ascii="Arial" w:cs="Arial" w:eastAsia="Arial" w:hAnsi="Arial"/>
          <w:sz w:val="18"/>
          <w:szCs w:val="18"/>
          <w:color w:val="auto"/>
        </w:rPr>
        <w:t>Range of approximately $300 million to $1.2 billion;</w:t>
      </w:r>
    </w:p>
    <w:p>
      <w:pPr>
        <w:spacing w:after="0" w:line="225" w:lineRule="exact"/>
        <w:rPr>
          <w:rFonts w:ascii="Arial" w:cs="Arial" w:eastAsia="Arial" w:hAnsi="Arial"/>
          <w:sz w:val="18"/>
          <w:szCs w:val="18"/>
          <w:color w:val="auto"/>
        </w:rPr>
      </w:pPr>
    </w:p>
    <w:p>
      <w:pPr>
        <w:ind w:left="1020" w:hanging="450"/>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Employee Headcount— </w:t>
      </w:r>
      <w:r>
        <w:rPr>
          <w:rFonts w:ascii="Arial" w:cs="Arial" w:eastAsia="Arial" w:hAnsi="Arial"/>
          <w:sz w:val="18"/>
          <w:szCs w:val="18"/>
          <w:color w:val="auto"/>
        </w:rPr>
        <w:t>Up to 393 employees; and</w:t>
      </w:r>
    </w:p>
    <w:p>
      <w:pPr>
        <w:spacing w:after="0" w:line="238" w:lineRule="exact"/>
        <w:rPr>
          <w:rFonts w:ascii="Arial" w:cs="Arial" w:eastAsia="Arial" w:hAnsi="Arial"/>
          <w:sz w:val="18"/>
          <w:szCs w:val="18"/>
          <w:color w:val="auto"/>
        </w:rPr>
      </w:pPr>
    </w:p>
    <w:p>
      <w:pPr>
        <w:ind w:left="1020" w:hanging="450"/>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Primarily Biotechnology hub markets</w:t>
      </w:r>
    </w:p>
    <w:p>
      <w:pPr>
        <w:spacing w:after="0" w:line="21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Based on these criteria and considerations, our peer group for 2020, referred to as our 2020 peer group, as approved by our compensation committee, consisted of the following 18 companies: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Arcus Biosciences</w:t>
            </w:r>
          </w:p>
        </w:tc>
        <w:tc>
          <w:tcPr>
            <w:tcW w:w="3780" w:type="dxa"/>
            <w:vAlign w:val="bottom"/>
          </w:tcPr>
          <w:p>
            <w:pPr>
              <w:ind w:left="1020"/>
              <w:spacing w:after="0"/>
              <w:rPr>
                <w:sz w:val="20"/>
                <w:szCs w:val="20"/>
                <w:color w:val="auto"/>
              </w:rPr>
            </w:pPr>
            <w:r>
              <w:rPr>
                <w:rFonts w:ascii="Arial" w:cs="Arial" w:eastAsia="Arial" w:hAnsi="Arial"/>
                <w:sz w:val="18"/>
                <w:szCs w:val="18"/>
                <w:color w:val="auto"/>
              </w:rPr>
              <w:t>Harpoon Therapeutics</w:t>
            </w:r>
          </w:p>
        </w:tc>
        <w:tc>
          <w:tcPr>
            <w:tcW w:w="2920" w:type="dxa"/>
            <w:vAlign w:val="bottom"/>
          </w:tcPr>
          <w:p>
            <w:pPr>
              <w:ind w:left="980"/>
              <w:spacing w:after="0"/>
              <w:rPr>
                <w:sz w:val="20"/>
                <w:szCs w:val="20"/>
                <w:color w:val="auto"/>
              </w:rPr>
            </w:pPr>
            <w:r>
              <w:rPr>
                <w:rFonts w:ascii="Arial" w:cs="Arial" w:eastAsia="Arial" w:hAnsi="Arial"/>
                <w:sz w:val="18"/>
                <w:szCs w:val="18"/>
                <w:color w:val="auto"/>
              </w:rPr>
              <w:t>NextCure</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Atara Biotherapeutics</w:t>
            </w:r>
          </w:p>
        </w:tc>
        <w:tc>
          <w:tcPr>
            <w:tcW w:w="3780" w:type="dxa"/>
            <w:vAlign w:val="bottom"/>
          </w:tcPr>
          <w:p>
            <w:pPr>
              <w:ind w:left="1020"/>
              <w:spacing w:after="0"/>
              <w:rPr>
                <w:sz w:val="20"/>
                <w:szCs w:val="20"/>
                <w:color w:val="auto"/>
              </w:rPr>
            </w:pPr>
            <w:r>
              <w:rPr>
                <w:rFonts w:ascii="Arial" w:cs="Arial" w:eastAsia="Arial" w:hAnsi="Arial"/>
                <w:sz w:val="18"/>
                <w:szCs w:val="18"/>
                <w:color w:val="auto"/>
              </w:rPr>
              <w:t>ImmunoGen</w:t>
            </w:r>
          </w:p>
        </w:tc>
        <w:tc>
          <w:tcPr>
            <w:tcW w:w="2920" w:type="dxa"/>
            <w:vAlign w:val="bottom"/>
          </w:tcPr>
          <w:p>
            <w:pPr>
              <w:ind w:left="980"/>
              <w:spacing w:after="0"/>
              <w:rPr>
                <w:sz w:val="20"/>
                <w:szCs w:val="20"/>
                <w:color w:val="auto"/>
              </w:rPr>
            </w:pPr>
            <w:r>
              <w:rPr>
                <w:rFonts w:ascii="Arial" w:cs="Arial" w:eastAsia="Arial" w:hAnsi="Arial"/>
                <w:sz w:val="18"/>
                <w:szCs w:val="18"/>
                <w:color w:val="auto"/>
              </w:rPr>
              <w:t>Replimune Group</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Atreca</w:t>
            </w:r>
          </w:p>
        </w:tc>
        <w:tc>
          <w:tcPr>
            <w:tcW w:w="3780" w:type="dxa"/>
            <w:vAlign w:val="bottom"/>
          </w:tcPr>
          <w:p>
            <w:pPr>
              <w:ind w:left="1020"/>
              <w:spacing w:after="0"/>
              <w:rPr>
                <w:sz w:val="20"/>
                <w:szCs w:val="20"/>
                <w:color w:val="auto"/>
              </w:rPr>
            </w:pPr>
            <w:r>
              <w:rPr>
                <w:rFonts w:ascii="Arial" w:cs="Arial" w:eastAsia="Arial" w:hAnsi="Arial"/>
                <w:sz w:val="18"/>
                <w:szCs w:val="18"/>
                <w:color w:val="auto"/>
              </w:rPr>
              <w:t>Krystal Biotech</w:t>
            </w:r>
          </w:p>
        </w:tc>
        <w:tc>
          <w:tcPr>
            <w:tcW w:w="2920" w:type="dxa"/>
            <w:vAlign w:val="bottom"/>
          </w:tcPr>
          <w:p>
            <w:pPr>
              <w:ind w:left="980"/>
              <w:spacing w:after="0"/>
              <w:rPr>
                <w:sz w:val="20"/>
                <w:szCs w:val="20"/>
                <w:color w:val="auto"/>
              </w:rPr>
            </w:pPr>
            <w:r>
              <w:rPr>
                <w:rFonts w:ascii="Arial" w:cs="Arial" w:eastAsia="Arial" w:hAnsi="Arial"/>
                <w:sz w:val="18"/>
                <w:szCs w:val="18"/>
                <w:color w:val="auto"/>
                <w:w w:val="98"/>
              </w:rPr>
              <w:t>Rocket Pharmaceuticals</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Calithera Biosciences</w:t>
            </w:r>
          </w:p>
        </w:tc>
        <w:tc>
          <w:tcPr>
            <w:tcW w:w="3780" w:type="dxa"/>
            <w:vAlign w:val="bottom"/>
          </w:tcPr>
          <w:p>
            <w:pPr>
              <w:ind w:left="1020"/>
              <w:spacing w:after="0"/>
              <w:rPr>
                <w:sz w:val="20"/>
                <w:szCs w:val="20"/>
                <w:color w:val="auto"/>
              </w:rPr>
            </w:pPr>
            <w:r>
              <w:rPr>
                <w:rFonts w:ascii="Arial" w:cs="Arial" w:eastAsia="Arial" w:hAnsi="Arial"/>
                <w:sz w:val="18"/>
                <w:szCs w:val="18"/>
                <w:color w:val="auto"/>
              </w:rPr>
              <w:t>Kura Oncology</w:t>
            </w:r>
          </w:p>
        </w:tc>
        <w:tc>
          <w:tcPr>
            <w:tcW w:w="2920" w:type="dxa"/>
            <w:vAlign w:val="bottom"/>
          </w:tcPr>
          <w:p>
            <w:pPr>
              <w:ind w:left="980"/>
              <w:spacing w:after="0"/>
              <w:rPr>
                <w:sz w:val="20"/>
                <w:szCs w:val="20"/>
                <w:color w:val="auto"/>
              </w:rPr>
            </w:pPr>
            <w:r>
              <w:rPr>
                <w:rFonts w:ascii="Arial" w:cs="Arial" w:eastAsia="Arial" w:hAnsi="Arial"/>
                <w:sz w:val="18"/>
                <w:szCs w:val="18"/>
                <w:color w:val="auto"/>
              </w:rPr>
              <w:t>Syros Pharmaceuticals</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Cue Biopharma</w:t>
            </w:r>
          </w:p>
        </w:tc>
        <w:tc>
          <w:tcPr>
            <w:tcW w:w="3780" w:type="dxa"/>
            <w:vAlign w:val="bottom"/>
          </w:tcPr>
          <w:p>
            <w:pPr>
              <w:ind w:left="1020"/>
              <w:spacing w:after="0"/>
              <w:rPr>
                <w:sz w:val="20"/>
                <w:szCs w:val="20"/>
                <w:color w:val="auto"/>
              </w:rPr>
            </w:pPr>
            <w:r>
              <w:rPr>
                <w:rFonts w:ascii="Arial" w:cs="Arial" w:eastAsia="Arial" w:hAnsi="Arial"/>
                <w:sz w:val="18"/>
                <w:szCs w:val="18"/>
                <w:color w:val="auto"/>
              </w:rPr>
              <w:t>Mersana Therapeutics</w:t>
            </w:r>
          </w:p>
        </w:tc>
        <w:tc>
          <w:tcPr>
            <w:tcW w:w="2920" w:type="dxa"/>
            <w:vAlign w:val="bottom"/>
          </w:tcPr>
          <w:p>
            <w:pPr>
              <w:ind w:left="980"/>
              <w:spacing w:after="0"/>
              <w:rPr>
                <w:sz w:val="20"/>
                <w:szCs w:val="20"/>
                <w:color w:val="auto"/>
              </w:rPr>
            </w:pPr>
            <w:r>
              <w:rPr>
                <w:rFonts w:ascii="Arial" w:cs="Arial" w:eastAsia="Arial" w:hAnsi="Arial"/>
                <w:sz w:val="18"/>
                <w:szCs w:val="18"/>
                <w:color w:val="auto"/>
              </w:rPr>
              <w:t>Trillium Therapeutics</w:t>
            </w:r>
          </w:p>
        </w:tc>
      </w:tr>
      <w:tr>
        <w:trPr>
          <w:trHeight w:val="239"/>
        </w:trPr>
        <w:tc>
          <w:tcPr>
            <w:tcW w:w="2740" w:type="dxa"/>
            <w:vAlign w:val="bottom"/>
          </w:tcPr>
          <w:p>
            <w:pPr>
              <w:spacing w:after="0"/>
              <w:rPr>
                <w:sz w:val="20"/>
                <w:szCs w:val="20"/>
                <w:color w:val="auto"/>
              </w:rPr>
            </w:pPr>
            <w:r>
              <w:rPr>
                <w:rFonts w:ascii="Arial" w:cs="Arial" w:eastAsia="Arial" w:hAnsi="Arial"/>
                <w:sz w:val="18"/>
                <w:szCs w:val="18"/>
                <w:color w:val="auto"/>
              </w:rPr>
              <w:t>CytomX Therapeutics</w:t>
            </w:r>
          </w:p>
        </w:tc>
        <w:tc>
          <w:tcPr>
            <w:tcW w:w="3780" w:type="dxa"/>
            <w:vAlign w:val="bottom"/>
          </w:tcPr>
          <w:p>
            <w:pPr>
              <w:ind w:left="1020"/>
              <w:spacing w:after="0"/>
              <w:rPr>
                <w:sz w:val="20"/>
                <w:szCs w:val="20"/>
                <w:color w:val="auto"/>
              </w:rPr>
            </w:pPr>
            <w:r>
              <w:rPr>
                <w:rFonts w:ascii="Arial" w:cs="Arial" w:eastAsia="Arial" w:hAnsi="Arial"/>
                <w:sz w:val="18"/>
                <w:szCs w:val="18"/>
                <w:color w:val="auto"/>
              </w:rPr>
              <w:t>Molecular Templates</w:t>
            </w:r>
          </w:p>
        </w:tc>
        <w:tc>
          <w:tcPr>
            <w:tcW w:w="2920" w:type="dxa"/>
            <w:vAlign w:val="bottom"/>
          </w:tcPr>
          <w:p>
            <w:pPr>
              <w:ind w:left="980"/>
              <w:spacing w:after="0"/>
              <w:rPr>
                <w:sz w:val="20"/>
                <w:szCs w:val="20"/>
                <w:color w:val="auto"/>
              </w:rPr>
            </w:pPr>
            <w:r>
              <w:rPr>
                <w:rFonts w:ascii="Arial" w:cs="Arial" w:eastAsia="Arial" w:hAnsi="Arial"/>
                <w:sz w:val="18"/>
                <w:szCs w:val="18"/>
                <w:color w:val="auto"/>
              </w:rPr>
              <w:t>Ziopharm Oncology</w:t>
            </w:r>
          </w:p>
        </w:tc>
      </w:tr>
    </w:tbl>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Peer Group</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 May 2021, the compensation committee approved a peer group for use in assisting it with base salary and annual target bonus decisions.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used the following criteria in determining the appropriate peers:</w:t>
      </w:r>
    </w:p>
    <w:p>
      <w:pPr>
        <w:spacing w:after="0" w:line="194" w:lineRule="exact"/>
        <w:rPr>
          <w:sz w:val="20"/>
          <w:szCs w:val="20"/>
          <w:color w:val="auto"/>
        </w:rPr>
      </w:pPr>
    </w:p>
    <w:p>
      <w:pPr>
        <w:ind w:left="1020" w:hanging="450"/>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Industry Sector and Product Focus— </w:t>
      </w:r>
      <w:r>
        <w:rPr>
          <w:rFonts w:ascii="Arial" w:cs="Arial" w:eastAsia="Arial" w:hAnsi="Arial"/>
          <w:sz w:val="18"/>
          <w:szCs w:val="18"/>
          <w:color w:val="auto"/>
        </w:rPr>
        <w:t>Biotechnology and pharmaceutical companies;</w:t>
      </w:r>
    </w:p>
    <w:p>
      <w:pPr>
        <w:spacing w:after="0" w:line="225" w:lineRule="exact"/>
        <w:rPr>
          <w:rFonts w:ascii="Arial" w:cs="Arial" w:eastAsia="Arial" w:hAnsi="Arial"/>
          <w:sz w:val="18"/>
          <w:szCs w:val="18"/>
          <w:color w:val="auto"/>
        </w:rPr>
      </w:pPr>
    </w:p>
    <w:p>
      <w:pPr>
        <w:ind w:left="1020" w:right="840" w:hanging="437"/>
        <w:spacing w:after="0" w:line="256"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Stage— </w:t>
      </w:r>
      <w:r>
        <w:rPr>
          <w:rFonts w:ascii="Arial" w:cs="Arial" w:eastAsia="Arial" w:hAnsi="Arial"/>
          <w:sz w:val="18"/>
          <w:szCs w:val="18"/>
          <w:color w:val="auto"/>
        </w:rPr>
        <w:t>Pre-commercial, developmental-stage companies with a focus on Phase 1, Phase 1/2, Phase 2 and Phase 3</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w:t>
      </w:r>
    </w:p>
    <w:p>
      <w:pPr>
        <w:spacing w:after="0" w:line="179" w:lineRule="exact"/>
        <w:rPr>
          <w:rFonts w:ascii="Arial" w:cs="Arial" w:eastAsia="Arial" w:hAnsi="Arial"/>
          <w:sz w:val="18"/>
          <w:szCs w:val="18"/>
          <w:color w:val="auto"/>
        </w:rPr>
      </w:pPr>
    </w:p>
    <w:p>
      <w:pPr>
        <w:ind w:left="1020" w:hanging="450"/>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Market Capitalization— </w:t>
      </w:r>
      <w:r>
        <w:rPr>
          <w:rFonts w:ascii="Arial" w:cs="Arial" w:eastAsia="Arial" w:hAnsi="Arial"/>
          <w:sz w:val="18"/>
          <w:szCs w:val="18"/>
          <w:color w:val="auto"/>
        </w:rPr>
        <w:t>Range of approximately $1 billion to $5 billion;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ind w:left="1020" w:hanging="450"/>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Employee Headcount— </w:t>
      </w:r>
      <w:r>
        <w:rPr>
          <w:rFonts w:ascii="Arial" w:cs="Arial" w:eastAsia="Arial" w:hAnsi="Arial"/>
          <w:sz w:val="18"/>
          <w:szCs w:val="18"/>
          <w:color w:val="auto"/>
        </w:rPr>
        <w:t>Up to 437 employees; and</w:t>
      </w:r>
    </w:p>
    <w:p>
      <w:pPr>
        <w:spacing w:after="0" w:line="238" w:lineRule="exact"/>
        <w:rPr>
          <w:rFonts w:ascii="Arial" w:cs="Arial" w:eastAsia="Arial" w:hAnsi="Arial"/>
          <w:sz w:val="18"/>
          <w:szCs w:val="18"/>
          <w:color w:val="auto"/>
        </w:rPr>
      </w:pPr>
    </w:p>
    <w:p>
      <w:pPr>
        <w:ind w:left="1020" w:hanging="450"/>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Primarily Biotechnology hub markets (San Francisco, Bay Area, San Diego, East Coast Area, etc.)</w:t>
      </w:r>
    </w:p>
    <w:p>
      <w:pPr>
        <w:spacing w:after="0" w:line="21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Based on these criteria and considerations, our peer group for 2021, referred to as our 2021 peer group, as approved by our compensation committee, consisted of the following 20 companies: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Allogene Therapeutics</w:t>
            </w:r>
          </w:p>
        </w:tc>
        <w:tc>
          <w:tcPr>
            <w:tcW w:w="3820" w:type="dxa"/>
            <w:vAlign w:val="bottom"/>
          </w:tcPr>
          <w:p>
            <w:pPr>
              <w:ind w:left="980"/>
              <w:spacing w:after="0"/>
              <w:rPr>
                <w:sz w:val="20"/>
                <w:szCs w:val="20"/>
                <w:color w:val="auto"/>
              </w:rPr>
            </w:pPr>
            <w:r>
              <w:rPr>
                <w:rFonts w:ascii="Arial" w:cs="Arial" w:eastAsia="Arial" w:hAnsi="Arial"/>
                <w:sz w:val="18"/>
                <w:szCs w:val="18"/>
                <w:color w:val="auto"/>
              </w:rPr>
              <w:t>Krystal Biotech</w:t>
            </w:r>
          </w:p>
        </w:tc>
        <w:tc>
          <w:tcPr>
            <w:tcW w:w="3040" w:type="dxa"/>
            <w:vAlign w:val="bottom"/>
          </w:tcPr>
          <w:p>
            <w:pPr>
              <w:ind w:left="900"/>
              <w:spacing w:after="0"/>
              <w:rPr>
                <w:sz w:val="20"/>
                <w:szCs w:val="20"/>
                <w:color w:val="auto"/>
              </w:rPr>
            </w:pPr>
            <w:r>
              <w:rPr>
                <w:rFonts w:ascii="Arial" w:cs="Arial" w:eastAsia="Arial" w:hAnsi="Arial"/>
                <w:sz w:val="18"/>
                <w:szCs w:val="18"/>
                <w:color w:val="auto"/>
              </w:rPr>
              <w:t>Rubius Therapeutics</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Arcus Biosciences</w:t>
            </w:r>
          </w:p>
        </w:tc>
        <w:tc>
          <w:tcPr>
            <w:tcW w:w="3820" w:type="dxa"/>
            <w:vAlign w:val="bottom"/>
          </w:tcPr>
          <w:p>
            <w:pPr>
              <w:ind w:left="980"/>
              <w:spacing w:after="0"/>
              <w:rPr>
                <w:sz w:val="20"/>
                <w:szCs w:val="20"/>
                <w:color w:val="auto"/>
              </w:rPr>
            </w:pPr>
            <w:r>
              <w:rPr>
                <w:rFonts w:ascii="Arial" w:cs="Arial" w:eastAsia="Arial" w:hAnsi="Arial"/>
                <w:sz w:val="18"/>
                <w:szCs w:val="18"/>
                <w:color w:val="auto"/>
              </w:rPr>
              <w:t>Kura Oncology</w:t>
            </w:r>
          </w:p>
        </w:tc>
        <w:tc>
          <w:tcPr>
            <w:tcW w:w="3040" w:type="dxa"/>
            <w:vAlign w:val="bottom"/>
          </w:tcPr>
          <w:p>
            <w:pPr>
              <w:ind w:left="900"/>
              <w:spacing w:after="0"/>
              <w:rPr>
                <w:sz w:val="20"/>
                <w:szCs w:val="20"/>
                <w:color w:val="auto"/>
              </w:rPr>
            </w:pPr>
            <w:r>
              <w:rPr>
                <w:rFonts w:ascii="Arial" w:cs="Arial" w:eastAsia="Arial" w:hAnsi="Arial"/>
                <w:sz w:val="18"/>
                <w:szCs w:val="18"/>
                <w:color w:val="auto"/>
                <w:w w:val="99"/>
              </w:rPr>
              <w:t>SpringWorks Therapeutics</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Arvinas</w:t>
            </w:r>
          </w:p>
        </w:tc>
        <w:tc>
          <w:tcPr>
            <w:tcW w:w="3820" w:type="dxa"/>
            <w:vAlign w:val="bottom"/>
          </w:tcPr>
          <w:p>
            <w:pPr>
              <w:ind w:left="980"/>
              <w:spacing w:after="0"/>
              <w:rPr>
                <w:sz w:val="20"/>
                <w:szCs w:val="20"/>
                <w:color w:val="auto"/>
              </w:rPr>
            </w:pPr>
            <w:r>
              <w:rPr>
                <w:rFonts w:ascii="Arial" w:cs="Arial" w:eastAsia="Arial" w:hAnsi="Arial"/>
                <w:sz w:val="18"/>
                <w:szCs w:val="18"/>
                <w:color w:val="auto"/>
              </w:rPr>
              <w:t>Mersana Therapeutics</w:t>
            </w:r>
          </w:p>
        </w:tc>
        <w:tc>
          <w:tcPr>
            <w:tcW w:w="3040" w:type="dxa"/>
            <w:vAlign w:val="bottom"/>
          </w:tcPr>
          <w:p>
            <w:pPr>
              <w:ind w:left="900"/>
              <w:spacing w:after="0"/>
              <w:rPr>
                <w:sz w:val="20"/>
                <w:szCs w:val="20"/>
                <w:color w:val="auto"/>
              </w:rPr>
            </w:pPr>
            <w:r>
              <w:rPr>
                <w:rFonts w:ascii="Arial" w:cs="Arial" w:eastAsia="Arial" w:hAnsi="Arial"/>
                <w:sz w:val="18"/>
                <w:szCs w:val="18"/>
                <w:color w:val="auto"/>
              </w:rPr>
              <w:t>Trillium Therapeutics</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Atara Biotherapies</w:t>
            </w:r>
          </w:p>
        </w:tc>
        <w:tc>
          <w:tcPr>
            <w:tcW w:w="3820" w:type="dxa"/>
            <w:vAlign w:val="bottom"/>
          </w:tcPr>
          <w:p>
            <w:pPr>
              <w:ind w:left="980"/>
              <w:spacing w:after="0"/>
              <w:rPr>
                <w:sz w:val="20"/>
                <w:szCs w:val="20"/>
                <w:color w:val="auto"/>
              </w:rPr>
            </w:pPr>
            <w:r>
              <w:rPr>
                <w:rFonts w:ascii="Arial" w:cs="Arial" w:eastAsia="Arial" w:hAnsi="Arial"/>
                <w:sz w:val="18"/>
                <w:szCs w:val="18"/>
                <w:color w:val="auto"/>
              </w:rPr>
              <w:t>Relay Therapeutics</w:t>
            </w:r>
          </w:p>
        </w:tc>
        <w:tc>
          <w:tcPr>
            <w:tcW w:w="3040" w:type="dxa"/>
            <w:vAlign w:val="bottom"/>
          </w:tcPr>
          <w:p>
            <w:pPr>
              <w:ind w:left="900"/>
              <w:spacing w:after="0"/>
              <w:rPr>
                <w:sz w:val="20"/>
                <w:szCs w:val="20"/>
                <w:color w:val="auto"/>
              </w:rPr>
            </w:pPr>
            <w:r>
              <w:rPr>
                <w:rFonts w:ascii="Arial" w:cs="Arial" w:eastAsia="Arial" w:hAnsi="Arial"/>
                <w:sz w:val="18"/>
                <w:szCs w:val="18"/>
                <w:color w:val="auto"/>
                <w:w w:val="98"/>
              </w:rPr>
              <w:t>Turning Point Therapeutics</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IGM Biosciences</w:t>
            </w:r>
          </w:p>
        </w:tc>
        <w:tc>
          <w:tcPr>
            <w:tcW w:w="3820" w:type="dxa"/>
            <w:vAlign w:val="bottom"/>
          </w:tcPr>
          <w:p>
            <w:pPr>
              <w:ind w:left="980"/>
              <w:spacing w:after="0"/>
              <w:rPr>
                <w:sz w:val="20"/>
                <w:szCs w:val="20"/>
                <w:color w:val="auto"/>
              </w:rPr>
            </w:pPr>
            <w:r>
              <w:rPr>
                <w:rFonts w:ascii="Arial" w:cs="Arial" w:eastAsia="Arial" w:hAnsi="Arial"/>
                <w:sz w:val="18"/>
                <w:szCs w:val="18"/>
                <w:color w:val="auto"/>
              </w:rPr>
              <w:t>Replimune Group</w:t>
            </w:r>
          </w:p>
        </w:tc>
        <w:tc>
          <w:tcPr>
            <w:tcW w:w="3040" w:type="dxa"/>
            <w:vAlign w:val="bottom"/>
          </w:tcPr>
          <w:p>
            <w:pPr>
              <w:ind w:left="900"/>
              <w:spacing w:after="0"/>
              <w:rPr>
                <w:sz w:val="20"/>
                <w:szCs w:val="20"/>
                <w:color w:val="auto"/>
              </w:rPr>
            </w:pPr>
            <w:r>
              <w:rPr>
                <w:rFonts w:ascii="Arial" w:cs="Arial" w:eastAsia="Arial" w:hAnsi="Arial"/>
                <w:sz w:val="18"/>
                <w:szCs w:val="18"/>
                <w:color w:val="auto"/>
              </w:rPr>
              <w:t>Xencor</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ImmunoGen</w:t>
            </w:r>
          </w:p>
        </w:tc>
        <w:tc>
          <w:tcPr>
            <w:tcW w:w="3820" w:type="dxa"/>
            <w:vAlign w:val="bottom"/>
          </w:tcPr>
          <w:p>
            <w:pPr>
              <w:ind w:left="980"/>
              <w:spacing w:after="0"/>
              <w:rPr>
                <w:sz w:val="20"/>
                <w:szCs w:val="20"/>
                <w:color w:val="auto"/>
              </w:rPr>
            </w:pPr>
            <w:r>
              <w:rPr>
                <w:rFonts w:ascii="Arial" w:cs="Arial" w:eastAsia="Arial" w:hAnsi="Arial"/>
                <w:sz w:val="18"/>
                <w:szCs w:val="18"/>
                <w:color w:val="auto"/>
              </w:rPr>
              <w:t>Revolution Medicines</w:t>
            </w:r>
          </w:p>
        </w:tc>
        <w:tc>
          <w:tcPr>
            <w:tcW w:w="3040" w:type="dxa"/>
            <w:vAlign w:val="bottom"/>
          </w:tcPr>
          <w:p>
            <w:pPr>
              <w:ind w:left="900"/>
              <w:spacing w:after="0"/>
              <w:rPr>
                <w:sz w:val="20"/>
                <w:szCs w:val="20"/>
                <w:color w:val="auto"/>
              </w:rPr>
            </w:pPr>
            <w:r>
              <w:rPr>
                <w:rFonts w:ascii="Arial" w:cs="Arial" w:eastAsia="Arial" w:hAnsi="Arial"/>
                <w:sz w:val="18"/>
                <w:szCs w:val="18"/>
                <w:color w:val="auto"/>
              </w:rPr>
              <w:t>Zentalis Pharmaceuticals</w:t>
            </w:r>
          </w:p>
        </w:tc>
      </w:tr>
      <w:tr>
        <w:trPr>
          <w:trHeight w:val="239"/>
        </w:trPr>
        <w:tc>
          <w:tcPr>
            <w:tcW w:w="2780" w:type="dxa"/>
            <w:vAlign w:val="bottom"/>
          </w:tcPr>
          <w:p>
            <w:pPr>
              <w:spacing w:after="0"/>
              <w:rPr>
                <w:sz w:val="20"/>
                <w:szCs w:val="20"/>
                <w:color w:val="auto"/>
              </w:rPr>
            </w:pPr>
            <w:r>
              <w:rPr>
                <w:rFonts w:ascii="Arial" w:cs="Arial" w:eastAsia="Arial" w:hAnsi="Arial"/>
                <w:sz w:val="18"/>
                <w:szCs w:val="18"/>
                <w:color w:val="auto"/>
              </w:rPr>
              <w:t>Iovance Biotherpeutics</w:t>
            </w:r>
          </w:p>
        </w:tc>
        <w:tc>
          <w:tcPr>
            <w:tcW w:w="3820" w:type="dxa"/>
            <w:vAlign w:val="bottom"/>
          </w:tcPr>
          <w:p>
            <w:pPr>
              <w:ind w:left="980"/>
              <w:spacing w:after="0"/>
              <w:rPr>
                <w:sz w:val="20"/>
                <w:szCs w:val="20"/>
                <w:color w:val="auto"/>
              </w:rPr>
            </w:pPr>
            <w:r>
              <w:rPr>
                <w:rFonts w:ascii="Arial" w:cs="Arial" w:eastAsia="Arial" w:hAnsi="Arial"/>
                <w:sz w:val="18"/>
                <w:szCs w:val="18"/>
                <w:color w:val="auto"/>
              </w:rPr>
              <w:t>Rocket Pharmaceuticals</w:t>
            </w:r>
          </w:p>
        </w:tc>
        <w:tc>
          <w:tcPr>
            <w:tcW w:w="3040" w:type="dxa"/>
            <w:vAlign w:val="bottom"/>
          </w:tcPr>
          <w:p>
            <w:pPr>
              <w:spacing w:after="0"/>
              <w:rPr>
                <w:sz w:val="20"/>
                <w:szCs w:val="20"/>
                <w:color w:val="auto"/>
              </w:rPr>
            </w:pPr>
          </w:p>
        </w:tc>
      </w:tr>
    </w:tbl>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setting compensation for our executive officers, including our named executive officers, the compensation committee uses competitive compensation data from an annual total compensation study of selected peer companies and relevant survey sources to inform its decisions about overall compensation opportunities and specific compensation elements. However, the compensation committee uses our compensation peer group as one data point when setting executive pay packages. In addition, our compensation decisions are based on the consideration of many factors, including, but not limited to, individual and company performance, internal equity, experience, and strategic needs. As a result of evaluating compensation based on the criteria described above, total target compensation for our named executive officers may in certain circumstances be above or below the target levels of the peer group.</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20" w:right="3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Pay Components</w:t>
      </w:r>
    </w:p>
    <w:p>
      <w:pPr>
        <w:spacing w:after="0" w:line="11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Company’s executive compensation program consists of three primary elements: base salaries, annual cash incentives, and long-term equity awards:</w:t>
      </w:r>
    </w:p>
    <w:p>
      <w:pPr>
        <w:sectPr>
          <w:pgSz w:w="11900" w:h="16838" w:orient="portrait"/>
          <w:cols w:equalWidth="0" w:num="1">
            <w:col w:w="11240"/>
          </w:cols>
          <w:pgMar w:left="320" w:top="715" w:right="339" w:bottom="1440" w:gutter="0" w:footer="0" w:header="0"/>
        </w:sectPr>
      </w:pP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Compensation Element</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Base Salary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Annual Cash Incentive Program</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22117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 To attract and retain highly skilled</w:t>
      </w:r>
    </w:p>
    <w:p>
      <w:pPr>
        <w:spacing w:after="0"/>
        <w:rPr>
          <w:sz w:val="20"/>
          <w:szCs w:val="20"/>
          <w:color w:val="auto"/>
        </w:rPr>
      </w:pPr>
      <w:r>
        <w:rPr>
          <w:rFonts w:ascii="Arial" w:cs="Arial" w:eastAsia="Arial" w:hAnsi="Arial"/>
          <w:sz w:val="18"/>
          <w:szCs w:val="18"/>
          <w:color w:val="auto"/>
        </w:rPr>
        <w:t>executives</w:t>
      </w:r>
    </w:p>
    <w:p>
      <w:pPr>
        <w:spacing w:after="0" w:line="200" w:lineRule="exact"/>
        <w:rPr>
          <w:sz w:val="20"/>
          <w:szCs w:val="20"/>
          <w:color w:val="auto"/>
        </w:rPr>
      </w:pPr>
    </w:p>
    <w:p>
      <w:pPr>
        <w:spacing w:after="0" w:line="250"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•   To promote and reward the achievement of key short-term strategic and business goals of the Company as well as individual performance;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 To motivate and attract executives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19202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92"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•   Fixed component of pay to provide financial stability, based on responsibilities, experience, individual contributions, and peer company data</w:t>
      </w:r>
    </w:p>
    <w:p>
      <w:pPr>
        <w:spacing w:after="0" w:line="60"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•   Variable component of pay based on annual quantitative and qualitative performance assessment against objectives related to corporate, program-specific, and functional goals</w:t>
      </w:r>
    </w:p>
    <w:p>
      <w:pPr>
        <w:spacing w:after="0" w:line="62" w:lineRule="exact"/>
        <w:rPr>
          <w:sz w:val="20"/>
          <w:szCs w:val="20"/>
          <w:color w:val="auto"/>
        </w:rPr>
      </w:pPr>
    </w:p>
    <w:p>
      <w:pPr>
        <w:sectPr>
          <w:pgSz w:w="11900" w:h="16838" w:orient="portrait"/>
          <w:cols w:equalWidth="0" w:num="3">
            <w:col w:w="3560" w:space="720"/>
            <w:col w:w="3380" w:space="560"/>
            <w:col w:w="3020"/>
          </w:cols>
          <w:pgMar w:left="320" w:top="715" w:right="339" w:bottom="1440" w:gutter="0" w:footer="0" w:header="0"/>
          <w:type w:val="continuous"/>
        </w:sectPr>
      </w:pPr>
    </w:p>
    <w:p>
      <w:pPr>
        <w:ind w:left="20"/>
        <w:spacing w:after="0"/>
        <w:tabs>
          <w:tab w:leader="none" w:pos="4260" w:val="left"/>
        </w:tabs>
        <w:rPr>
          <w:sz w:val="20"/>
          <w:szCs w:val="20"/>
          <w:color w:val="auto"/>
        </w:rPr>
      </w:pPr>
      <w:r>
        <w:rPr>
          <w:rFonts w:ascii="Arial" w:cs="Arial" w:eastAsia="Arial" w:hAnsi="Arial"/>
          <w:sz w:val="18"/>
          <w:szCs w:val="18"/>
          <w:color w:val="auto"/>
        </w:rPr>
        <w:t>Equity Incentive Compensation</w:t>
      </w:r>
      <w:r>
        <w:rPr>
          <w:sz w:val="20"/>
          <w:szCs w:val="20"/>
          <w:color w:val="auto"/>
        </w:rPr>
        <w:tab/>
      </w:r>
      <w:r>
        <w:rPr>
          <w:rFonts w:ascii="Arial" w:cs="Arial" w:eastAsia="Arial" w:hAnsi="Arial"/>
          <w:sz w:val="17"/>
          <w:szCs w:val="17"/>
          <w:color w:val="auto"/>
        </w:rPr>
        <w:t>•    To encourage executives and other</w:t>
      </w:r>
    </w:p>
    <w:p>
      <w:pPr>
        <w:ind w:left="4280"/>
        <w:spacing w:after="0" w:line="232" w:lineRule="auto"/>
        <w:rPr>
          <w:sz w:val="20"/>
          <w:szCs w:val="20"/>
          <w:color w:val="auto"/>
        </w:rPr>
      </w:pPr>
      <w:r>
        <w:rPr>
          <w:rFonts w:ascii="Arial" w:cs="Arial" w:eastAsia="Arial" w:hAnsi="Arial"/>
          <w:sz w:val="17"/>
          <w:szCs w:val="17"/>
          <w:color w:val="auto"/>
        </w:rPr>
        <w:t>employees to focus on long-term company</w:t>
      </w:r>
    </w:p>
    <w:p>
      <w:pPr>
        <w:ind w:left="4280"/>
        <w:spacing w:after="0" w:line="219" w:lineRule="auto"/>
        <w:rPr>
          <w:sz w:val="20"/>
          <w:szCs w:val="20"/>
          <w:color w:val="auto"/>
        </w:rPr>
      </w:pPr>
      <w:r>
        <w:rPr>
          <w:rFonts w:ascii="Arial" w:cs="Arial" w:eastAsia="Arial" w:hAnsi="Arial"/>
          <w:sz w:val="18"/>
          <w:szCs w:val="18"/>
          <w:color w:val="auto"/>
        </w:rPr>
        <w:t>performance;</w:t>
      </w:r>
    </w:p>
    <w:p>
      <w:pPr>
        <w:ind w:left="4280"/>
        <w:spacing w:after="0" w:line="219" w:lineRule="auto"/>
        <w:rPr>
          <w:sz w:val="20"/>
          <w:szCs w:val="20"/>
          <w:color w:val="auto"/>
        </w:rPr>
      </w:pPr>
      <w:r>
        <w:rPr>
          <w:rFonts w:ascii="Arial" w:cs="Arial" w:eastAsia="Arial" w:hAnsi="Arial"/>
          <w:sz w:val="18"/>
          <w:szCs w:val="18"/>
          <w:color w:val="auto"/>
        </w:rPr>
        <w:t>•   To promote retention;</w:t>
      </w:r>
    </w:p>
    <w:p>
      <w:pPr>
        <w:ind w:left="4280"/>
        <w:spacing w:after="0" w:line="219" w:lineRule="auto"/>
        <w:rPr>
          <w:sz w:val="20"/>
          <w:szCs w:val="20"/>
          <w:color w:val="auto"/>
        </w:rPr>
      </w:pPr>
      <w:r>
        <w:rPr>
          <w:rFonts w:ascii="Arial" w:cs="Arial" w:eastAsia="Arial" w:hAnsi="Arial"/>
          <w:sz w:val="18"/>
          <w:szCs w:val="18"/>
          <w:color w:val="auto"/>
        </w:rPr>
        <w:t>•   To reward outstanding company and</w:t>
      </w:r>
    </w:p>
    <w:p>
      <w:pPr>
        <w:ind w:left="4280"/>
        <w:spacing w:after="0"/>
        <w:rPr>
          <w:sz w:val="20"/>
          <w:szCs w:val="20"/>
          <w:color w:val="auto"/>
        </w:rPr>
      </w:pPr>
      <w:r>
        <w:rPr>
          <w:rFonts w:ascii="Arial" w:cs="Arial" w:eastAsia="Arial" w:hAnsi="Arial"/>
          <w:sz w:val="18"/>
          <w:szCs w:val="18"/>
          <w:color w:val="auto"/>
        </w:rPr>
        <w:t>individual performance</w:t>
      </w:r>
    </w:p>
    <w:p>
      <w:pPr>
        <w:spacing w:after="0" w:line="20" w:lineRule="exact"/>
        <w:rPr>
          <w:sz w:val="20"/>
          <w:szCs w:val="20"/>
          <w:color w:val="auto"/>
        </w:rPr>
      </w:pPr>
      <w:r>
        <w:rPr>
          <w:sz w:val="20"/>
          <w:szCs w:val="20"/>
          <w:color w:val="auto"/>
        </w:rPr>
        <w:br w:type="column"/>
      </w:r>
    </w:p>
    <w:p>
      <w:pPr>
        <w:ind w:right="100"/>
        <w:spacing w:after="0" w:line="222" w:lineRule="auto"/>
        <w:rPr>
          <w:sz w:val="20"/>
          <w:szCs w:val="20"/>
          <w:color w:val="auto"/>
        </w:rPr>
      </w:pPr>
      <w:r>
        <w:rPr>
          <w:rFonts w:ascii="Arial" w:cs="Arial" w:eastAsia="Arial" w:hAnsi="Arial"/>
          <w:sz w:val="18"/>
          <w:szCs w:val="18"/>
          <w:color w:val="auto"/>
        </w:rPr>
        <w:t>•   Delivered in the form of stock options, subject to multi-year vesting based on continued service. The value of these awards depends on the performance of our common stock price, in order to align employee and executive interests</w:t>
      </w:r>
    </w:p>
    <w:p>
      <w:pPr>
        <w:spacing w:after="0" w:line="1"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with those of our stockholders over the longer term</w:t>
      </w:r>
    </w:p>
    <w:p>
      <w:pPr>
        <w:spacing w:after="0" w:line="195" w:lineRule="exact"/>
        <w:rPr>
          <w:sz w:val="20"/>
          <w:szCs w:val="20"/>
          <w:color w:val="auto"/>
        </w:rPr>
      </w:pPr>
    </w:p>
    <w:p>
      <w:pPr>
        <w:sectPr>
          <w:pgSz w:w="11900" w:h="16838" w:orient="portrait"/>
          <w:cols w:equalWidth="0" w:num="2">
            <w:col w:w="7660" w:space="560"/>
            <w:col w:w="3020"/>
          </w:cols>
          <w:pgMar w:left="320" w:top="715" w:right="339" w:bottom="1440" w:gutter="0" w:footer="0" w:header="0"/>
          <w:type w:val="continuous"/>
        </w:sectPr>
      </w:pPr>
    </w:p>
    <w:p>
      <w:pPr>
        <w:ind w:right="180"/>
        <w:spacing w:after="0" w:line="271" w:lineRule="auto"/>
        <w:rPr>
          <w:sz w:val="20"/>
          <w:szCs w:val="20"/>
          <w:color w:val="auto"/>
        </w:rPr>
      </w:pPr>
      <w:r>
        <w:rPr>
          <w:rFonts w:ascii="Arial" w:cs="Arial" w:eastAsia="Arial" w:hAnsi="Arial"/>
          <w:sz w:val="18"/>
          <w:szCs w:val="18"/>
          <w:color w:val="auto"/>
        </w:rPr>
        <w:t>Our Company is committed to a strong performance orientation in our compensation program and effective corporate governance practices for a company at our development stage and industry.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15" w:lineRule="exact"/>
        <w:rPr>
          <w:sz w:val="20"/>
          <w:szCs w:val="20"/>
          <w:color w:val="auto"/>
        </w:rPr>
      </w:pPr>
    </w:p>
    <w:p>
      <w:pPr>
        <w:ind w:right="380"/>
        <w:spacing w:after="0" w:line="301" w:lineRule="auto"/>
        <w:rPr>
          <w:sz w:val="20"/>
          <w:szCs w:val="20"/>
          <w:color w:val="auto"/>
        </w:rPr>
      </w:pPr>
      <w:r>
        <w:rPr>
          <w:rFonts w:ascii="Arial" w:cs="Arial" w:eastAsia="Arial" w:hAnsi="Arial"/>
          <w:sz w:val="17"/>
          <w:szCs w:val="17"/>
          <w:color w:val="auto"/>
        </w:rPr>
        <w:t>Base salary provides competitive pay to attract and retain our executives. Annual salary decisions are made in recognition of competitive data as well as the skills and experience that each individual brings to the Company and the performance contributions each makes.</w:t>
      </w:r>
    </w:p>
    <w:p>
      <w:pPr>
        <w:spacing w:after="0" w:line="13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Base salary changes in 2021 varied by executive due either to merit increases or market adjustments. Other factors were considered such as tenure, experience, and the role of the individual. For our named executive officers who served in such role for the full year, each officer received a 3.0% increase due to a merit increase/market adjustment.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41" w:name="page42"/>
    <w:bookmarkEnd w:id="41"/>
    <w:p>
      <w:pPr>
        <w:ind w:right="140"/>
        <w:spacing w:after="0" w:line="261" w:lineRule="auto"/>
        <w:rPr>
          <w:sz w:val="20"/>
          <w:szCs w:val="20"/>
          <w:color w:val="auto"/>
        </w:rPr>
      </w:pPr>
      <w:r>
        <w:rPr>
          <w:rFonts w:ascii="Arial" w:cs="Arial" w:eastAsia="Arial" w:hAnsi="Arial"/>
          <w:sz w:val="18"/>
          <w:szCs w:val="18"/>
          <w:color w:val="auto"/>
        </w:rPr>
        <w:t>The 2021 base salaries for our named executive officers were as follows and were effective on January 1, 2021 except as noted below. The compensation committee did not consider any of the salary increases for our named executive officers to be material changes, as they generally reflect inflation-based adjustments.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center"/>
              <w:ind w:right="234"/>
              <w:spacing w:after="0"/>
              <w:rPr>
                <w:sz w:val="20"/>
                <w:szCs w:val="20"/>
                <w:color w:val="auto"/>
              </w:rPr>
            </w:pPr>
            <w:r>
              <w:rPr>
                <w:rFonts w:ascii="Arial" w:cs="Arial" w:eastAsia="Arial" w:hAnsi="Arial"/>
                <w:sz w:val="14"/>
                <w:szCs w:val="14"/>
                <w:b w:val="1"/>
                <w:bCs w:val="1"/>
                <w:color w:val="auto"/>
              </w:rPr>
              <w:t>Base</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58"/>
        </w:trPr>
        <w:tc>
          <w:tcPr>
            <w:tcW w:w="6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ind w:right="456"/>
              <w:spacing w:after="0" w:line="158"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13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Salary as of 2020</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89"/>
        </w:trPr>
        <w:tc>
          <w:tcPr>
            <w:tcW w:w="648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6"/>
                <w:szCs w:val="16"/>
                <w:color w:val="auto"/>
              </w:rPr>
            </w:pPr>
          </w:p>
        </w:tc>
        <w:tc>
          <w:tcPr>
            <w:tcW w:w="1260" w:type="dxa"/>
            <w:vAlign w:val="bottom"/>
          </w:tcPr>
          <w:p>
            <w:pPr>
              <w:jc w:val="right"/>
              <w:ind w:right="96"/>
              <w:spacing w:after="0"/>
              <w:rPr>
                <w:sz w:val="20"/>
                <w:szCs w:val="20"/>
                <w:color w:val="auto"/>
              </w:rPr>
            </w:pPr>
            <w:r>
              <w:rPr>
                <w:rFonts w:ascii="Arial" w:cs="Arial" w:eastAsia="Arial" w:hAnsi="Arial"/>
                <w:sz w:val="14"/>
                <w:szCs w:val="14"/>
                <w:b w:val="1"/>
                <w:bCs w:val="1"/>
                <w:color w:val="auto"/>
              </w:rPr>
              <w:t>Base Salary (1)</w:t>
            </w:r>
          </w:p>
        </w:tc>
        <w:tc>
          <w:tcPr>
            <w:tcW w:w="260" w:type="dxa"/>
            <w:vAlign w:val="bottom"/>
          </w:tcPr>
          <w:p>
            <w:pPr>
              <w:spacing w:after="0"/>
              <w:rPr>
                <w:sz w:val="16"/>
                <w:szCs w:val="16"/>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Fiscal Year End(1)</w:t>
            </w:r>
          </w:p>
        </w:tc>
        <w:tc>
          <w:tcPr>
            <w:tcW w:w="240" w:type="dxa"/>
            <w:vAlign w:val="bottom"/>
          </w:tcPr>
          <w:p>
            <w:pPr>
              <w:spacing w:after="0"/>
              <w:rPr>
                <w:sz w:val="16"/>
                <w:szCs w:val="16"/>
                <w:color w:val="auto"/>
              </w:rPr>
            </w:pPr>
          </w:p>
        </w:tc>
        <w:tc>
          <w:tcPr>
            <w:tcW w:w="148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 Increase</w:t>
            </w:r>
          </w:p>
        </w:tc>
      </w:tr>
      <w:tr>
        <w:trPr>
          <w:trHeight w:val="209"/>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Jaume Pons, Ph.D.</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566,500</w:t>
            </w: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4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550,000</w:t>
            </w:r>
          </w:p>
        </w:tc>
        <w:tc>
          <w:tcPr>
            <w:tcW w:w="24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Peter Garcia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453,200</w:t>
            </w:r>
          </w:p>
        </w:tc>
        <w:tc>
          <w:tcPr>
            <w:tcW w:w="5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440,000</w:t>
            </w:r>
          </w:p>
        </w:tc>
        <w:tc>
          <w:tcPr>
            <w:tcW w:w="1720" w:type="dxa"/>
            <w:vAlign w:val="bottom"/>
            <w:gridSpan w:val="3"/>
          </w:tcPr>
          <w:p>
            <w:pPr>
              <w:jc w:val="right"/>
              <w:ind w:right="10"/>
              <w:spacing w:after="0"/>
              <w:rPr>
                <w:sz w:val="20"/>
                <w:szCs w:val="20"/>
                <w:color w:val="auto"/>
              </w:rPr>
            </w:pPr>
            <w:r>
              <w:rPr>
                <w:rFonts w:ascii="Arial" w:cs="Arial" w:eastAsia="Arial" w:hAnsi="Arial"/>
                <w:sz w:val="18"/>
                <w:szCs w:val="18"/>
                <w:color w:val="auto"/>
              </w:rPr>
              <w:t>3.0 %</w:t>
            </w:r>
          </w:p>
        </w:tc>
      </w:tr>
      <w:tr>
        <w:trPr>
          <w:trHeight w:val="216"/>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Sophia Randolph, M.D., Ph.D.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453,200</w:t>
            </w:r>
          </w:p>
        </w:tc>
        <w:tc>
          <w:tcPr>
            <w:tcW w:w="58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440,000</w:t>
            </w:r>
          </w:p>
        </w:tc>
        <w:tc>
          <w:tcPr>
            <w:tcW w:w="172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3.0 %</w:t>
            </w:r>
          </w:p>
        </w:tc>
      </w:tr>
      <w:tr>
        <w:trPr>
          <w:trHeight w:val="239"/>
        </w:trPr>
        <w:tc>
          <w:tcPr>
            <w:tcW w:w="6480" w:type="dxa"/>
            <w:vAlign w:val="bottom"/>
          </w:tcPr>
          <w:p>
            <w:pPr>
              <w:ind w:left="20"/>
              <w:spacing w:after="0"/>
              <w:rPr>
                <w:sz w:val="20"/>
                <w:szCs w:val="20"/>
                <w:color w:val="auto"/>
              </w:rPr>
            </w:pPr>
            <w:r>
              <w:rPr>
                <w:rFonts w:ascii="Arial" w:cs="Arial" w:eastAsia="Arial" w:hAnsi="Arial"/>
                <w:sz w:val="18"/>
                <w:szCs w:val="18"/>
                <w:color w:val="auto"/>
              </w:rPr>
              <w:t>Shelly Pinto(2)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340,000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0"/>
                <w:szCs w:val="20"/>
                <w:color w:val="auto"/>
              </w:rPr>
            </w:pPr>
          </w:p>
        </w:tc>
        <w:tc>
          <w:tcPr>
            <w:tcW w:w="1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ind w:left="380" w:hanging="372"/>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highest annualized base salary established for the named executive officer during the year indicated.</w:t>
      </w:r>
    </w:p>
    <w:p>
      <w:pPr>
        <w:spacing w:after="0" w:line="211" w:lineRule="exact"/>
        <w:rPr>
          <w:rFonts w:ascii="Arial" w:cs="Arial" w:eastAsia="Arial" w:hAnsi="Arial"/>
          <w:sz w:val="18"/>
          <w:szCs w:val="18"/>
          <w:color w:val="auto"/>
        </w:rPr>
      </w:pPr>
    </w:p>
    <w:p>
      <w:pPr>
        <w:ind w:left="380" w:right="520" w:hanging="372"/>
        <w:spacing w:after="0" w:line="287"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Ms. Pinto was appointed as the Company’s Vice President, Finance and Chief Accounting Officer on May 3, 2021. The 2021 Base Salary set forth above represents the annualized salary set in connection with and effective as of such appointment.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Incentive Program</w:t>
      </w:r>
    </w:p>
    <w:p>
      <w:pPr>
        <w:spacing w:after="0" w:line="102"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We maintain an Executive Incentive Compensation Plan (Incentive Compensation Plan), pursuant to which our named executive officers are eligible to receive cash incentive awards. The Incentive Compensation Plan is designed to provide a financial incentive to reward executives for the achievement of a series of program specific, pipeline, and functional corporate goals. Payments under the plan are ultimately based on achievement of these pre-established corporate goals. Actual performance against targets, as measured by these pre-established corporate goals, funds the incentive payouts. The total bonus payout cannot exceed the total amount of funding in the pool. Annual target bonuses are set based on factors such as the executive’s past contributions, tenure, experience, and role and the annual target bonuses provided by companies in our compensation peer group to their similarly situated executives. Bonuses are typically paid in the month following the end of the performance period.</w:t>
      </w:r>
    </w:p>
    <w:p>
      <w:pPr>
        <w:spacing w:after="0" w:line="19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For 2021, the compensation committee maintained Dr. Pons’ annual target bonus of 50% of his annual base salary. The annual target bonus target for each of our other NEOs, as a percentage of the NEO’s base salary, remained at 40%.</w:t>
      </w:r>
    </w:p>
    <w:p>
      <w:pPr>
        <w:spacing w:after="0" w:line="15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Bonuses for all employees, including our named executive officers, for the fiscal year ended December 31, 2021 were allocated from a bonus pool funded based on performance against a number of high-impact, cross-functional goals. The project goals related to specific programs, trials, and corporate progress. The cross-functional goals included goals related to business development, positioning for future growth, and development and other functional goals. The combination of the project and cross-functional goals was intended to drive both specific technical achievement and continue to build the foundation for future company growth and advancements.</w:t>
      </w:r>
    </w:p>
    <w:p>
      <w:pPr>
        <w:spacing w:after="0" w:line="173"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For 2021, the Company established five key corporate objectives: (i) advance clinical trial collaborations, (ii) advance the clinical pipeline, (iii) ensure supply of applicable materials, (iv) advance manufacturing runs, and (v) implement systems to meet corporate needs, which are viewed as critical drivers of our long-term success and ability to generate sustained growth in stockholder value. Our corporate goals are intended to drive these key objectives, by establishing specific, measurable criteria that could be used to evaluate the performance of our executive team and the Company in general. We believe that if these goals are achieved, it will have a direct impact on creating value for our stockholders.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ind w:right="260"/>
        <w:spacing w:after="0" w:line="261" w:lineRule="auto"/>
        <w:rPr>
          <w:sz w:val="20"/>
          <w:szCs w:val="20"/>
          <w:color w:val="auto"/>
        </w:rPr>
      </w:pPr>
      <w:r>
        <w:rPr>
          <w:rFonts w:ascii="Arial" w:cs="Arial" w:eastAsia="Arial" w:hAnsi="Arial"/>
          <w:sz w:val="18"/>
          <w:szCs w:val="18"/>
          <w:color w:val="auto"/>
        </w:rPr>
        <w:t>Each goal is measured individually, and the percent of goals achieved determines the 2021 bonus payout, subject to the compensation committee’s discretion to alter bonus funding and payouts. The 2021 performance bonuses were earned based upon achievement of such performance goals, as follows:</w:t>
      </w:r>
    </w:p>
    <w:p>
      <w:pPr>
        <w:spacing w:after="0" w:line="171"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6080" w:type="dxa"/>
            <w:vAlign w:val="bottom"/>
          </w:tcPr>
          <w:p>
            <w:pPr>
              <w:spacing w:after="0"/>
              <w:rPr>
                <w:sz w:val="20"/>
                <w:szCs w:val="20"/>
                <w:color w:val="auto"/>
              </w:rPr>
            </w:pPr>
            <w:r>
              <w:rPr>
                <w:rFonts w:ascii="Arial" w:cs="Arial" w:eastAsia="Arial" w:hAnsi="Arial"/>
                <w:sz w:val="14"/>
                <w:szCs w:val="14"/>
                <w:b w:val="1"/>
                <w:bCs w:val="1"/>
                <w:color w:val="auto"/>
              </w:rPr>
              <w:t>Performance Objective</w:t>
            </w:r>
          </w:p>
        </w:tc>
        <w:tc>
          <w:tcPr>
            <w:tcW w:w="178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 Weighting</w:t>
            </w:r>
          </w:p>
        </w:tc>
      </w:tr>
      <w:tr>
        <w:trPr>
          <w:trHeight w:val="209"/>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Advance clinical trial collaborations</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Advance the clinical pipeline</w:t>
            </w:r>
          </w:p>
        </w:tc>
        <w:tc>
          <w:tcPr>
            <w:tcW w:w="1780" w:type="dxa"/>
            <w:vAlign w:val="bottom"/>
            <w:gridSpan w:val="2"/>
          </w:tcPr>
          <w:p>
            <w:pPr>
              <w:jc w:val="right"/>
              <w:ind w:right="50"/>
              <w:spacing w:after="0"/>
              <w:rPr>
                <w:sz w:val="20"/>
                <w:szCs w:val="20"/>
                <w:color w:val="auto"/>
              </w:rPr>
            </w:pPr>
            <w:r>
              <w:rPr>
                <w:rFonts w:ascii="Arial" w:cs="Arial" w:eastAsia="Arial" w:hAnsi="Arial"/>
                <w:sz w:val="18"/>
                <w:szCs w:val="18"/>
                <w:color w:val="auto"/>
              </w:rPr>
              <w:t>65 %</w:t>
            </w:r>
          </w:p>
        </w:tc>
      </w:tr>
      <w:tr>
        <w:trPr>
          <w:trHeight w:val="216"/>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Ensure supply of applicable materials</w:t>
            </w:r>
          </w:p>
        </w:tc>
        <w:tc>
          <w:tcPr>
            <w:tcW w:w="17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10 %</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Advance manufacturing runs</w:t>
            </w:r>
          </w:p>
        </w:tc>
        <w:tc>
          <w:tcPr>
            <w:tcW w:w="1780" w:type="dxa"/>
            <w:vAlign w:val="bottom"/>
            <w:gridSpan w:val="2"/>
          </w:tcPr>
          <w:p>
            <w:pPr>
              <w:jc w:val="right"/>
              <w:ind w:right="50"/>
              <w:spacing w:after="0"/>
              <w:rPr>
                <w:sz w:val="20"/>
                <w:szCs w:val="20"/>
                <w:color w:val="auto"/>
              </w:rPr>
            </w:pPr>
            <w:r>
              <w:rPr>
                <w:rFonts w:ascii="Arial" w:cs="Arial" w:eastAsia="Arial" w:hAnsi="Arial"/>
                <w:sz w:val="18"/>
                <w:szCs w:val="18"/>
                <w:color w:val="auto"/>
              </w:rPr>
              <w:t>5 %</w:t>
            </w:r>
          </w:p>
        </w:tc>
      </w:tr>
      <w:tr>
        <w:trPr>
          <w:trHeight w:val="216"/>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Implement systems to meet corporate needs</w:t>
            </w:r>
          </w:p>
        </w:tc>
        <w:tc>
          <w:tcPr>
            <w:tcW w:w="17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10 %</w:t>
            </w:r>
          </w:p>
        </w:tc>
      </w:tr>
      <w:tr>
        <w:trPr>
          <w:trHeight w:val="239"/>
        </w:trPr>
        <w:tc>
          <w:tcPr>
            <w:tcW w:w="6080" w:type="dxa"/>
            <w:vAlign w:val="bottom"/>
          </w:tcPr>
          <w:p>
            <w:pPr>
              <w:spacing w:after="0"/>
              <w:rPr>
                <w:sz w:val="20"/>
                <w:szCs w:val="20"/>
                <w:color w:val="auto"/>
              </w:rPr>
            </w:pPr>
            <w:r>
              <w:rPr>
                <w:rFonts w:ascii="Arial" w:cs="Arial" w:eastAsia="Arial" w:hAnsi="Arial"/>
                <w:sz w:val="18"/>
                <w:szCs w:val="18"/>
                <w:color w:val="auto"/>
              </w:rPr>
              <w:t>Total</w:t>
            </w:r>
          </w:p>
        </w:tc>
        <w:tc>
          <w:tcPr>
            <w:tcW w:w="1780" w:type="dxa"/>
            <w:vAlign w:val="bottom"/>
            <w:gridSpan w:val="2"/>
          </w:tcPr>
          <w:p>
            <w:pPr>
              <w:jc w:val="right"/>
              <w:ind w:right="50"/>
              <w:spacing w:after="0"/>
              <w:rPr>
                <w:sz w:val="20"/>
                <w:szCs w:val="20"/>
                <w:color w:val="auto"/>
              </w:rPr>
            </w:pPr>
            <w:r>
              <w:rPr>
                <w:rFonts w:ascii="Arial" w:cs="Arial" w:eastAsia="Arial" w:hAnsi="Arial"/>
                <w:sz w:val="18"/>
                <w:szCs w:val="18"/>
                <w:color w:val="auto"/>
              </w:rPr>
              <w:t>100 %</w:t>
            </w:r>
          </w:p>
        </w:tc>
      </w:tr>
    </w:tbl>
    <w:p>
      <w:pPr>
        <w:spacing w:after="0" w:line="20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 addition, the Company established certain bonus goals. In January 2022, the compensation committee reviewed the progress against the applicable 2021 goals. Based on the Company’s achievement of these goals (including bonus goals), the compensation committee funded the Company’s bonus pool at 100% of target levels.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resulting bonuses to named executive officers were as follows:</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w w:val="99"/>
              </w:rPr>
              <w:t>Annual Target</w:t>
            </w:r>
          </w:p>
        </w:tc>
        <w:tc>
          <w:tcPr>
            <w:tcW w:w="240" w:type="dxa"/>
            <w:vAlign w:val="bottom"/>
          </w:tcPr>
          <w:p>
            <w:pPr>
              <w:spacing w:after="0"/>
              <w:rPr>
                <w:sz w:val="14"/>
                <w:szCs w:val="14"/>
                <w:color w:val="auto"/>
              </w:rPr>
            </w:pPr>
          </w:p>
        </w:tc>
        <w:tc>
          <w:tcPr>
            <w:tcW w:w="1060" w:type="dxa"/>
            <w:vAlign w:val="bottom"/>
          </w:tcPr>
          <w:p>
            <w:pPr>
              <w:jc w:val="center"/>
              <w:ind w:right="177"/>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48"/>
        </w:trPr>
        <w:tc>
          <w:tcPr>
            <w:tcW w:w="4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rPr>
              <w:t>Bonus</w:t>
            </w:r>
          </w:p>
        </w:tc>
        <w:tc>
          <w:tcPr>
            <w:tcW w:w="240" w:type="dxa"/>
            <w:vAlign w:val="bottom"/>
          </w:tcPr>
          <w:p>
            <w:pPr>
              <w:spacing w:after="0"/>
              <w:rPr>
                <w:sz w:val="12"/>
                <w:szCs w:val="12"/>
                <w:color w:val="auto"/>
              </w:rPr>
            </w:pPr>
          </w:p>
        </w:tc>
        <w:tc>
          <w:tcPr>
            <w:tcW w:w="106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rPr>
              <w:t>Earned</w:t>
            </w:r>
          </w:p>
        </w:tc>
        <w:tc>
          <w:tcPr>
            <w:tcW w:w="60" w:type="dxa"/>
            <w:vAlign w:val="bottom"/>
          </w:tcPr>
          <w:p>
            <w:pPr>
              <w:spacing w:after="0"/>
              <w:rPr>
                <w:sz w:val="12"/>
                <w:szCs w:val="12"/>
                <w:color w:val="auto"/>
              </w:rPr>
            </w:pPr>
          </w:p>
        </w:tc>
      </w:tr>
      <w:tr>
        <w:trPr>
          <w:trHeight w:val="198"/>
        </w:trPr>
        <w:tc>
          <w:tcPr>
            <w:tcW w:w="4340" w:type="dxa"/>
            <w:vAlign w:val="bottom"/>
          </w:tcPr>
          <w:p>
            <w:pPr>
              <w:spacing w:after="0"/>
              <w:rPr>
                <w:sz w:val="20"/>
                <w:szCs w:val="20"/>
                <w:color w:val="auto"/>
              </w:rPr>
            </w:pPr>
            <w:r>
              <w:rPr>
                <w:rFonts w:ascii="Arial" w:cs="Arial" w:eastAsia="Arial" w:hAnsi="Arial"/>
                <w:sz w:val="14"/>
                <w:szCs w:val="14"/>
                <w:b w:val="1"/>
                <w:bCs w:val="1"/>
                <w:color w:val="auto"/>
              </w:rPr>
              <w:t>Named Executive Officer</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 Base Salary</w:t>
            </w:r>
          </w:p>
        </w:tc>
        <w:tc>
          <w:tcPr>
            <w:tcW w:w="200" w:type="dxa"/>
            <w:vAlign w:val="bottom"/>
          </w:tcPr>
          <w:p>
            <w:pPr>
              <w:spacing w:after="0"/>
              <w:rPr>
                <w:sz w:val="17"/>
                <w:szCs w:val="17"/>
                <w:color w:val="auto"/>
              </w:rPr>
            </w:pPr>
          </w:p>
        </w:tc>
        <w:tc>
          <w:tcPr>
            <w:tcW w:w="174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rPr>
              <w:t>(% of base)</w:t>
            </w:r>
          </w:p>
        </w:tc>
        <w:tc>
          <w:tcPr>
            <w:tcW w:w="240" w:type="dxa"/>
            <w:vAlign w:val="bottom"/>
          </w:tcPr>
          <w:p>
            <w:pPr>
              <w:spacing w:after="0"/>
              <w:rPr>
                <w:sz w:val="17"/>
                <w:szCs w:val="17"/>
                <w:color w:val="auto"/>
              </w:rPr>
            </w:pPr>
          </w:p>
        </w:tc>
        <w:tc>
          <w:tcPr>
            <w:tcW w:w="1060" w:type="dxa"/>
            <w:vAlign w:val="bottom"/>
          </w:tcPr>
          <w:p>
            <w:pPr>
              <w:jc w:val="center"/>
              <w:ind w:right="177"/>
              <w:spacing w:after="0"/>
              <w:rPr>
                <w:sz w:val="20"/>
                <w:szCs w:val="20"/>
                <w:color w:val="auto"/>
              </w:rPr>
            </w:pPr>
            <w:r>
              <w:rPr>
                <w:rFonts w:ascii="Arial" w:cs="Arial" w:eastAsia="Arial" w:hAnsi="Arial"/>
                <w:sz w:val="14"/>
                <w:szCs w:val="14"/>
                <w:b w:val="1"/>
                <w:bCs w:val="1"/>
                <w:color w:val="auto"/>
              </w:rPr>
              <w:t>Bonus</w:t>
            </w:r>
          </w:p>
        </w:tc>
        <w:tc>
          <w:tcPr>
            <w:tcW w:w="60" w:type="dxa"/>
            <w:vAlign w:val="bottom"/>
          </w:tcPr>
          <w:p>
            <w:pPr>
              <w:spacing w:after="0"/>
              <w:rPr>
                <w:sz w:val="17"/>
                <w:szCs w:val="17"/>
                <w:color w:val="auto"/>
              </w:rPr>
            </w:pPr>
          </w:p>
        </w:tc>
      </w:tr>
      <w:tr>
        <w:trPr>
          <w:trHeight w:val="209"/>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Jaume Pons, Ph.D.</w:t>
            </w:r>
          </w:p>
        </w:tc>
        <w:tc>
          <w:tcPr>
            <w:tcW w:w="380" w:type="dxa"/>
            <w:vAlign w:val="bottom"/>
            <w:tcBorders>
              <w:top w:val="single" w:sz="8" w:color="auto"/>
            </w:tcBorders>
            <w:shd w:val="clear" w:color="auto" w:fill="CFF0FC"/>
          </w:tcPr>
          <w:p>
            <w:pPr>
              <w:jc w:val="right"/>
              <w:ind w:right="193"/>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566,500</w:t>
            </w:r>
          </w:p>
        </w:tc>
        <w:tc>
          <w:tcPr>
            <w:tcW w:w="20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283,250</w:t>
            </w:r>
          </w:p>
        </w:tc>
        <w:tc>
          <w:tcPr>
            <w:tcW w:w="60" w:type="dxa"/>
            <w:vAlign w:val="bottom"/>
            <w:shd w:val="clear" w:color="auto" w:fill="CFF0FC"/>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Peter Garcia</w:t>
            </w:r>
          </w:p>
        </w:tc>
        <w:tc>
          <w:tcPr>
            <w:tcW w:w="380" w:type="dxa"/>
            <w:vAlign w:val="bottom"/>
          </w:tcPr>
          <w:p>
            <w:pPr>
              <w:jc w:val="right"/>
              <w:ind w:right="193"/>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453,200</w:t>
            </w:r>
          </w:p>
        </w:tc>
        <w:tc>
          <w:tcPr>
            <w:tcW w:w="1940" w:type="dxa"/>
            <w:vAlign w:val="bottom"/>
            <w:gridSpan w:val="3"/>
          </w:tcPr>
          <w:p>
            <w:pPr>
              <w:jc w:val="right"/>
              <w:ind w:right="130"/>
              <w:spacing w:after="0"/>
              <w:rPr>
                <w:sz w:val="20"/>
                <w:szCs w:val="20"/>
                <w:color w:val="auto"/>
              </w:rPr>
            </w:pPr>
            <w:r>
              <w:rPr>
                <w:rFonts w:ascii="Arial" w:cs="Arial" w:eastAsia="Arial" w:hAnsi="Arial"/>
                <w:sz w:val="18"/>
                <w:szCs w:val="18"/>
                <w:color w:val="auto"/>
              </w:rPr>
              <w:t>40 %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181,280</w:t>
            </w:r>
          </w:p>
        </w:tc>
        <w:tc>
          <w:tcPr>
            <w:tcW w:w="60" w:type="dxa"/>
            <w:vAlign w:val="bottom"/>
          </w:tcPr>
          <w:p>
            <w:pPr>
              <w:spacing w:after="0"/>
              <w:rPr>
                <w:sz w:val="18"/>
                <w:szCs w:val="18"/>
                <w:color w:val="auto"/>
              </w:rPr>
            </w:pPr>
          </w:p>
        </w:tc>
      </w:tr>
      <w:tr>
        <w:trPr>
          <w:trHeight w:val="216"/>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Sophia Randolph, M.D., Ph.D.</w:t>
            </w:r>
          </w:p>
        </w:tc>
        <w:tc>
          <w:tcPr>
            <w:tcW w:w="380" w:type="dxa"/>
            <w:vAlign w:val="bottom"/>
            <w:shd w:val="clear" w:color="auto" w:fill="CFF0FC"/>
          </w:tcPr>
          <w:p>
            <w:pPr>
              <w:jc w:val="right"/>
              <w:ind w:right="193"/>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453,200</w:t>
            </w:r>
          </w:p>
        </w:tc>
        <w:tc>
          <w:tcPr>
            <w:tcW w:w="194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40 %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181,280</w:t>
            </w:r>
          </w:p>
        </w:tc>
        <w:tc>
          <w:tcPr>
            <w:tcW w:w="60" w:type="dxa"/>
            <w:vAlign w:val="bottom"/>
            <w:shd w:val="clear" w:color="auto" w:fill="CFF0FC"/>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Shelly Pinto(1)</w:t>
            </w:r>
          </w:p>
        </w:tc>
        <w:tc>
          <w:tcPr>
            <w:tcW w:w="380" w:type="dxa"/>
            <w:vAlign w:val="bottom"/>
          </w:tcPr>
          <w:p>
            <w:pPr>
              <w:jc w:val="right"/>
              <w:ind w:right="193"/>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340,000</w:t>
            </w:r>
          </w:p>
        </w:tc>
        <w:tc>
          <w:tcPr>
            <w:tcW w:w="1940" w:type="dxa"/>
            <w:vAlign w:val="bottom"/>
            <w:gridSpan w:val="3"/>
          </w:tcPr>
          <w:p>
            <w:pPr>
              <w:jc w:val="right"/>
              <w:ind w:right="130"/>
              <w:spacing w:after="0"/>
              <w:rPr>
                <w:sz w:val="20"/>
                <w:szCs w:val="20"/>
                <w:color w:val="auto"/>
              </w:rPr>
            </w:pPr>
            <w:r>
              <w:rPr>
                <w:rFonts w:ascii="Arial" w:cs="Arial" w:eastAsia="Arial" w:hAnsi="Arial"/>
                <w:sz w:val="18"/>
                <w:szCs w:val="18"/>
                <w:color w:val="auto"/>
              </w:rPr>
              <w:t>40 %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90,542</w:t>
            </w:r>
          </w:p>
        </w:tc>
        <w:tc>
          <w:tcPr>
            <w:tcW w:w="60" w:type="dxa"/>
            <w:vAlign w:val="bottom"/>
          </w:tcPr>
          <w:p>
            <w:pPr>
              <w:spacing w:after="0"/>
              <w:rPr>
                <w:sz w:val="18"/>
                <w:szCs w:val="18"/>
                <w:color w:val="auto"/>
              </w:rPr>
            </w:pPr>
          </w:p>
        </w:tc>
      </w:tr>
      <w:tr>
        <w:trPr>
          <w:trHeight w:val="216"/>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Steffen Pietzke(2)</w:t>
            </w:r>
          </w:p>
        </w:tc>
        <w:tc>
          <w:tcPr>
            <w:tcW w:w="380" w:type="dxa"/>
            <w:vAlign w:val="bottom"/>
            <w:shd w:val="clear" w:color="auto" w:fill="CFF0FC"/>
          </w:tcPr>
          <w:p>
            <w:pPr>
              <w:jc w:val="right"/>
              <w:ind w:right="193"/>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338,000</w:t>
            </w:r>
          </w:p>
        </w:tc>
        <w:tc>
          <w:tcPr>
            <w:tcW w:w="194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40 %</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60" w:type="dxa"/>
            <w:vAlign w:val="bottom"/>
            <w:shd w:val="clear" w:color="auto" w:fill="CFF0FC"/>
          </w:tcPr>
          <w:p>
            <w:pPr>
              <w:spacing w:after="0"/>
              <w:rPr>
                <w:sz w:val="18"/>
                <w:szCs w:val="18"/>
                <w:color w:val="auto"/>
              </w:rPr>
            </w:pPr>
          </w:p>
        </w:tc>
      </w:tr>
    </w:tbl>
    <w:p>
      <w:pPr>
        <w:spacing w:after="0" w:line="224" w:lineRule="exact"/>
        <w:rPr>
          <w:sz w:val="20"/>
          <w:szCs w:val="20"/>
          <w:color w:val="auto"/>
        </w:rPr>
      </w:pPr>
    </w:p>
    <w:p>
      <w:pPr>
        <w:ind w:left="300" w:right="440" w:hanging="284"/>
        <w:spacing w:after="0" w:line="287" w:lineRule="auto"/>
        <w:tabs>
          <w:tab w:leader="none" w:pos="279" w:val="left"/>
        </w:tabs>
        <w:numPr>
          <w:ilvl w:val="0"/>
          <w:numId w:val="36"/>
        </w:numPr>
        <w:rPr>
          <w:rFonts w:ascii="Arial" w:cs="Arial" w:eastAsia="Arial" w:hAnsi="Arial"/>
          <w:sz w:val="18"/>
          <w:szCs w:val="18"/>
          <w:color w:val="auto"/>
        </w:rPr>
      </w:pPr>
      <w:r>
        <w:rPr>
          <w:rFonts w:ascii="Arial" w:cs="Arial" w:eastAsia="Arial" w:hAnsi="Arial"/>
          <w:sz w:val="18"/>
          <w:szCs w:val="18"/>
          <w:color w:val="auto"/>
        </w:rPr>
        <w:t>Ms. Pinto was appointed as the Company’s Vice President, Finance and Chief Accounting Officer on May 3, 2021. The 2021 Earned Bonus set forth above represents her prorated award based upon such start date.</w:t>
      </w:r>
    </w:p>
    <w:p>
      <w:pPr>
        <w:spacing w:after="0" w:line="139" w:lineRule="exact"/>
        <w:rPr>
          <w:rFonts w:ascii="Arial" w:cs="Arial" w:eastAsia="Arial" w:hAnsi="Arial"/>
          <w:sz w:val="18"/>
          <w:szCs w:val="18"/>
          <w:color w:val="auto"/>
        </w:rPr>
      </w:pPr>
    </w:p>
    <w:p>
      <w:pPr>
        <w:ind w:left="300" w:right="80" w:hanging="292"/>
        <w:spacing w:after="0" w:line="271" w:lineRule="auto"/>
        <w:tabs>
          <w:tab w:leader="none" w:pos="2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Pietzke resigned as the Company’s Vice President, Finance and Chief Accounting Officer on March 31, 2021 and was not eligible for the 2021 Earned Bonus.</w:t>
      </w:r>
    </w:p>
    <w:p>
      <w:pPr>
        <w:spacing w:after="0" w:line="167"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The bonuses paid to each of our named executive officers in 2021 under our Incentive Compensation Plan are set forth in the “Non-Equity Incentive Plan Compensation” column of the Summary Compensation Table below.</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Long-Term Incentive Compensation</w:t>
      </w:r>
    </w:p>
    <w:p>
      <w:pPr>
        <w:spacing w:after="0" w:line="1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believe long-term incentive compensation is an effective means for focusing our executive officers, including the named executive officers, on driving strong performance and increased stockholder value over a multi-year period, provides a meaningful reward for long-term value creation, and motivates them to remain employed with us. This approach aligns the contributions of our executive officers with the long-term interests of our stockholders and allows them to participate in any future appreciation in our common stock.</w:t>
      </w:r>
    </w:p>
    <w:p>
      <w:pPr>
        <w:spacing w:after="0" w:line="170"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In 2021, we had two equity compensation plans: the Amended and Restated 2020 Equity Incentive Plan and the 2020 Employee Stock Purchase Plan. We determine long-term incentive compensation for our executive officers as part of our biannual compensation review (with cash compensation reviewed in Q1 and equity compensation reviewed in Q3) taking into account competitive market analysis, the recommendations of our CEO (except regarding his own long-term incentive compensation), the outstanding equity holdings of each executive officer, the projected impact of the proposed awards on our earnings, and our Company performance in 2021.</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ind w:right="80"/>
        <w:spacing w:after="0" w:line="251" w:lineRule="auto"/>
        <w:rPr>
          <w:sz w:val="20"/>
          <w:szCs w:val="20"/>
          <w:color w:val="auto"/>
        </w:rPr>
      </w:pPr>
      <w:r>
        <w:rPr>
          <w:rFonts w:ascii="Arial" w:cs="Arial" w:eastAsia="Arial" w:hAnsi="Arial"/>
          <w:sz w:val="18"/>
          <w:szCs w:val="18"/>
          <w:color w:val="auto"/>
        </w:rPr>
        <w:t>In 2021, the long-term incentive equity compensation awarded to our named executive officers was granted in the form of stock options vesting over a four-year time-based schedule. The compensation committee believed that this approach is consistent with market practice among our peer group and based on discussions with Compensia, and reinforces a strong pay-for-performance culture as each stock option award only has value for the recipient if the value of our common stock appreciates from the grant date. Each stock option award was granted on the following material terms:</w:t>
      </w:r>
    </w:p>
    <w:p>
      <w:pPr>
        <w:spacing w:after="0" w:line="15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780" w:type="dxa"/>
            <w:vAlign w:val="bottom"/>
          </w:tcPr>
          <w:p>
            <w:pPr>
              <w:jc w:val="right"/>
              <w:ind w:right="315"/>
              <w:spacing w:after="0"/>
              <w:rPr>
                <w:sz w:val="20"/>
                <w:szCs w:val="20"/>
                <w:color w:val="auto"/>
              </w:rPr>
            </w:pPr>
            <w:r>
              <w:rPr>
                <w:rFonts w:ascii="Arial" w:cs="Arial" w:eastAsia="Arial" w:hAnsi="Arial"/>
                <w:sz w:val="14"/>
                <w:szCs w:val="14"/>
                <w:b w:val="1"/>
                <w:bCs w:val="1"/>
                <w:color w:val="auto"/>
              </w:rPr>
              <w:t>Stock Options</w:t>
            </w:r>
          </w:p>
        </w:tc>
        <w:tc>
          <w:tcPr>
            <w:tcW w:w="340" w:type="dxa"/>
            <w:vAlign w:val="bottom"/>
          </w:tcPr>
          <w:p>
            <w:pPr>
              <w:spacing w:after="0"/>
              <w:rPr>
                <w:sz w:val="14"/>
                <w:szCs w:val="14"/>
                <w:color w:val="auto"/>
              </w:rPr>
            </w:pPr>
          </w:p>
        </w:tc>
      </w:tr>
      <w:tr>
        <w:trPr>
          <w:trHeight w:val="185"/>
        </w:trPr>
        <w:tc>
          <w:tcPr>
            <w:tcW w:w="5740" w:type="dxa"/>
            <w:vAlign w:val="bottom"/>
          </w:tcPr>
          <w:p>
            <w:pPr>
              <w:spacing w:after="0"/>
              <w:rPr>
                <w:sz w:val="20"/>
                <w:szCs w:val="20"/>
                <w:color w:val="auto"/>
              </w:rPr>
            </w:pPr>
            <w:r>
              <w:rPr>
                <w:rFonts w:ascii="Arial" w:cs="Arial" w:eastAsia="Arial" w:hAnsi="Arial"/>
                <w:sz w:val="14"/>
                <w:szCs w:val="14"/>
                <w:b w:val="1"/>
                <w:bCs w:val="1"/>
                <w:color w:val="auto"/>
              </w:rPr>
              <w:t>Named Executive Officer</w:t>
            </w:r>
          </w:p>
        </w:tc>
        <w:tc>
          <w:tcPr>
            <w:tcW w:w="17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Number of Shares</w:t>
            </w:r>
          </w:p>
        </w:tc>
        <w:tc>
          <w:tcPr>
            <w:tcW w:w="340" w:type="dxa"/>
            <w:vAlign w:val="bottom"/>
          </w:tcPr>
          <w:p>
            <w:pPr>
              <w:spacing w:after="0"/>
              <w:rPr>
                <w:sz w:val="16"/>
                <w:szCs w:val="16"/>
                <w:color w:val="auto"/>
              </w:rPr>
            </w:pPr>
          </w:p>
        </w:tc>
      </w:tr>
      <w:tr>
        <w:trPr>
          <w:trHeight w:val="21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Jaume Pons, Ph.D.</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225,000</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Peter Garcia</w:t>
            </w:r>
          </w:p>
        </w:tc>
        <w:tc>
          <w:tcPr>
            <w:tcW w:w="1780" w:type="dxa"/>
            <w:vAlign w:val="bottom"/>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99"/>
              </w:rPr>
              <w:t>(1)</w:t>
            </w: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Sophia Randolph, M.D., Ph.D.</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Shelly Pinto</w:t>
            </w:r>
          </w:p>
        </w:tc>
        <w:tc>
          <w:tcPr>
            <w:tcW w:w="1780" w:type="dxa"/>
            <w:vAlign w:val="bottom"/>
          </w:tcPr>
          <w:p>
            <w:pPr>
              <w:jc w:val="right"/>
              <w:spacing w:after="0"/>
              <w:rPr>
                <w:sz w:val="20"/>
                <w:szCs w:val="20"/>
                <w:color w:val="auto"/>
              </w:rPr>
            </w:pPr>
            <w:r>
              <w:rPr>
                <w:rFonts w:ascii="Arial" w:cs="Arial" w:eastAsia="Arial" w:hAnsi="Arial"/>
                <w:sz w:val="18"/>
                <w:szCs w:val="18"/>
                <w:color w:val="auto"/>
              </w:rPr>
              <w:t>25,000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99"/>
              </w:rPr>
              <w:t>(1)</w:t>
            </w: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Shelly Pinto</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(2)</w:t>
            </w:r>
          </w:p>
        </w:tc>
      </w:tr>
      <w:tr>
        <w:trPr>
          <w:trHeight w:val="239"/>
        </w:trPr>
        <w:tc>
          <w:tcPr>
            <w:tcW w:w="5740" w:type="dxa"/>
            <w:vAlign w:val="bottom"/>
          </w:tcPr>
          <w:p>
            <w:pPr>
              <w:spacing w:after="0"/>
              <w:rPr>
                <w:sz w:val="20"/>
                <w:szCs w:val="20"/>
                <w:color w:val="auto"/>
              </w:rPr>
            </w:pPr>
            <w:r>
              <w:rPr>
                <w:rFonts w:ascii="Arial" w:cs="Arial" w:eastAsia="Arial" w:hAnsi="Arial"/>
                <w:sz w:val="18"/>
                <w:szCs w:val="18"/>
                <w:color w:val="auto"/>
              </w:rPr>
              <w:t>Steffen Pietzke(3)</w:t>
            </w:r>
          </w:p>
        </w:tc>
        <w:tc>
          <w:tcPr>
            <w:tcW w:w="1780" w:type="dxa"/>
            <w:vAlign w:val="bottom"/>
          </w:tcPr>
          <w:p>
            <w:pPr>
              <w:spacing w:after="0"/>
              <w:rPr>
                <w:sz w:val="20"/>
                <w:szCs w:val="20"/>
                <w:color w:val="auto"/>
              </w:rPr>
            </w:pPr>
          </w:p>
        </w:tc>
        <w:tc>
          <w:tcPr>
            <w:tcW w:w="340" w:type="dxa"/>
            <w:vAlign w:val="bottom"/>
          </w:tcPr>
          <w:p>
            <w:pPr>
              <w:spacing w:after="0"/>
              <w:rPr>
                <w:sz w:val="20"/>
                <w:szCs w:val="20"/>
                <w:color w:val="auto"/>
              </w:rPr>
            </w:pPr>
          </w:p>
        </w:tc>
      </w:tr>
    </w:tbl>
    <w:p>
      <w:pPr>
        <w:spacing w:after="0" w:line="174" w:lineRule="exact"/>
        <w:rPr>
          <w:sz w:val="20"/>
          <w:szCs w:val="20"/>
          <w:color w:val="auto"/>
        </w:rPr>
      </w:pPr>
    </w:p>
    <w:p>
      <w:pPr>
        <w:ind w:left="380" w:right="100" w:hanging="372"/>
        <w:spacing w:after="0" w:line="253"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option has an exercise price equal to $58.56 per share, which was the closing price of our common stock on the date of grant (July 30, 2021). 1/48th of the shares subject to the option vest each month beginning on August 30, 2021, subject to continued service through each such vesting date.</w:t>
      </w:r>
    </w:p>
    <w:p>
      <w:pPr>
        <w:spacing w:after="0" w:line="182" w:lineRule="exact"/>
        <w:rPr>
          <w:rFonts w:ascii="Arial" w:cs="Arial" w:eastAsia="Arial" w:hAnsi="Arial"/>
          <w:sz w:val="18"/>
          <w:szCs w:val="18"/>
          <w:color w:val="auto"/>
        </w:rPr>
      </w:pPr>
    </w:p>
    <w:p>
      <w:pPr>
        <w:ind w:left="380" w:right="40" w:hanging="372"/>
        <w:spacing w:after="0" w:line="261"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option has an exercise price equal to $62.83 per share, which was the closing price of our common stock on the date of grant (May 3, 2021). 1/4th of the shares subject to the option vest on May 3, 2022, and 1/36</w:t>
      </w:r>
      <w:r>
        <w:rPr>
          <w:rFonts w:ascii="Arial" w:cs="Arial" w:eastAsia="Arial" w:hAnsi="Arial"/>
          <w:sz w:val="15"/>
          <w:szCs w:val="15"/>
          <w:color w:val="auto"/>
        </w:rPr>
        <w:t>th</w:t>
      </w:r>
      <w:r>
        <w:rPr>
          <w:rFonts w:ascii="Arial" w:cs="Arial" w:eastAsia="Arial" w:hAnsi="Arial"/>
          <w:sz w:val="18"/>
          <w:szCs w:val="18"/>
          <w:color w:val="auto"/>
        </w:rPr>
        <w:t xml:space="preserve"> of the remaining shares subject to the option vest each month thereafter, subject to continued service through each such vesting date.</w:t>
      </w:r>
    </w:p>
    <w:p>
      <w:pPr>
        <w:spacing w:after="0" w:line="161" w:lineRule="exact"/>
        <w:rPr>
          <w:rFonts w:ascii="Arial" w:cs="Arial" w:eastAsia="Arial" w:hAnsi="Arial"/>
          <w:sz w:val="18"/>
          <w:szCs w:val="18"/>
          <w:color w:val="auto"/>
        </w:rPr>
      </w:pPr>
    </w:p>
    <w:p>
      <w:pPr>
        <w:ind w:left="380" w:hanging="372"/>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Pietzke resigned as the Company’s Vice President, Finance and Chief Accounting Officer on March 31, 2021.</w:t>
      </w:r>
    </w:p>
    <w:p>
      <w:pPr>
        <w:spacing w:after="0" w:line="25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determining the 2021 annual option awards to our named executive officers, our compensation committee considered the equity awards granted at the 75th percentile to the executives holding comparable positions at our peer group companies, as well as each named executive officer’s existing equity holdings, level of responsibility and criticality, unvested status of existing equity holdings, and the committee’s subjective assessment of each named executive officer’s individual performance and our overall company performance. Our compensation committee considered the 75th percentile to be an appropriate benchmark given the growth stage of the business, and consistent with its objectives to emphasize pay for performance and provide incentives more heavily weighted toward promoting close alignment with the interests of our stockholders.</w:t>
      </w:r>
    </w:p>
    <w:p>
      <w:pPr>
        <w:spacing w:after="0" w:line="20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granted Ms. Pinto a stock option to purchase 125,000 shares in connection with her hire. In determining the terms of such option, the compensation committee considered her role and responsibilities, the peer group data for such position, and its market-competitiveness in order to recruit her from her previous employer. In July 2021, as part of the 2021 annual option awards for long-term incentives, we granted Ms. Pinto an additional stock option to purchase 25,000 shares.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and Change in Control Protections</w:t>
      </w:r>
    </w:p>
    <w:p>
      <w:pPr>
        <w:spacing w:after="0" w:line="117"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In order to recruit and maintain a stable and effective management team, our compensation committee believes it is appropriate and necessary to provide assurance of certain severance and change in control benefits approved by the compensation committee, in consultation with Compensia. We entered into change in control and severance agreements (Severance Agreements) with each of our named executive officers that provide for the severance and change in control benefits. For a summary of the material terms of the benefits provided to our named executive officers under the Severance Agreements and an estimate of the payments and benefits that may be received by our named executive officers under the Severance Agreements, see “Potential Payments on Termination or Change in Control” below.</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Other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Welfare, Health, and Other Broad-Based Benefits</w:t>
      </w:r>
    </w:p>
    <w:p>
      <w:pPr>
        <w:spacing w:after="0" w:line="102"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We maintain a 401(k) retirement savings plan, or 401(k)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(generally, up to 90% of the employee’s eligible compensation), on a pre-tax or after-tax (Roth) basis, through contributions to the 401(k) plan. All of a participant’s contributions into the 401(k) plan are 100% vested when contributed. The 401(k) plan permits us to make matching contributions and profit-sharing contributions to eligible participants.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Subject to limits under the Code, we match an amount equal to 50% of the first 6% of the eligible employee’s contributions with a maximum annual employer contribution of $10,000 per employee.</w:t>
      </w:r>
    </w:p>
    <w:p>
      <w:pPr>
        <w:spacing w:after="0" w:line="177"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Our health and welfare benefits include medical, dental and vision benefits, long-term disability insurance, basic life insurance coverage, health savings and dependent care accounts, and accidental death and dismemberment insurance. Our named executive officers also are eligible to participate in our 2020 Employee Stock Purchase Plan on the same terms as our other eligible employees. We design our employee benefits programs to be affordable and competitive in relation to the market, and compliant with applicable laws and practices. We adjust our employee benefits programs as needed based upon changes in applicable laws and market practices.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0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do not provide perquisites or other personal benefits to our executive officers, including the named executive officers except in situations where we believe it is appropriate to assist an individual in the performance of his or her duties, to make our executive officers more efficient and effective, and for recruitment and retention purposes. In 2021, we provided Ms. Pinto with a signing bonus of $75,000 in order to incentivize her to join the Company. Ms. Pinto is required to repay all of the signing bonus to the Company if she voluntarily terminates her employment with the Company within 12 months of her date of hire. The compensation committee believed that the bonus was appropriate in order to recruit her from her previous employer.</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the future, we may provide perquisites or other personal benefits in limited circumstances. All future practices with respect to perquisites or other personal benefits for executive officers will be approved and subject to periodic review by the compensation committee.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0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have entered into confirmatory employment letters with each of our named executive officers. Each of these agreements was approved by our board of directors or our compensation committee. In filling each of our executive positions, our board of directors and the compensation committee recognized the need to develop competitive compensation packages to attract qualified candidates in a dynamic labor market.</w:t>
      </w:r>
    </w:p>
    <w:p>
      <w:pPr>
        <w:spacing w:after="0" w:line="170"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For information on the specific terms and conditions of the employment letters of the named executive officers, see the discussion of “Executive Employment Letter Agreements” below.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Additional Policies and Practices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 and Pledging Prohibitions</w:t>
      </w:r>
    </w:p>
    <w:p>
      <w:pPr>
        <w:spacing w:after="0" w:line="10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As part of our Insider Trading Policy, our contractors and employees (including our executive officers and the non-employee members of our board of directors) are prohibited from trading in publicly-traded options, such as puts and calls, and other derivative securities with respect to our securities. This includes any hedging or similar transaction designed to decrease the risks associated with holding shares of our common stock. In addition, our contractors and employees (including our executive officers and the non-employee members of our board of directors) are prohibited from holding our common stock in a margin account or pledging our securities as collateral for a loan.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Deductibility of Executive Compensation</w:t>
      </w:r>
    </w:p>
    <w:p>
      <w:pPr>
        <w:spacing w:after="0" w:line="10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Our compensation committee takes into account the tax implications to the Company of our named executive officer compensation program, including with respect to the tax deductibility of compensation paid under Section 162(m) of the Code (Section 162(m)). Generally, Section 162(m) disallows a U.S. federal income tax deduction for public corporations of remuneration in excess of $1 million paid in any taxable year to certain specified executive officers. To maintain flexibility to compensate our executive officers in a manner designed to promote our short-term and long-term corporate goals, the compensation committee has not adopted a policy that all compensation must be deductible. The compensation committee believes that our stockholders’ interests are best served if its discretion and flexibility in awarding compensation is not restricted in order to allow such compensation to be consistent with the goals of our executive compensation program, even though some compensation awards may result in non-deductible compensation expense.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02"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We follow the Financial Accounting Standard Board’s Accounting Standards Codification Topic 718 (FASB ASC Topic 718) for our stock-based compensation awards. FASB ASC Topic 718 requires us to measure the compensation expense for all share-based payment awards made to our employees and members of our board of directors, including options to purchase shares of our common stock and other stock awards, based on the grant date “fair value” of these awards. This calculation is performed for accounting purposes and reported in the executive compensation tables required by the federal securities laws, even though the recipient of the awards may realize no value from their awards. See Note 9 to our financial statements for the year ended December 31, 2021 included in our Annual Report on Form 10-K for the year ended December 31, 2021 for a discussion of the assumptions made by us in determining the grant date fair value of our equity awards. Our compensation committee generally considers the accounting consequences of its decisions, including the impact of expenses being recognized in connection with equity-based awards, in determining the size and form of different equity-based awards.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Parachute Payments and Deferred Compensation</w:t>
      </w:r>
    </w:p>
    <w:p>
      <w:pPr>
        <w:spacing w:after="0" w:line="10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do not provide, and have no obligation to provide, any of our named executive officers with a “gross-up” or other reimbursement payment for any tax liability he or she might owe because of the application of Sections 280G, 4999, or 409A of the Code. If any of the payments or benefits provided for under the Severance Agreement or otherwise payable to a named executive officer would constitute “parachute payments” within the meaning of Section 280G of the Code and could be subject to the related excise tax, he or she would receive either full payment of such payments and benefits or such lesser amount that would cause no portion of the payments and benefits being subject to the excise tax, whichever results in the greater after-tax benefits to our named executive officer.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Clawback Arrangements</w:t>
      </w:r>
    </w:p>
    <w:p>
      <w:pPr>
        <w:spacing w:after="0" w:line="11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Each of our 2020 Equity Incentive Plan and Incentive Compensation Plan provides that awards granted under it will be subject to any clawback policy of ours, which we may establish and/or amend from time to time to comply with applicable laws. The administrator of our 2020 Equity Incentive Plan also may specify in an award agreement that the participant’s rights, payments and benefits with respect to an award will be subject to reduction, cancellation, forfeiture or recoupment upon the occurrence of certain specified events. Our board of directors further may require a participant of our 2020 Equity Incentive Plan to forfeit, return or reimburse us all or a portion of the award and any amounts paid under the award in order to comply with any clawback policy of ours or applicable laws. Under our Incentive Compensation Plan, the plan administrator may impose such other clawback, recovery or recoupment provisions with respect to an award under such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0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compensation committee has reviewed and discussed with management the CD&amp;A provided above. Based on its review and discussions, the compensation committee recommended to the board of directors that the CD&amp;A be included in this proxy statement and our Annual Report on Form 10-K for our fiscal year ended December 31,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 by the members of the compensation committee of the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Corey Goodman, Ph.D.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Jason Lettmann</w:t>
      </w:r>
    </w:p>
    <w:p>
      <w:pPr>
        <w:spacing w:after="0"/>
        <w:rPr>
          <w:sz w:val="20"/>
          <w:szCs w:val="20"/>
          <w:color w:val="auto"/>
        </w:rPr>
      </w:pPr>
      <w:r>
        <w:rPr>
          <w:rFonts w:ascii="Arial" w:cs="Arial" w:eastAsia="Arial" w:hAnsi="Arial"/>
          <w:sz w:val="18"/>
          <w:szCs w:val="18"/>
          <w:b w:val="1"/>
          <w:bCs w:val="1"/>
          <w:color w:val="auto"/>
        </w:rPr>
        <w:t>Jack Nielsen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0"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Summary Compensation Table</w:t>
      </w:r>
    </w:p>
    <w:p>
      <w:pPr>
        <w:spacing w:after="0" w:line="11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following table provides information regarding the compensation of our named executive officers during the years ended December 31, 2021, 2020 and 2019.</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Incentive Plan</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3"/>
                <w:szCs w:val="13"/>
                <w:color w:val="auto"/>
              </w:rPr>
            </w:pPr>
          </w:p>
        </w:tc>
        <w:tc>
          <w:tcPr>
            <w:tcW w:w="1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3"/>
                <w:szCs w:val="13"/>
                <w:color w:val="auto"/>
              </w:rPr>
            </w:pPr>
          </w:p>
        </w:tc>
        <w:tc>
          <w:tcPr>
            <w:tcW w:w="1040" w:type="dxa"/>
            <w:vAlign w:val="bottom"/>
          </w:tcPr>
          <w:p>
            <w:pPr>
              <w:jc w:val="right"/>
              <w:ind w:right="220"/>
              <w:spacing w:after="0" w:line="158" w:lineRule="exact"/>
              <w:rPr>
                <w:sz w:val="20"/>
                <w:szCs w:val="20"/>
                <w:color w:val="auto"/>
              </w:rPr>
            </w:pPr>
            <w:r>
              <w:rPr>
                <w:rFonts w:ascii="Arial" w:cs="Arial" w:eastAsia="Arial" w:hAnsi="Arial"/>
                <w:sz w:val="14"/>
                <w:szCs w:val="14"/>
                <w:b w:val="1"/>
                <w:bCs w:val="1"/>
                <w:color w:val="auto"/>
              </w:rPr>
              <w:t>Bonus</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6"/>
                <w:szCs w:val="16"/>
                <w:color w:val="auto"/>
              </w:rPr>
            </w:pPr>
          </w:p>
        </w:tc>
        <w:tc>
          <w:tcPr>
            <w:tcW w:w="1080" w:type="dxa"/>
            <w:vAlign w:val="bottom"/>
          </w:tcPr>
          <w:p>
            <w:pPr>
              <w:jc w:val="right"/>
              <w:ind w:right="144"/>
              <w:spacing w:after="0"/>
              <w:rPr>
                <w:sz w:val="20"/>
                <w:szCs w:val="20"/>
                <w:color w:val="auto"/>
              </w:rPr>
            </w:pPr>
            <w:r>
              <w:rPr>
                <w:rFonts w:ascii="Arial" w:cs="Arial" w:eastAsia="Arial" w:hAnsi="Arial"/>
                <w:sz w:val="14"/>
                <w:szCs w:val="14"/>
                <w:b w:val="1"/>
                <w:bCs w:val="1"/>
                <w:color w:val="auto"/>
              </w:rPr>
              <w:t>Salary ($)</w:t>
            </w:r>
          </w:p>
        </w:tc>
        <w:tc>
          <w:tcPr>
            <w:tcW w:w="1280" w:type="dxa"/>
            <w:vAlign w:val="bottom"/>
            <w:gridSpan w:val="2"/>
          </w:tcPr>
          <w:p>
            <w:pPr>
              <w:jc w:val="center"/>
              <w:ind w:left="120"/>
              <w:spacing w:after="0"/>
              <w:rPr>
                <w:sz w:val="20"/>
                <w:szCs w:val="20"/>
                <w:color w:val="auto"/>
              </w:rPr>
            </w:pPr>
            <w:r>
              <w:rPr>
                <w:rFonts w:ascii="Arial" w:cs="Arial" w:eastAsia="Arial" w:hAnsi="Arial"/>
                <w:sz w:val="14"/>
                <w:szCs w:val="14"/>
                <w:b w:val="1"/>
                <w:bCs w:val="1"/>
                <w:color w:val="auto"/>
              </w:rPr>
              <w:t>($)(1)</w:t>
            </w:r>
          </w:p>
        </w:tc>
        <w:tc>
          <w:tcPr>
            <w:tcW w:w="150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rPr>
              <w:t>($)(2)</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($)(3)</w:t>
            </w:r>
          </w:p>
        </w:tc>
        <w:tc>
          <w:tcPr>
            <w:tcW w:w="180" w:type="dxa"/>
            <w:vAlign w:val="bottom"/>
          </w:tcPr>
          <w:p>
            <w:pPr>
              <w:spacing w:after="0"/>
              <w:rPr>
                <w:sz w:val="16"/>
                <w:szCs w:val="16"/>
                <w:color w:val="auto"/>
              </w:rPr>
            </w:pPr>
          </w:p>
        </w:tc>
        <w:tc>
          <w:tcPr>
            <w:tcW w:w="1160" w:type="dxa"/>
            <w:vAlign w:val="bottom"/>
          </w:tcPr>
          <w:p>
            <w:pPr>
              <w:jc w:val="right"/>
              <w:ind w:right="224"/>
              <w:spacing w:after="0"/>
              <w:rPr>
                <w:sz w:val="20"/>
                <w:szCs w:val="20"/>
                <w:color w:val="auto"/>
              </w:rPr>
            </w:pPr>
            <w:r>
              <w:rPr>
                <w:rFonts w:ascii="Arial" w:cs="Arial" w:eastAsia="Arial" w:hAnsi="Arial"/>
                <w:sz w:val="14"/>
                <w:szCs w:val="14"/>
                <w:b w:val="1"/>
                <w:bCs w:val="1"/>
                <w:color w:val="auto"/>
              </w:rPr>
              <w:t>Total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Jaume Pons, Ph.D.</w:t>
            </w: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566,500</w:t>
            </w:r>
          </w:p>
        </w:tc>
        <w:tc>
          <w:tcPr>
            <w:tcW w:w="20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9,263,228</w:t>
            </w:r>
          </w:p>
        </w:tc>
        <w:tc>
          <w:tcPr>
            <w:tcW w:w="180" w:type="dxa"/>
            <w:vAlign w:val="bottom"/>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283,250</w:t>
            </w:r>
          </w:p>
        </w:tc>
        <w:tc>
          <w:tcPr>
            <w:tcW w:w="18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10,112,978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FF0FC"/>
          </w:tcPr>
          <w:p>
            <w:pPr>
              <w:ind w:left="200"/>
              <w:spacing w:after="0"/>
              <w:rPr>
                <w:sz w:val="20"/>
                <w:szCs w:val="20"/>
                <w:color w:val="auto"/>
              </w:rPr>
            </w:pPr>
            <w:r>
              <w:rPr>
                <w:rFonts w:ascii="Arial" w:cs="Arial" w:eastAsia="Arial" w:hAnsi="Arial"/>
                <w:sz w:val="16"/>
                <w:szCs w:val="16"/>
                <w:i w:val="1"/>
                <w:iCs w:val="1"/>
                <w:color w:val="auto"/>
              </w:rPr>
              <w:t>Chief Executive Officer and</w:t>
            </w: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2020</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487,708</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5,953,964</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292,759</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500,000</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7,234,431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FF0FC"/>
          </w:tcPr>
          <w:p>
            <w:pPr>
              <w:ind w:left="200"/>
              <w:spacing w:after="0"/>
              <w:rPr>
                <w:sz w:val="20"/>
                <w:szCs w:val="20"/>
                <w:color w:val="auto"/>
              </w:rPr>
            </w:pPr>
            <w:r>
              <w:rPr>
                <w:rFonts w:ascii="Arial" w:cs="Arial" w:eastAsia="Arial" w:hAnsi="Arial"/>
                <w:sz w:val="16"/>
                <w:szCs w:val="16"/>
                <w:i w:val="1"/>
                <w:iCs w:val="1"/>
                <w:color w:val="auto"/>
              </w:rPr>
              <w:t>President</w:t>
            </w: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2019</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422,300</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134,002</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147,900</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704,202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560" w:type="dxa"/>
            <w:vAlign w:val="bottom"/>
          </w:tcPr>
          <w:p>
            <w:pPr>
              <w:ind w:left="20"/>
              <w:spacing w:after="0"/>
              <w:rPr>
                <w:sz w:val="20"/>
                <w:szCs w:val="20"/>
                <w:color w:val="auto"/>
              </w:rPr>
            </w:pPr>
            <w:r>
              <w:rPr>
                <w:rFonts w:ascii="Arial" w:cs="Arial" w:eastAsia="Arial" w:hAnsi="Arial"/>
                <w:sz w:val="16"/>
                <w:szCs w:val="16"/>
                <w:color w:val="auto"/>
              </w:rPr>
              <w:t>Peter Garcia</w:t>
            </w:r>
          </w:p>
        </w:tc>
        <w:tc>
          <w:tcPr>
            <w:tcW w:w="1080" w:type="dxa"/>
            <w:vAlign w:val="bottom"/>
          </w:tcPr>
          <w:p>
            <w:pPr>
              <w:jc w:val="center"/>
              <w:spacing w:after="0"/>
              <w:rPr>
                <w:sz w:val="20"/>
                <w:szCs w:val="20"/>
                <w:color w:val="auto"/>
              </w:rPr>
            </w:pPr>
            <w:r>
              <w:rPr>
                <w:rFonts w:ascii="Arial" w:cs="Arial" w:eastAsia="Arial" w:hAnsi="Arial"/>
                <w:sz w:val="16"/>
                <w:szCs w:val="16"/>
                <w:color w:val="auto"/>
              </w:rPr>
              <w:t>2021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453,200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4,116,990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181,280</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4,751,470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0"/>
              <w:spacing w:after="0"/>
              <w:rPr>
                <w:sz w:val="20"/>
                <w:szCs w:val="20"/>
                <w:color w:val="auto"/>
              </w:rPr>
            </w:pPr>
            <w:r>
              <w:rPr>
                <w:rFonts w:ascii="Arial" w:cs="Arial" w:eastAsia="Arial" w:hAnsi="Arial"/>
                <w:sz w:val="16"/>
                <w:szCs w:val="16"/>
                <w:i w:val="1"/>
                <w:iCs w:val="1"/>
                <w:color w:val="auto"/>
              </w:rPr>
              <w:t>Chief Financial Officer</w:t>
            </w:r>
          </w:p>
        </w:tc>
        <w:tc>
          <w:tcPr>
            <w:tcW w:w="1080" w:type="dxa"/>
            <w:vAlign w:val="bottom"/>
          </w:tcPr>
          <w:p>
            <w:pPr>
              <w:jc w:val="center"/>
              <w:spacing w:after="0"/>
              <w:rPr>
                <w:sz w:val="20"/>
                <w:szCs w:val="20"/>
                <w:color w:val="auto"/>
              </w:rPr>
            </w:pPr>
            <w:r>
              <w:rPr>
                <w:rFonts w:ascii="Arial" w:cs="Arial" w:eastAsia="Arial" w:hAnsi="Arial"/>
                <w:sz w:val="16"/>
                <w:szCs w:val="16"/>
                <w:color w:val="auto"/>
              </w:rPr>
              <w:t>2020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416,818</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2,006,792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200,837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200,000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2,824,447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Sophia Randolph, M.D., Ph.D.</w:t>
            </w: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2021</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453,200</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4,116,990</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181,280</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4,751,470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FF0FC"/>
          </w:tcPr>
          <w:p>
            <w:pPr>
              <w:ind w:left="200"/>
              <w:spacing w:after="0"/>
              <w:rPr>
                <w:sz w:val="20"/>
                <w:szCs w:val="20"/>
                <w:color w:val="auto"/>
              </w:rPr>
            </w:pPr>
            <w:r>
              <w:rPr>
                <w:rFonts w:ascii="Arial" w:cs="Arial" w:eastAsia="Arial" w:hAnsi="Arial"/>
                <w:sz w:val="16"/>
                <w:szCs w:val="16"/>
                <w:i w:val="1"/>
                <w:iCs w:val="1"/>
                <w:color w:val="auto"/>
              </w:rPr>
              <w:t>Chief Medical Officer</w:t>
            </w: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2020</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397,588</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1,818,862</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190,915</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350,000</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2,757,365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60" w:type="dxa"/>
            <w:vAlign w:val="bottom"/>
            <w:shd w:val="clear" w:color="auto" w:fill="CFF0FC"/>
          </w:tcPr>
          <w:p>
            <w:pPr>
              <w:spacing w:after="0"/>
              <w:rPr>
                <w:sz w:val="17"/>
                <w:szCs w:val="17"/>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2019</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351,100</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40,834</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105,400</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497,334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60" w:type="dxa"/>
            <w:vAlign w:val="bottom"/>
          </w:tcPr>
          <w:p>
            <w:pPr>
              <w:ind w:left="20"/>
              <w:spacing w:after="0"/>
              <w:rPr>
                <w:sz w:val="20"/>
                <w:szCs w:val="20"/>
                <w:color w:val="auto"/>
              </w:rPr>
            </w:pPr>
            <w:r>
              <w:rPr>
                <w:rFonts w:ascii="Arial" w:cs="Arial" w:eastAsia="Arial" w:hAnsi="Arial"/>
                <w:sz w:val="16"/>
                <w:szCs w:val="16"/>
                <w:color w:val="auto"/>
              </w:rPr>
              <w:t>Shelly Pinto</w:t>
            </w:r>
          </w:p>
        </w:tc>
        <w:tc>
          <w:tcPr>
            <w:tcW w:w="1080" w:type="dxa"/>
            <w:vAlign w:val="bottom"/>
          </w:tcPr>
          <w:p>
            <w:pPr>
              <w:jc w:val="center"/>
              <w:spacing w:after="0"/>
              <w:rPr>
                <w:sz w:val="20"/>
                <w:szCs w:val="20"/>
                <w:color w:val="auto"/>
              </w:rPr>
            </w:pPr>
            <w:r>
              <w:rPr>
                <w:rFonts w:ascii="Arial" w:cs="Arial" w:eastAsia="Arial" w:hAnsi="Arial"/>
                <w:sz w:val="16"/>
                <w:szCs w:val="16"/>
                <w:color w:val="auto"/>
              </w:rPr>
              <w:t>2021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226,667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6,724,110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90,542</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75,000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7,116,319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200"/>
              <w:spacing w:after="0" w:line="162" w:lineRule="exact"/>
              <w:rPr>
                <w:sz w:val="20"/>
                <w:szCs w:val="20"/>
                <w:color w:val="auto"/>
              </w:rPr>
            </w:pPr>
            <w:r>
              <w:rPr>
                <w:rFonts w:ascii="Arial" w:cs="Arial" w:eastAsia="Arial" w:hAnsi="Arial"/>
                <w:sz w:val="16"/>
                <w:szCs w:val="16"/>
                <w:i w:val="1"/>
                <w:iCs w:val="1"/>
                <w:color w:val="auto"/>
              </w:rPr>
              <w:t>Vice President, Finance and Chief</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560" w:type="dxa"/>
            <w:vAlign w:val="bottom"/>
          </w:tcPr>
          <w:p>
            <w:pPr>
              <w:ind w:left="200"/>
              <w:spacing w:after="0"/>
              <w:rPr>
                <w:sz w:val="20"/>
                <w:szCs w:val="20"/>
                <w:color w:val="auto"/>
              </w:rPr>
            </w:pPr>
            <w:r>
              <w:rPr>
                <w:rFonts w:ascii="Arial" w:cs="Arial" w:eastAsia="Arial" w:hAnsi="Arial"/>
                <w:sz w:val="16"/>
                <w:szCs w:val="16"/>
                <w:i w:val="1"/>
                <w:iCs w:val="1"/>
                <w:color w:val="auto"/>
              </w:rPr>
              <w:t>Accounting Officer</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Steffen Pietzke</w:t>
            </w: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2021</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104,813</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104,813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FF0FC"/>
          </w:tcPr>
          <w:p>
            <w:pPr>
              <w:ind w:left="200"/>
              <w:spacing w:after="0"/>
              <w:rPr>
                <w:sz w:val="20"/>
                <w:szCs w:val="20"/>
                <w:color w:val="auto"/>
              </w:rPr>
            </w:pPr>
            <w:r>
              <w:rPr>
                <w:rFonts w:ascii="Arial" w:cs="Arial" w:eastAsia="Arial" w:hAnsi="Arial"/>
                <w:sz w:val="16"/>
                <w:szCs w:val="16"/>
                <w:i w:val="1"/>
                <w:iCs w:val="1"/>
                <w:color w:val="auto"/>
              </w:rPr>
              <w:t>Former Vice President,</w:t>
            </w: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2020</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257,292</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994,916</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123,945</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150,000</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1,562,865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460" w:right="220" w:hanging="444"/>
        <w:spacing w:after="0" w:line="23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column reflects the aggregate grant date fair value of option awards granted to the officer in the applicable fiscal year, computed in accordance with FASB ASC Topic 718. See Note 9 to our financial statements for the year ended December 31, 2021 included in our Annual Report on Form 10-K for the year ended December 31, 2021 for a discussion of the assumptions made by us in determining the grant date fair value of our equity awards. Our named executive officers will only realize compensation to the extent the trading price of our common stock is greater than the exercise price of such stock options.</w:t>
      </w:r>
    </w:p>
    <w:p>
      <w:pPr>
        <w:spacing w:after="0" w:line="196" w:lineRule="exact"/>
        <w:rPr>
          <w:rFonts w:ascii="Arial" w:cs="Arial" w:eastAsia="Arial" w:hAnsi="Arial"/>
          <w:sz w:val="18"/>
          <w:szCs w:val="18"/>
          <w:color w:val="auto"/>
        </w:rPr>
      </w:pPr>
    </w:p>
    <w:p>
      <w:pPr>
        <w:ind w:left="460" w:right="440" w:hanging="444"/>
        <w:spacing w:after="0" w:line="256"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amounts disclosed represent discretionary bonuses based upon achievement of certain Company and individual performance metrics.</w:t>
      </w:r>
    </w:p>
    <w:p>
      <w:pPr>
        <w:spacing w:after="0" w:line="192" w:lineRule="exact"/>
        <w:rPr>
          <w:rFonts w:ascii="Arial" w:cs="Arial" w:eastAsia="Arial" w:hAnsi="Arial"/>
          <w:sz w:val="18"/>
          <w:szCs w:val="18"/>
          <w:color w:val="auto"/>
        </w:rPr>
      </w:pPr>
    </w:p>
    <w:p>
      <w:pPr>
        <w:ind w:left="460" w:right="460" w:hanging="444"/>
        <w:spacing w:after="0" w:line="256"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amounts disclosed represent discretionary bonuses that were not based on satisfaction of performance targets that were pre-established or communicated.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Grants of Plan-Based Awards</w:t>
      </w:r>
    </w:p>
    <w:p>
      <w:pPr>
        <w:spacing w:after="0" w:line="10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following table provides information regarding grants of plan-based awards to each of our named executive officers during the fiscal year ended December 31,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Exercise or</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6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Estimated Future</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Base</w:t>
            </w:r>
          </w:p>
        </w:tc>
        <w:tc>
          <w:tcPr>
            <w:tcW w:w="160" w:type="dxa"/>
            <w:vAlign w:val="bottom"/>
          </w:tcPr>
          <w:p>
            <w:pPr>
              <w:spacing w:after="0"/>
              <w:rPr>
                <w:sz w:val="13"/>
                <w:szCs w:val="13"/>
                <w:color w:val="auto"/>
              </w:rPr>
            </w:pPr>
          </w:p>
        </w:tc>
        <w:tc>
          <w:tcPr>
            <w:tcW w:w="11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Grant Date Fair</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Payouts</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Price of</w:t>
            </w:r>
          </w:p>
        </w:tc>
        <w:tc>
          <w:tcPr>
            <w:tcW w:w="160" w:type="dxa"/>
            <w:vAlign w:val="bottom"/>
          </w:tcPr>
          <w:p>
            <w:pPr>
              <w:spacing w:after="0"/>
              <w:rPr>
                <w:sz w:val="13"/>
                <w:szCs w:val="13"/>
                <w:color w:val="auto"/>
              </w:rPr>
            </w:pP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Value of Stock</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Under Non-Equity</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of Securities</w:t>
            </w: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and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04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Grant Date</w:t>
            </w: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Incentive Plan</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Underlying</w:t>
            </w: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Awards</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Option Awards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60" w:type="dxa"/>
            <w:vAlign w:val="bottom"/>
          </w:tcPr>
          <w:p>
            <w:pPr>
              <w:spacing w:after="0"/>
              <w:rPr>
                <w:sz w:val="16"/>
                <w:szCs w:val="16"/>
                <w:color w:val="auto"/>
              </w:rPr>
            </w:pPr>
          </w:p>
        </w:tc>
        <w:tc>
          <w:tcPr>
            <w:tcW w:w="20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Awards ($)(1)</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Options(3)</w:t>
            </w:r>
          </w:p>
        </w:tc>
        <w:tc>
          <w:tcPr>
            <w:tcW w:w="1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1300" w:type="dxa"/>
            <w:vAlign w:val="bottom"/>
            <w:gridSpan w:val="2"/>
          </w:tcPr>
          <w:p>
            <w:pPr>
              <w:jc w:val="center"/>
              <w:ind w:left="53"/>
              <w:spacing w:after="0"/>
              <w:rPr>
                <w:sz w:val="20"/>
                <w:szCs w:val="20"/>
                <w:color w:val="auto"/>
              </w:rPr>
            </w:pPr>
            <w:r>
              <w:rPr>
                <w:rFonts w:ascii="Arial" w:cs="Arial" w:eastAsia="Arial" w:hAnsi="Arial"/>
                <w:sz w:val="14"/>
                <w:szCs w:val="14"/>
                <w:b w:val="1"/>
                <w:bCs w:val="1"/>
                <w:color w:val="auto"/>
              </w:rPr>
              <w:t>($)(2)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6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204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Target</w:t>
            </w:r>
          </w:p>
        </w:tc>
        <w:tc>
          <w:tcPr>
            <w:tcW w:w="180" w:type="dxa"/>
            <w:vAlign w:val="bottom"/>
          </w:tcPr>
          <w:p>
            <w:pPr>
              <w:spacing w:after="0"/>
              <w:rPr>
                <w:sz w:val="14"/>
                <w:szCs w:val="14"/>
                <w:color w:val="auto"/>
              </w:rPr>
            </w:pPr>
          </w:p>
        </w:tc>
        <w:tc>
          <w:tcPr>
            <w:tcW w:w="9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660" w:type="dxa"/>
            <w:vAlign w:val="bottom"/>
            <w:shd w:val="clear" w:color="auto" w:fill="CFF0FC"/>
          </w:tcPr>
          <w:p>
            <w:pPr>
              <w:ind w:left="20"/>
              <w:spacing w:after="0" w:line="191" w:lineRule="exact"/>
              <w:rPr>
                <w:sz w:val="20"/>
                <w:szCs w:val="20"/>
                <w:color w:val="auto"/>
              </w:rPr>
            </w:pPr>
            <w:r>
              <w:rPr>
                <w:rFonts w:ascii="Arial" w:cs="Arial" w:eastAsia="Arial" w:hAnsi="Arial"/>
                <w:sz w:val="18"/>
                <w:szCs w:val="18"/>
                <w:color w:val="auto"/>
              </w:rPr>
              <w:t>Jaume Pons, Ph.D.</w:t>
            </w:r>
          </w:p>
        </w:tc>
        <w:tc>
          <w:tcPr>
            <w:tcW w:w="2040" w:type="dxa"/>
            <w:vAlign w:val="bottom"/>
            <w:shd w:val="clear" w:color="auto" w:fill="CFF0FC"/>
          </w:tcPr>
          <w:p>
            <w:pPr>
              <w:jc w:val="right"/>
              <w:spacing w:after="0" w:line="191" w:lineRule="exact"/>
              <w:rPr>
                <w:sz w:val="20"/>
                <w:szCs w:val="20"/>
                <w:color w:val="auto"/>
              </w:rPr>
            </w:pPr>
            <w:r>
              <w:rPr>
                <w:rFonts w:ascii="Arial" w:cs="Arial" w:eastAsia="Arial" w:hAnsi="Arial"/>
                <w:sz w:val="18"/>
                <w:szCs w:val="18"/>
                <w:color w:val="auto"/>
              </w:rPr>
              <w:t>1/8/2021</w:t>
            </w:r>
          </w:p>
        </w:tc>
        <w:tc>
          <w:tcPr>
            <w:tcW w:w="220" w:type="dxa"/>
            <w:vAlign w:val="bottom"/>
            <w:shd w:val="clear" w:color="auto" w:fill="CFF0FC"/>
          </w:tcPr>
          <w:p>
            <w:pPr>
              <w:spacing w:after="0"/>
              <w:rPr>
                <w:sz w:val="16"/>
                <w:szCs w:val="16"/>
                <w:color w:val="auto"/>
              </w:rPr>
            </w:pPr>
          </w:p>
        </w:tc>
        <w:tc>
          <w:tcPr>
            <w:tcW w:w="1600" w:type="dxa"/>
            <w:vAlign w:val="bottom"/>
            <w:shd w:val="clear" w:color="auto" w:fill="CFF0FC"/>
          </w:tcPr>
          <w:p>
            <w:pPr>
              <w:jc w:val="right"/>
              <w:spacing w:after="0" w:line="191" w:lineRule="exact"/>
              <w:rPr>
                <w:sz w:val="20"/>
                <w:szCs w:val="20"/>
                <w:color w:val="auto"/>
              </w:rPr>
            </w:pPr>
            <w:r>
              <w:rPr>
                <w:rFonts w:ascii="Arial" w:cs="Arial" w:eastAsia="Arial" w:hAnsi="Arial"/>
                <w:sz w:val="18"/>
                <w:szCs w:val="18"/>
                <w:color w:val="auto"/>
              </w:rPr>
              <w:t>283,250</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660" w:type="dxa"/>
            <w:vAlign w:val="bottom"/>
            <w:shd w:val="clear" w:color="auto" w:fill="CFF0FC"/>
          </w:tcPr>
          <w:p>
            <w:pPr>
              <w:spacing w:after="0"/>
              <w:rPr>
                <w:sz w:val="20"/>
                <w:szCs w:val="20"/>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7/30/2021</w:t>
            </w:r>
          </w:p>
        </w:tc>
        <w:tc>
          <w:tcPr>
            <w:tcW w:w="22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22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225,000</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58.56</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9,263,228</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660" w:type="dxa"/>
            <w:vAlign w:val="bottom"/>
          </w:tcPr>
          <w:p>
            <w:pPr>
              <w:ind w:left="20"/>
              <w:spacing w:after="0" w:line="197" w:lineRule="exact"/>
              <w:rPr>
                <w:sz w:val="20"/>
                <w:szCs w:val="20"/>
                <w:color w:val="auto"/>
              </w:rPr>
            </w:pPr>
            <w:r>
              <w:rPr>
                <w:rFonts w:ascii="Arial" w:cs="Arial" w:eastAsia="Arial" w:hAnsi="Arial"/>
                <w:sz w:val="18"/>
                <w:szCs w:val="18"/>
                <w:color w:val="auto"/>
              </w:rPr>
              <w:t>Peter Garcia</w:t>
            </w:r>
          </w:p>
        </w:tc>
        <w:tc>
          <w:tcPr>
            <w:tcW w:w="2040" w:type="dxa"/>
            <w:vAlign w:val="bottom"/>
          </w:tcPr>
          <w:p>
            <w:pPr>
              <w:jc w:val="right"/>
              <w:spacing w:after="0" w:line="197" w:lineRule="exact"/>
              <w:rPr>
                <w:sz w:val="20"/>
                <w:szCs w:val="20"/>
                <w:color w:val="auto"/>
              </w:rPr>
            </w:pPr>
            <w:r>
              <w:rPr>
                <w:rFonts w:ascii="Arial" w:cs="Arial" w:eastAsia="Arial" w:hAnsi="Arial"/>
                <w:sz w:val="18"/>
                <w:szCs w:val="18"/>
                <w:color w:val="auto"/>
              </w:rPr>
              <w:t>1/8/2021</w:t>
            </w:r>
          </w:p>
        </w:tc>
        <w:tc>
          <w:tcPr>
            <w:tcW w:w="182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181,280</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6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7/30/2021</w:t>
            </w: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80" w:type="dxa"/>
            <w:vAlign w:val="bottom"/>
            <w:gridSpan w:val="4"/>
          </w:tcPr>
          <w:p>
            <w:pPr>
              <w:jc w:val="right"/>
              <w:spacing w:after="0"/>
              <w:rPr>
                <w:sz w:val="20"/>
                <w:szCs w:val="20"/>
                <w:color w:val="auto"/>
              </w:rPr>
            </w:pPr>
            <w:r>
              <w:rPr>
                <w:rFonts w:ascii="Arial" w:cs="Arial" w:eastAsia="Arial" w:hAnsi="Arial"/>
                <w:sz w:val="18"/>
                <w:szCs w:val="18"/>
                <w:color w:val="auto"/>
              </w:rPr>
              <w:t>100,000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58.56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4,116,990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66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Sophia Randolph, M.D.,</w:t>
            </w:r>
          </w:p>
        </w:tc>
        <w:tc>
          <w:tcPr>
            <w:tcW w:w="2040" w:type="dxa"/>
            <w:vAlign w:val="bottom"/>
            <w:shd w:val="clear" w:color="auto" w:fill="CFF0FC"/>
          </w:tcPr>
          <w:p>
            <w:pPr>
              <w:jc w:val="right"/>
              <w:spacing w:after="0" w:line="197" w:lineRule="exact"/>
              <w:rPr>
                <w:sz w:val="20"/>
                <w:szCs w:val="20"/>
                <w:color w:val="auto"/>
              </w:rPr>
            </w:pPr>
            <w:r>
              <w:rPr>
                <w:rFonts w:ascii="Arial" w:cs="Arial" w:eastAsia="Arial" w:hAnsi="Arial"/>
                <w:sz w:val="18"/>
                <w:szCs w:val="18"/>
                <w:color w:val="auto"/>
              </w:rPr>
              <w:t>1/8/2021</w:t>
            </w:r>
          </w:p>
        </w:tc>
        <w:tc>
          <w:tcPr>
            <w:tcW w:w="1820" w:type="dxa"/>
            <w:vAlign w:val="bottom"/>
            <w:gridSpan w:val="2"/>
            <w:shd w:val="clear" w:color="auto" w:fill="CFF0FC"/>
          </w:tcPr>
          <w:p>
            <w:pPr>
              <w:jc w:val="right"/>
              <w:spacing w:after="0" w:line="197" w:lineRule="exact"/>
              <w:rPr>
                <w:sz w:val="20"/>
                <w:szCs w:val="20"/>
                <w:color w:val="auto"/>
              </w:rPr>
            </w:pPr>
            <w:r>
              <w:rPr>
                <w:rFonts w:ascii="Arial" w:cs="Arial" w:eastAsia="Arial" w:hAnsi="Arial"/>
                <w:sz w:val="18"/>
                <w:szCs w:val="18"/>
                <w:color w:val="auto"/>
              </w:rPr>
              <w:t>181,280</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6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Ph.D.</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7/30/2021</w:t>
            </w:r>
          </w:p>
        </w:tc>
        <w:tc>
          <w:tcPr>
            <w:tcW w:w="22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22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58.56</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4,116,990</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660" w:type="dxa"/>
            <w:vAlign w:val="bottom"/>
          </w:tcPr>
          <w:p>
            <w:pPr>
              <w:ind w:left="20"/>
              <w:spacing w:after="0" w:line="197" w:lineRule="exact"/>
              <w:rPr>
                <w:sz w:val="20"/>
                <w:szCs w:val="20"/>
                <w:color w:val="auto"/>
              </w:rPr>
            </w:pPr>
            <w:r>
              <w:rPr>
                <w:rFonts w:ascii="Arial" w:cs="Arial" w:eastAsia="Arial" w:hAnsi="Arial"/>
                <w:sz w:val="18"/>
                <w:szCs w:val="18"/>
                <w:color w:val="auto"/>
              </w:rPr>
              <w:t>Shelly Pinto(4)</w:t>
            </w:r>
          </w:p>
        </w:tc>
        <w:tc>
          <w:tcPr>
            <w:tcW w:w="2040" w:type="dxa"/>
            <w:vAlign w:val="bottom"/>
          </w:tcPr>
          <w:p>
            <w:pPr>
              <w:jc w:val="right"/>
              <w:spacing w:after="0" w:line="197" w:lineRule="exact"/>
              <w:rPr>
                <w:sz w:val="20"/>
                <w:szCs w:val="20"/>
                <w:color w:val="auto"/>
              </w:rPr>
            </w:pPr>
            <w:r>
              <w:rPr>
                <w:rFonts w:ascii="Arial" w:cs="Arial" w:eastAsia="Arial" w:hAnsi="Arial"/>
                <w:sz w:val="18"/>
                <w:szCs w:val="18"/>
                <w:color w:val="auto"/>
              </w:rPr>
              <w:t>5/3/2021</w:t>
            </w:r>
          </w:p>
        </w:tc>
        <w:tc>
          <w:tcPr>
            <w:tcW w:w="182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90,542</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5/3/2021</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80" w:type="dxa"/>
            <w:vAlign w:val="bottom"/>
            <w:gridSpan w:val="4"/>
          </w:tcPr>
          <w:p>
            <w:pPr>
              <w:jc w:val="right"/>
              <w:spacing w:after="0"/>
              <w:rPr>
                <w:sz w:val="20"/>
                <w:szCs w:val="20"/>
                <w:color w:val="auto"/>
              </w:rPr>
            </w:pPr>
            <w:r>
              <w:rPr>
                <w:rFonts w:ascii="Arial" w:cs="Arial" w:eastAsia="Arial" w:hAnsi="Arial"/>
                <w:sz w:val="18"/>
                <w:szCs w:val="18"/>
                <w:color w:val="auto"/>
              </w:rPr>
              <w:t>125,000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62.83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7,853,750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6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7/30/2021</w:t>
            </w: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80" w:type="dxa"/>
            <w:vAlign w:val="bottom"/>
            <w:gridSpan w:val="4"/>
          </w:tcPr>
          <w:p>
            <w:pPr>
              <w:jc w:val="right"/>
              <w:spacing w:after="0"/>
              <w:rPr>
                <w:sz w:val="20"/>
                <w:szCs w:val="20"/>
                <w:color w:val="auto"/>
              </w:rPr>
            </w:pPr>
            <w:r>
              <w:rPr>
                <w:rFonts w:ascii="Arial" w:cs="Arial" w:eastAsia="Arial" w:hAnsi="Arial"/>
                <w:sz w:val="18"/>
                <w:szCs w:val="18"/>
                <w:color w:val="auto"/>
              </w:rPr>
              <w:t>25,000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58.56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1,029,248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Steffen Pietzke(5)</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60" w:right="140" w:hanging="444"/>
        <w:spacing w:after="0" w:line="23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reported in these columns represent the target and maximum amount of annual performance-based incentive bonus compensation that might have been paid to each named executive officer for 2021 performance. The actual payouts approved for 2021 performance are shown in the “Non-Equity Incentive Plan Compensation” column of the “Summary Compensation Table.” These awards are described in further detail in the CD&amp;A in the section entitled “Executive Incentive Compensation Plan.” The bonus payouts approved pursuant to the Executive Incentive Compensation Plan were paid in February 2022.</w:t>
      </w:r>
    </w:p>
    <w:p>
      <w:pPr>
        <w:spacing w:after="0" w:line="196" w:lineRule="exact"/>
        <w:rPr>
          <w:rFonts w:ascii="Arial" w:cs="Arial" w:eastAsia="Arial" w:hAnsi="Arial"/>
          <w:sz w:val="18"/>
          <w:szCs w:val="18"/>
          <w:color w:val="auto"/>
        </w:rPr>
      </w:pPr>
    </w:p>
    <w:p>
      <w:pPr>
        <w:ind w:left="460" w:right="160" w:hanging="444"/>
        <w:spacing w:after="0" w:line="23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shown are full grant date fair value in accordance with FASB ASC Topic 718. The assumptions used to calculate the grant date fair value of option awards are set forth under Note 9 of the Notes to the Consolidated Financial Statements included in the Company’s Annual Report on Form 10-K for the year ended December 31, 2021 filed with the SEC on February 28, 2022.</w:t>
      </w:r>
    </w:p>
    <w:p>
      <w:pPr>
        <w:spacing w:after="0" w:line="194" w:lineRule="exact"/>
        <w:rPr>
          <w:rFonts w:ascii="Arial" w:cs="Arial" w:eastAsia="Arial" w:hAnsi="Arial"/>
          <w:sz w:val="18"/>
          <w:szCs w:val="18"/>
          <w:color w:val="auto"/>
        </w:rPr>
      </w:pPr>
    </w:p>
    <w:p>
      <w:pPr>
        <w:ind w:left="460" w:right="360" w:hanging="444"/>
        <w:spacing w:after="0" w:line="256"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in this column represent the stock option awards granted in 2021 pursuant to our 2020 Equity Incentive Plan. The per share exercise price of the stock options is equal to the closing price of a share of our common stock on the date of grant.</w:t>
      </w:r>
    </w:p>
    <w:p>
      <w:pPr>
        <w:spacing w:after="0" w:line="165" w:lineRule="exact"/>
        <w:rPr>
          <w:rFonts w:ascii="Arial" w:cs="Arial" w:eastAsia="Arial" w:hAnsi="Arial"/>
          <w:sz w:val="18"/>
          <w:szCs w:val="18"/>
          <w:color w:val="auto"/>
        </w:rPr>
      </w:pPr>
    </w:p>
    <w:p>
      <w:pPr>
        <w:ind w:left="460" w:right="140" w:hanging="444"/>
        <w:spacing w:after="0" w:line="256"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Ms. Pinto joined as our Vice President, Finance and Chief Accounting Officer in May 2021. The estimated future payout amount under non-equity incentive plan awards was prorated based on Ms. Pinto’s start date.</w:t>
      </w:r>
    </w:p>
    <w:p>
      <w:pPr>
        <w:spacing w:after="0" w:line="165" w:lineRule="exact"/>
        <w:rPr>
          <w:rFonts w:ascii="Arial" w:cs="Arial" w:eastAsia="Arial" w:hAnsi="Arial"/>
          <w:sz w:val="18"/>
          <w:szCs w:val="18"/>
          <w:color w:val="auto"/>
        </w:rPr>
      </w:pPr>
    </w:p>
    <w:p>
      <w:pPr>
        <w:ind w:left="460" w:hanging="44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Pietzke resigned as our Vice President, Finance and Chief Accounting Officer in March 2021.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Outstanding Equity Awards at 2021 Year-End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outstanding equity awards held by our named executive officers as of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Option Awards</w:t>
            </w: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Number of</w:t>
            </w:r>
          </w:p>
        </w:tc>
        <w:tc>
          <w:tcPr>
            <w:tcW w:w="660" w:type="dxa"/>
            <w:vAlign w:val="bottom"/>
          </w:tcPr>
          <w:p>
            <w:pPr>
              <w:spacing w:after="0"/>
              <w:rPr>
                <w:sz w:val="11"/>
                <w:szCs w:val="11"/>
                <w:color w:val="auto"/>
              </w:rPr>
            </w:pPr>
          </w:p>
        </w:tc>
        <w:tc>
          <w:tcPr>
            <w:tcW w:w="168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rPr>
              <w:t>Number of</w:t>
            </w: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Securities</w:t>
            </w:r>
          </w:p>
        </w:tc>
        <w:tc>
          <w:tcPr>
            <w:tcW w:w="660" w:type="dxa"/>
            <w:vAlign w:val="bottom"/>
          </w:tcPr>
          <w:p>
            <w:pPr>
              <w:spacing w:after="0"/>
              <w:rPr>
                <w:sz w:val="12"/>
                <w:szCs w:val="12"/>
                <w:color w:val="auto"/>
              </w:rPr>
            </w:pP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Securities</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Option</w:t>
            </w:r>
          </w:p>
        </w:tc>
        <w:tc>
          <w:tcPr>
            <w:tcW w:w="2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Option</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Underlying</w:t>
            </w:r>
          </w:p>
        </w:tc>
        <w:tc>
          <w:tcPr>
            <w:tcW w:w="660" w:type="dxa"/>
            <w:vAlign w:val="bottom"/>
          </w:tcPr>
          <w:p>
            <w:pPr>
              <w:spacing w:after="0"/>
              <w:rPr>
                <w:sz w:val="12"/>
                <w:szCs w:val="12"/>
                <w:color w:val="auto"/>
              </w:rPr>
            </w:pP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Underlying</w:t>
            </w:r>
          </w:p>
        </w:tc>
        <w:tc>
          <w:tcPr>
            <w:tcW w:w="10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13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Date of</w:t>
            </w:r>
          </w:p>
        </w:tc>
        <w:tc>
          <w:tcPr>
            <w:tcW w:w="12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Exercisable</w:t>
            </w:r>
          </w:p>
        </w:tc>
        <w:tc>
          <w:tcPr>
            <w:tcW w:w="660" w:type="dxa"/>
            <w:vAlign w:val="bottom"/>
          </w:tcPr>
          <w:p>
            <w:pPr>
              <w:spacing w:after="0"/>
              <w:rPr>
                <w:sz w:val="13"/>
                <w:szCs w:val="13"/>
                <w:color w:val="auto"/>
              </w:rPr>
            </w:pPr>
          </w:p>
        </w:tc>
        <w:tc>
          <w:tcPr>
            <w:tcW w:w="16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rPr>
              <w:t>Unexercisable</w:t>
            </w: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Exercise</w:t>
            </w:r>
          </w:p>
        </w:tc>
        <w:tc>
          <w:tcPr>
            <w:tcW w:w="20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Expiration</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Grant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660" w:type="dxa"/>
            <w:vAlign w:val="bottom"/>
          </w:tcPr>
          <w:p>
            <w:pPr>
              <w:spacing w:after="0"/>
              <w:rPr>
                <w:sz w:val="16"/>
                <w:szCs w:val="16"/>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Options(1)</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Price ($)</w:t>
            </w:r>
          </w:p>
        </w:tc>
        <w:tc>
          <w:tcPr>
            <w:tcW w:w="2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40" w:type="dxa"/>
            <w:vAlign w:val="bottom"/>
            <w:shd w:val="clear" w:color="auto" w:fill="CFF0FC"/>
          </w:tcPr>
          <w:p>
            <w:pPr>
              <w:ind w:left="20"/>
              <w:spacing w:after="0" w:line="191" w:lineRule="exact"/>
              <w:rPr>
                <w:sz w:val="20"/>
                <w:szCs w:val="20"/>
                <w:color w:val="auto"/>
              </w:rPr>
            </w:pPr>
            <w:r>
              <w:rPr>
                <w:rFonts w:ascii="Arial" w:cs="Arial" w:eastAsia="Arial" w:hAnsi="Arial"/>
                <w:sz w:val="18"/>
                <w:szCs w:val="18"/>
                <w:color w:val="auto"/>
              </w:rPr>
              <w:t>Jaume Pons, Ph.D.</w:t>
            </w:r>
          </w:p>
        </w:tc>
        <w:tc>
          <w:tcPr>
            <w:tcW w:w="1140" w:type="dxa"/>
            <w:vAlign w:val="bottom"/>
            <w:tcBorders>
              <w:top w:val="single" w:sz="8" w:color="auto"/>
            </w:tcBorders>
            <w:shd w:val="clear" w:color="auto" w:fill="CFF0FC"/>
          </w:tcPr>
          <w:p>
            <w:pPr>
              <w:jc w:val="right"/>
              <w:spacing w:after="0" w:line="191" w:lineRule="exact"/>
              <w:rPr>
                <w:sz w:val="20"/>
                <w:szCs w:val="20"/>
                <w:color w:val="auto"/>
              </w:rPr>
            </w:pPr>
            <w:r>
              <w:rPr>
                <w:rFonts w:ascii="Arial" w:cs="Arial" w:eastAsia="Arial" w:hAnsi="Arial"/>
                <w:sz w:val="18"/>
                <w:szCs w:val="18"/>
                <w:color w:val="auto"/>
              </w:rPr>
              <w:t>07/30/21</w:t>
            </w:r>
          </w:p>
        </w:tc>
        <w:tc>
          <w:tcPr>
            <w:tcW w:w="240" w:type="dxa"/>
            <w:vAlign w:val="bottom"/>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jc w:val="right"/>
              <w:spacing w:after="0" w:line="191" w:lineRule="exact"/>
              <w:rPr>
                <w:sz w:val="20"/>
                <w:szCs w:val="20"/>
                <w:color w:val="auto"/>
              </w:rPr>
            </w:pPr>
            <w:r>
              <w:rPr>
                <w:rFonts w:ascii="Arial" w:cs="Arial" w:eastAsia="Arial" w:hAnsi="Arial"/>
                <w:sz w:val="18"/>
                <w:szCs w:val="18"/>
                <w:color w:val="auto"/>
              </w:rPr>
              <w:t>23,437</w:t>
            </w:r>
          </w:p>
        </w:tc>
        <w:tc>
          <w:tcPr>
            <w:tcW w:w="660" w:type="dxa"/>
            <w:vAlign w:val="bottom"/>
            <w:shd w:val="clear" w:color="auto" w:fill="CFF0FC"/>
          </w:tcPr>
          <w:p>
            <w:pPr>
              <w:ind w:left="140"/>
              <w:spacing w:after="0" w:line="191" w:lineRule="exact"/>
              <w:rPr>
                <w:sz w:val="20"/>
                <w:szCs w:val="20"/>
                <w:color w:val="auto"/>
              </w:rPr>
            </w:pPr>
            <w:r>
              <w:rPr>
                <w:rFonts w:ascii="Arial" w:cs="Arial" w:eastAsia="Arial" w:hAnsi="Arial"/>
                <w:sz w:val="18"/>
                <w:szCs w:val="18"/>
                <w:color w:val="auto"/>
              </w:rPr>
              <w:t>(2)</w:t>
            </w:r>
          </w:p>
        </w:tc>
        <w:tc>
          <w:tcPr>
            <w:tcW w:w="1480" w:type="dxa"/>
            <w:vAlign w:val="bottom"/>
            <w:tcBorders>
              <w:top w:val="single" w:sz="8" w:color="auto"/>
            </w:tcBorders>
            <w:shd w:val="clear" w:color="auto" w:fill="CFF0FC"/>
          </w:tcPr>
          <w:p>
            <w:pPr>
              <w:jc w:val="right"/>
              <w:spacing w:after="0" w:line="191" w:lineRule="exact"/>
              <w:rPr>
                <w:sz w:val="20"/>
                <w:szCs w:val="20"/>
                <w:color w:val="auto"/>
              </w:rPr>
            </w:pPr>
            <w:r>
              <w:rPr>
                <w:rFonts w:ascii="Arial" w:cs="Arial" w:eastAsia="Arial" w:hAnsi="Arial"/>
                <w:sz w:val="18"/>
                <w:szCs w:val="18"/>
                <w:color w:val="auto"/>
              </w:rPr>
              <w:t>201,563</w:t>
            </w:r>
          </w:p>
        </w:tc>
        <w:tc>
          <w:tcPr>
            <w:tcW w:w="200" w:type="dxa"/>
            <w:vAlign w:val="bottom"/>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jc w:val="right"/>
              <w:spacing w:after="0" w:line="191" w:lineRule="exact"/>
              <w:rPr>
                <w:sz w:val="20"/>
                <w:szCs w:val="20"/>
                <w:color w:val="auto"/>
              </w:rPr>
            </w:pPr>
            <w:r>
              <w:rPr>
                <w:rFonts w:ascii="Arial" w:cs="Arial" w:eastAsia="Arial" w:hAnsi="Arial"/>
                <w:sz w:val="18"/>
                <w:szCs w:val="18"/>
                <w:color w:val="auto"/>
              </w:rPr>
              <w:t>58.56</w:t>
            </w:r>
          </w:p>
        </w:tc>
        <w:tc>
          <w:tcPr>
            <w:tcW w:w="200" w:type="dxa"/>
            <w:vAlign w:val="bottom"/>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jc w:val="right"/>
              <w:spacing w:after="0" w:line="191" w:lineRule="exact"/>
              <w:rPr>
                <w:sz w:val="20"/>
                <w:szCs w:val="20"/>
                <w:color w:val="auto"/>
              </w:rPr>
            </w:pPr>
            <w:r>
              <w:rPr>
                <w:rFonts w:ascii="Arial" w:cs="Arial" w:eastAsia="Arial" w:hAnsi="Arial"/>
                <w:sz w:val="18"/>
                <w:szCs w:val="18"/>
                <w:color w:val="auto"/>
              </w:rPr>
              <w:t>07/29/31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07/16/20</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96,606</w:t>
            </w:r>
          </w:p>
        </w:tc>
        <w:tc>
          <w:tcPr>
            <w:tcW w:w="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(3)</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176,165</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07/16/30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04/27/20</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82,633</w:t>
            </w:r>
          </w:p>
        </w:tc>
        <w:tc>
          <w:tcPr>
            <w:tcW w:w="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(4)</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115,677</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04/27/30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03/09/20</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552,533</w:t>
            </w:r>
          </w:p>
        </w:tc>
        <w:tc>
          <w:tcPr>
            <w:tcW w:w="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(5)</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03/09/30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09/12/19</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89,019</w:t>
            </w:r>
          </w:p>
        </w:tc>
        <w:tc>
          <w:tcPr>
            <w:tcW w:w="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(6)</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09/12/29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9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03/30/17</w:t>
            </w: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242,179</w:t>
            </w:r>
          </w:p>
        </w:tc>
        <w:tc>
          <w:tcPr>
            <w:tcW w:w="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(7)</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0.99</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03/30/27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940" w:type="dxa"/>
            <w:vAlign w:val="bottom"/>
          </w:tcPr>
          <w:p>
            <w:pPr>
              <w:ind w:left="20"/>
              <w:spacing w:after="0" w:line="197" w:lineRule="exact"/>
              <w:rPr>
                <w:sz w:val="20"/>
                <w:szCs w:val="20"/>
                <w:color w:val="auto"/>
              </w:rPr>
            </w:pPr>
            <w:r>
              <w:rPr>
                <w:rFonts w:ascii="Arial" w:cs="Arial" w:eastAsia="Arial" w:hAnsi="Arial"/>
                <w:sz w:val="18"/>
                <w:szCs w:val="18"/>
                <w:color w:val="auto"/>
              </w:rPr>
              <w:t>Peter Garcia</w:t>
            </w:r>
          </w:p>
        </w:tc>
        <w:tc>
          <w:tcPr>
            <w:tcW w:w="1140" w:type="dxa"/>
            <w:vAlign w:val="bottom"/>
          </w:tcPr>
          <w:p>
            <w:pPr>
              <w:jc w:val="right"/>
              <w:spacing w:after="0" w:line="197" w:lineRule="exact"/>
              <w:rPr>
                <w:sz w:val="20"/>
                <w:szCs w:val="20"/>
                <w:color w:val="auto"/>
              </w:rPr>
            </w:pPr>
            <w:r>
              <w:rPr>
                <w:rFonts w:ascii="Arial" w:cs="Arial" w:eastAsia="Arial" w:hAnsi="Arial"/>
                <w:sz w:val="18"/>
                <w:szCs w:val="18"/>
                <w:color w:val="auto"/>
              </w:rPr>
              <w:t>07/30/21</w:t>
            </w:r>
          </w:p>
        </w:tc>
        <w:tc>
          <w:tcPr>
            <w:tcW w:w="240" w:type="dxa"/>
            <w:vAlign w:val="bottom"/>
          </w:tcPr>
          <w:p>
            <w:pPr>
              <w:spacing w:after="0"/>
              <w:rPr>
                <w:sz w:val="17"/>
                <w:szCs w:val="17"/>
                <w:color w:val="auto"/>
              </w:rPr>
            </w:pPr>
          </w:p>
        </w:tc>
        <w:tc>
          <w:tcPr>
            <w:tcW w:w="1260" w:type="dxa"/>
            <w:vAlign w:val="bottom"/>
          </w:tcPr>
          <w:p>
            <w:pPr>
              <w:jc w:val="right"/>
              <w:spacing w:after="0" w:line="197" w:lineRule="exact"/>
              <w:rPr>
                <w:sz w:val="20"/>
                <w:szCs w:val="20"/>
                <w:color w:val="auto"/>
              </w:rPr>
            </w:pPr>
            <w:r>
              <w:rPr>
                <w:rFonts w:ascii="Arial" w:cs="Arial" w:eastAsia="Arial" w:hAnsi="Arial"/>
                <w:sz w:val="18"/>
                <w:szCs w:val="18"/>
                <w:color w:val="auto"/>
              </w:rPr>
              <w:t>10,416</w:t>
            </w:r>
          </w:p>
        </w:tc>
        <w:tc>
          <w:tcPr>
            <w:tcW w:w="660" w:type="dxa"/>
            <w:vAlign w:val="bottom"/>
          </w:tcPr>
          <w:p>
            <w:pPr>
              <w:ind w:left="140"/>
              <w:spacing w:after="0" w:line="197" w:lineRule="exact"/>
              <w:rPr>
                <w:sz w:val="20"/>
                <w:szCs w:val="20"/>
                <w:color w:val="auto"/>
              </w:rPr>
            </w:pPr>
            <w:r>
              <w:rPr>
                <w:rFonts w:ascii="Arial" w:cs="Arial" w:eastAsia="Arial" w:hAnsi="Arial"/>
                <w:sz w:val="18"/>
                <w:szCs w:val="18"/>
                <w:color w:val="auto"/>
              </w:rPr>
              <w:t>(2)</w:t>
            </w:r>
          </w:p>
        </w:tc>
        <w:tc>
          <w:tcPr>
            <w:tcW w:w="1480" w:type="dxa"/>
            <w:vAlign w:val="bottom"/>
          </w:tcPr>
          <w:p>
            <w:pPr>
              <w:jc w:val="right"/>
              <w:spacing w:after="0" w:line="197" w:lineRule="exact"/>
              <w:rPr>
                <w:sz w:val="20"/>
                <w:szCs w:val="20"/>
                <w:color w:val="auto"/>
              </w:rPr>
            </w:pPr>
            <w:r>
              <w:rPr>
                <w:rFonts w:ascii="Arial" w:cs="Arial" w:eastAsia="Arial" w:hAnsi="Arial"/>
                <w:sz w:val="18"/>
                <w:szCs w:val="18"/>
                <w:color w:val="auto"/>
              </w:rPr>
              <w:t>89,584</w:t>
            </w:r>
          </w:p>
        </w:tc>
        <w:tc>
          <w:tcPr>
            <w:tcW w:w="200" w:type="dxa"/>
            <w:vAlign w:val="bottom"/>
          </w:tcPr>
          <w:p>
            <w:pPr>
              <w:spacing w:after="0"/>
              <w:rPr>
                <w:sz w:val="17"/>
                <w:szCs w:val="17"/>
                <w:color w:val="auto"/>
              </w:rPr>
            </w:pPr>
          </w:p>
        </w:tc>
        <w:tc>
          <w:tcPr>
            <w:tcW w:w="1020" w:type="dxa"/>
            <w:vAlign w:val="bottom"/>
          </w:tcPr>
          <w:p>
            <w:pPr>
              <w:jc w:val="right"/>
              <w:spacing w:after="0" w:line="197" w:lineRule="exact"/>
              <w:rPr>
                <w:sz w:val="20"/>
                <w:szCs w:val="20"/>
                <w:color w:val="auto"/>
              </w:rPr>
            </w:pPr>
            <w:r>
              <w:rPr>
                <w:rFonts w:ascii="Arial" w:cs="Arial" w:eastAsia="Arial" w:hAnsi="Arial"/>
                <w:sz w:val="18"/>
                <w:szCs w:val="18"/>
                <w:color w:val="auto"/>
              </w:rPr>
              <w:t>58.56</w:t>
            </w:r>
          </w:p>
        </w:tc>
        <w:tc>
          <w:tcPr>
            <w:tcW w:w="122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07/29/31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07/16/20</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31,216</w:t>
            </w:r>
          </w:p>
        </w:tc>
        <w:tc>
          <w:tcPr>
            <w:tcW w:w="660" w:type="dxa"/>
            <w:vAlign w:val="bottom"/>
          </w:tcPr>
          <w:p>
            <w:pPr>
              <w:ind w:left="140"/>
              <w:spacing w:after="0"/>
              <w:rPr>
                <w:sz w:val="20"/>
                <w:szCs w:val="20"/>
                <w:color w:val="auto"/>
              </w:rPr>
            </w:pPr>
            <w:r>
              <w:rPr>
                <w:rFonts w:ascii="Arial" w:cs="Arial" w:eastAsia="Arial" w:hAnsi="Arial"/>
                <w:sz w:val="18"/>
                <w:szCs w:val="18"/>
                <w:color w:val="auto"/>
              </w:rPr>
              <w:t>(3)</w:t>
            </w:r>
          </w:p>
        </w:tc>
        <w:tc>
          <w:tcPr>
            <w:tcW w:w="1480" w:type="dxa"/>
            <w:vAlign w:val="bottom"/>
          </w:tcPr>
          <w:p>
            <w:pPr>
              <w:jc w:val="right"/>
              <w:spacing w:after="0"/>
              <w:rPr>
                <w:sz w:val="20"/>
                <w:szCs w:val="20"/>
                <w:color w:val="auto"/>
              </w:rPr>
            </w:pPr>
            <w:r>
              <w:rPr>
                <w:rFonts w:ascii="Arial" w:cs="Arial" w:eastAsia="Arial" w:hAnsi="Arial"/>
                <w:sz w:val="18"/>
                <w:szCs w:val="18"/>
                <w:color w:val="auto"/>
              </w:rPr>
              <w:t>56,921</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07/16/30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04/27/20</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12,156</w:t>
            </w:r>
          </w:p>
        </w:tc>
        <w:tc>
          <w:tcPr>
            <w:tcW w:w="660" w:type="dxa"/>
            <w:vAlign w:val="bottom"/>
          </w:tcPr>
          <w:p>
            <w:pPr>
              <w:ind w:left="140"/>
              <w:spacing w:after="0"/>
              <w:rPr>
                <w:sz w:val="20"/>
                <w:szCs w:val="20"/>
                <w:color w:val="auto"/>
              </w:rPr>
            </w:pPr>
            <w:r>
              <w:rPr>
                <w:rFonts w:ascii="Arial" w:cs="Arial" w:eastAsia="Arial" w:hAnsi="Arial"/>
                <w:sz w:val="18"/>
                <w:szCs w:val="18"/>
                <w:color w:val="auto"/>
              </w:rPr>
              <w:t>(8)</w:t>
            </w:r>
          </w:p>
        </w:tc>
        <w:tc>
          <w:tcPr>
            <w:tcW w:w="1480" w:type="dxa"/>
            <w:vAlign w:val="bottom"/>
          </w:tcPr>
          <w:p>
            <w:pPr>
              <w:jc w:val="right"/>
              <w:spacing w:after="0"/>
              <w:rPr>
                <w:sz w:val="20"/>
                <w:szCs w:val="20"/>
                <w:color w:val="auto"/>
              </w:rPr>
            </w:pPr>
            <w:r>
              <w:rPr>
                <w:rFonts w:ascii="Arial" w:cs="Arial" w:eastAsia="Arial" w:hAnsi="Arial"/>
                <w:sz w:val="18"/>
                <w:szCs w:val="18"/>
                <w:color w:val="auto"/>
              </w:rPr>
              <w:t>17,020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04/27/30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03/09/20</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95,659</w:t>
            </w:r>
          </w:p>
        </w:tc>
        <w:tc>
          <w:tcPr>
            <w:tcW w:w="660" w:type="dxa"/>
            <w:vAlign w:val="bottom"/>
          </w:tcPr>
          <w:p>
            <w:pPr>
              <w:ind w:left="140"/>
              <w:spacing w:after="0"/>
              <w:rPr>
                <w:sz w:val="20"/>
                <w:szCs w:val="20"/>
                <w:color w:val="auto"/>
              </w:rPr>
            </w:pPr>
            <w:r>
              <w:rPr>
                <w:rFonts w:ascii="Arial" w:cs="Arial" w:eastAsia="Arial" w:hAnsi="Arial"/>
                <w:sz w:val="18"/>
                <w:szCs w:val="18"/>
                <w:color w:val="auto"/>
              </w:rPr>
              <w:t>(9)</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03/09/30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9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03/09/20</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60,468</w:t>
            </w:r>
          </w:p>
        </w:tc>
        <w:tc>
          <w:tcPr>
            <w:tcW w:w="660" w:type="dxa"/>
            <w:vAlign w:val="bottom"/>
          </w:tcPr>
          <w:p>
            <w:pPr>
              <w:ind w:left="140"/>
              <w:spacing w:after="0"/>
              <w:rPr>
                <w:sz w:val="20"/>
                <w:szCs w:val="20"/>
                <w:color w:val="auto"/>
              </w:rPr>
            </w:pPr>
            <w:r>
              <w:rPr>
                <w:rFonts w:ascii="Arial" w:cs="Arial" w:eastAsia="Arial" w:hAnsi="Arial"/>
                <w:sz w:val="18"/>
                <w:szCs w:val="18"/>
                <w:color w:val="auto"/>
              </w:rPr>
              <w:t>(10)</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03/09/30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94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Sophia Randolph, M.D., Ph.D.</w:t>
            </w:r>
          </w:p>
        </w:tc>
        <w:tc>
          <w:tcPr>
            <w:tcW w:w="1140" w:type="dxa"/>
            <w:vAlign w:val="bottom"/>
            <w:shd w:val="clear" w:color="auto" w:fill="CFF0FC"/>
          </w:tcPr>
          <w:p>
            <w:pPr>
              <w:jc w:val="right"/>
              <w:spacing w:after="0" w:line="197" w:lineRule="exact"/>
              <w:rPr>
                <w:sz w:val="20"/>
                <w:szCs w:val="20"/>
                <w:color w:val="auto"/>
              </w:rPr>
            </w:pPr>
            <w:r>
              <w:rPr>
                <w:rFonts w:ascii="Arial" w:cs="Arial" w:eastAsia="Arial" w:hAnsi="Arial"/>
                <w:sz w:val="18"/>
                <w:szCs w:val="18"/>
                <w:color w:val="auto"/>
              </w:rPr>
              <w:t>07/30/21</w:t>
            </w: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7" w:lineRule="exact"/>
              <w:rPr>
                <w:sz w:val="20"/>
                <w:szCs w:val="20"/>
                <w:color w:val="auto"/>
              </w:rPr>
            </w:pPr>
            <w:r>
              <w:rPr>
                <w:rFonts w:ascii="Arial" w:cs="Arial" w:eastAsia="Arial" w:hAnsi="Arial"/>
                <w:sz w:val="18"/>
                <w:szCs w:val="18"/>
                <w:color w:val="auto"/>
              </w:rPr>
              <w:t>10,416</w:t>
            </w:r>
          </w:p>
        </w:tc>
        <w:tc>
          <w:tcPr>
            <w:tcW w:w="660" w:type="dxa"/>
            <w:vAlign w:val="bottom"/>
            <w:shd w:val="clear" w:color="auto" w:fill="CFF0FC"/>
          </w:tcPr>
          <w:p>
            <w:pPr>
              <w:ind w:left="140"/>
              <w:spacing w:after="0" w:line="197" w:lineRule="exact"/>
              <w:rPr>
                <w:sz w:val="20"/>
                <w:szCs w:val="20"/>
                <w:color w:val="auto"/>
              </w:rPr>
            </w:pPr>
            <w:r>
              <w:rPr>
                <w:rFonts w:ascii="Arial" w:cs="Arial" w:eastAsia="Arial" w:hAnsi="Arial"/>
                <w:sz w:val="18"/>
                <w:szCs w:val="18"/>
                <w:color w:val="auto"/>
              </w:rPr>
              <w:t>(2)</w:t>
            </w:r>
          </w:p>
        </w:tc>
        <w:tc>
          <w:tcPr>
            <w:tcW w:w="1480" w:type="dxa"/>
            <w:vAlign w:val="bottom"/>
            <w:shd w:val="clear" w:color="auto" w:fill="CFF0FC"/>
          </w:tcPr>
          <w:p>
            <w:pPr>
              <w:jc w:val="right"/>
              <w:spacing w:after="0" w:line="197" w:lineRule="exact"/>
              <w:rPr>
                <w:sz w:val="20"/>
                <w:szCs w:val="20"/>
                <w:color w:val="auto"/>
              </w:rPr>
            </w:pPr>
            <w:r>
              <w:rPr>
                <w:rFonts w:ascii="Arial" w:cs="Arial" w:eastAsia="Arial" w:hAnsi="Arial"/>
                <w:sz w:val="18"/>
                <w:szCs w:val="18"/>
                <w:color w:val="auto"/>
              </w:rPr>
              <w:t>89,584</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7" w:lineRule="exact"/>
              <w:rPr>
                <w:sz w:val="20"/>
                <w:szCs w:val="20"/>
                <w:color w:val="auto"/>
              </w:rPr>
            </w:pPr>
            <w:r>
              <w:rPr>
                <w:rFonts w:ascii="Arial" w:cs="Arial" w:eastAsia="Arial" w:hAnsi="Arial"/>
                <w:sz w:val="18"/>
                <w:szCs w:val="18"/>
                <w:color w:val="auto"/>
              </w:rPr>
              <w:t>58.56</w:t>
            </w:r>
          </w:p>
        </w:tc>
        <w:tc>
          <w:tcPr>
            <w:tcW w:w="1220" w:type="dxa"/>
            <w:vAlign w:val="bottom"/>
            <w:gridSpan w:val="2"/>
            <w:shd w:val="clear" w:color="auto" w:fill="CFF0FC"/>
          </w:tcPr>
          <w:p>
            <w:pPr>
              <w:jc w:val="right"/>
              <w:spacing w:after="0" w:line="197" w:lineRule="exact"/>
              <w:rPr>
                <w:sz w:val="20"/>
                <w:szCs w:val="20"/>
                <w:color w:val="auto"/>
              </w:rPr>
            </w:pPr>
            <w:r>
              <w:rPr>
                <w:rFonts w:ascii="Arial" w:cs="Arial" w:eastAsia="Arial" w:hAnsi="Arial"/>
                <w:sz w:val="18"/>
                <w:szCs w:val="18"/>
                <w:color w:val="auto"/>
              </w:rPr>
              <w:t>07/29/31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07/16/20</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31,753</w:t>
            </w:r>
          </w:p>
        </w:tc>
        <w:tc>
          <w:tcPr>
            <w:tcW w:w="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(3)</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57,904</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07/16/30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04/27/20</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19,831</w:t>
            </w:r>
          </w:p>
        </w:tc>
        <w:tc>
          <w:tcPr>
            <w:tcW w:w="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(4)</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30,848</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04/27/30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03/09/20</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107,906</w:t>
            </w:r>
          </w:p>
        </w:tc>
        <w:tc>
          <w:tcPr>
            <w:tcW w:w="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(5)</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03/09/30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9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09/12/19</w:t>
            </w: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12,431</w:t>
            </w:r>
          </w:p>
        </w:tc>
        <w:tc>
          <w:tcPr>
            <w:tcW w:w="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(6)</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09/12/29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940" w:type="dxa"/>
            <w:vAlign w:val="bottom"/>
          </w:tcPr>
          <w:p>
            <w:pPr>
              <w:ind w:left="20"/>
              <w:spacing w:after="0" w:line="197" w:lineRule="exact"/>
              <w:rPr>
                <w:sz w:val="20"/>
                <w:szCs w:val="20"/>
                <w:color w:val="auto"/>
              </w:rPr>
            </w:pPr>
            <w:r>
              <w:rPr>
                <w:rFonts w:ascii="Arial" w:cs="Arial" w:eastAsia="Arial" w:hAnsi="Arial"/>
                <w:sz w:val="18"/>
                <w:szCs w:val="18"/>
                <w:color w:val="auto"/>
              </w:rPr>
              <w:t>Shelly Pinto</w:t>
            </w:r>
          </w:p>
        </w:tc>
        <w:tc>
          <w:tcPr>
            <w:tcW w:w="1140" w:type="dxa"/>
            <w:vAlign w:val="bottom"/>
          </w:tcPr>
          <w:p>
            <w:pPr>
              <w:jc w:val="right"/>
              <w:spacing w:after="0" w:line="197" w:lineRule="exact"/>
              <w:rPr>
                <w:sz w:val="20"/>
                <w:szCs w:val="20"/>
                <w:color w:val="auto"/>
              </w:rPr>
            </w:pPr>
            <w:r>
              <w:rPr>
                <w:rFonts w:ascii="Arial" w:cs="Arial" w:eastAsia="Arial" w:hAnsi="Arial"/>
                <w:sz w:val="18"/>
                <w:szCs w:val="18"/>
                <w:color w:val="auto"/>
              </w:rPr>
              <w:t>07/30/21</w:t>
            </w:r>
          </w:p>
        </w:tc>
        <w:tc>
          <w:tcPr>
            <w:tcW w:w="240" w:type="dxa"/>
            <w:vAlign w:val="bottom"/>
          </w:tcPr>
          <w:p>
            <w:pPr>
              <w:spacing w:after="0"/>
              <w:rPr>
                <w:sz w:val="17"/>
                <w:szCs w:val="17"/>
                <w:color w:val="auto"/>
              </w:rPr>
            </w:pPr>
          </w:p>
        </w:tc>
        <w:tc>
          <w:tcPr>
            <w:tcW w:w="1260" w:type="dxa"/>
            <w:vAlign w:val="bottom"/>
          </w:tcPr>
          <w:p>
            <w:pPr>
              <w:jc w:val="right"/>
              <w:spacing w:after="0" w:line="197" w:lineRule="exact"/>
              <w:rPr>
                <w:sz w:val="20"/>
                <w:szCs w:val="20"/>
                <w:color w:val="auto"/>
              </w:rPr>
            </w:pPr>
            <w:r>
              <w:rPr>
                <w:rFonts w:ascii="Arial" w:cs="Arial" w:eastAsia="Arial" w:hAnsi="Arial"/>
                <w:sz w:val="18"/>
                <w:szCs w:val="18"/>
                <w:color w:val="auto"/>
              </w:rPr>
              <w:t>2,604</w:t>
            </w:r>
          </w:p>
        </w:tc>
        <w:tc>
          <w:tcPr>
            <w:tcW w:w="660" w:type="dxa"/>
            <w:vAlign w:val="bottom"/>
          </w:tcPr>
          <w:p>
            <w:pPr>
              <w:ind w:left="140"/>
              <w:spacing w:after="0" w:line="197" w:lineRule="exact"/>
              <w:rPr>
                <w:sz w:val="20"/>
                <w:szCs w:val="20"/>
                <w:color w:val="auto"/>
              </w:rPr>
            </w:pPr>
            <w:r>
              <w:rPr>
                <w:rFonts w:ascii="Arial" w:cs="Arial" w:eastAsia="Arial" w:hAnsi="Arial"/>
                <w:sz w:val="18"/>
                <w:szCs w:val="18"/>
                <w:color w:val="auto"/>
              </w:rPr>
              <w:t>(2)</w:t>
            </w:r>
          </w:p>
        </w:tc>
        <w:tc>
          <w:tcPr>
            <w:tcW w:w="1480" w:type="dxa"/>
            <w:vAlign w:val="bottom"/>
          </w:tcPr>
          <w:p>
            <w:pPr>
              <w:jc w:val="right"/>
              <w:spacing w:after="0" w:line="197" w:lineRule="exact"/>
              <w:rPr>
                <w:sz w:val="20"/>
                <w:szCs w:val="20"/>
                <w:color w:val="auto"/>
              </w:rPr>
            </w:pPr>
            <w:r>
              <w:rPr>
                <w:rFonts w:ascii="Arial" w:cs="Arial" w:eastAsia="Arial" w:hAnsi="Arial"/>
                <w:sz w:val="18"/>
                <w:szCs w:val="18"/>
                <w:color w:val="auto"/>
              </w:rPr>
              <w:t>22,396</w:t>
            </w:r>
          </w:p>
        </w:tc>
        <w:tc>
          <w:tcPr>
            <w:tcW w:w="200" w:type="dxa"/>
            <w:vAlign w:val="bottom"/>
          </w:tcPr>
          <w:p>
            <w:pPr>
              <w:spacing w:after="0"/>
              <w:rPr>
                <w:sz w:val="17"/>
                <w:szCs w:val="17"/>
                <w:color w:val="auto"/>
              </w:rPr>
            </w:pPr>
          </w:p>
        </w:tc>
        <w:tc>
          <w:tcPr>
            <w:tcW w:w="1020" w:type="dxa"/>
            <w:vAlign w:val="bottom"/>
          </w:tcPr>
          <w:p>
            <w:pPr>
              <w:jc w:val="right"/>
              <w:spacing w:after="0" w:line="197" w:lineRule="exact"/>
              <w:rPr>
                <w:sz w:val="20"/>
                <w:szCs w:val="20"/>
                <w:color w:val="auto"/>
              </w:rPr>
            </w:pPr>
            <w:r>
              <w:rPr>
                <w:rFonts w:ascii="Arial" w:cs="Arial" w:eastAsia="Arial" w:hAnsi="Arial"/>
                <w:sz w:val="18"/>
                <w:szCs w:val="18"/>
                <w:color w:val="auto"/>
              </w:rPr>
              <w:t>58.56</w:t>
            </w:r>
          </w:p>
        </w:tc>
        <w:tc>
          <w:tcPr>
            <w:tcW w:w="122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07/29/31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9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05/03/21</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140"/>
              <w:spacing w:after="0"/>
              <w:rPr>
                <w:sz w:val="20"/>
                <w:szCs w:val="20"/>
                <w:color w:val="auto"/>
              </w:rPr>
            </w:pPr>
            <w:r>
              <w:rPr>
                <w:rFonts w:ascii="Arial" w:cs="Arial" w:eastAsia="Arial" w:hAnsi="Arial"/>
                <w:sz w:val="18"/>
                <w:szCs w:val="18"/>
                <w:color w:val="auto"/>
              </w:rPr>
              <w:t>(11)</w:t>
            </w:r>
          </w:p>
        </w:tc>
        <w:tc>
          <w:tcPr>
            <w:tcW w:w="1480" w:type="dxa"/>
            <w:vAlign w:val="bottom"/>
          </w:tcPr>
          <w:p>
            <w:pPr>
              <w:jc w:val="right"/>
              <w:spacing w:after="0"/>
              <w:rPr>
                <w:sz w:val="20"/>
                <w:szCs w:val="20"/>
                <w:color w:val="auto"/>
              </w:rPr>
            </w:pPr>
            <w:r>
              <w:rPr>
                <w:rFonts w:ascii="Arial" w:cs="Arial" w:eastAsia="Arial" w:hAnsi="Arial"/>
                <w:sz w:val="18"/>
                <w:szCs w:val="18"/>
                <w:color w:val="auto"/>
              </w:rPr>
              <w:t>125,000</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62.83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05/03/31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Steffen Pietzke</w:t>
            </w: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60" w:right="640" w:hanging="444"/>
        <w:spacing w:after="0" w:line="256"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unvested portion of these awards are also subject to vesting acceleration under certain circumstances, as will be more fully described below under “—Severance and Change in Control Protections.”</w:t>
      </w:r>
    </w:p>
    <w:p>
      <w:pPr>
        <w:spacing w:after="0" w:line="192" w:lineRule="exact"/>
        <w:rPr>
          <w:rFonts w:ascii="Arial" w:cs="Arial" w:eastAsia="Arial" w:hAnsi="Arial"/>
          <w:sz w:val="18"/>
          <w:szCs w:val="18"/>
          <w:color w:val="auto"/>
        </w:rPr>
      </w:pPr>
    </w:p>
    <w:p>
      <w:pPr>
        <w:ind w:left="460" w:right="300" w:hanging="444"/>
        <w:spacing w:after="0" w:line="255"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1/48th of the shares subject to the option vest each month beginning on August 30, 2021, subject to continued service through each such vesting date</w:t>
      </w:r>
      <w:r>
        <w:rPr>
          <w:rFonts w:ascii="Times New Roman" w:cs="Times New Roman" w:eastAsia="Times New Roman" w:hAnsi="Times New Roman"/>
          <w:sz w:val="18"/>
          <w:szCs w:val="18"/>
          <w:color w:val="auto"/>
        </w:rPr>
        <w:t>.</w:t>
      </w:r>
    </w:p>
    <w:p>
      <w:pPr>
        <w:spacing w:after="0" w:line="180" w:lineRule="exact"/>
        <w:rPr>
          <w:rFonts w:ascii="Arial" w:cs="Arial" w:eastAsia="Arial" w:hAnsi="Arial"/>
          <w:sz w:val="18"/>
          <w:szCs w:val="18"/>
          <w:color w:val="auto"/>
        </w:rPr>
      </w:pPr>
    </w:p>
    <w:p>
      <w:pPr>
        <w:ind w:left="460" w:right="300" w:hanging="444"/>
        <w:spacing w:after="0" w:line="256"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1/48th of the shares subject to the option vest each month beginning on August 16, 2020, subject to continued service through each such vesting date.</w:t>
      </w:r>
    </w:p>
    <w:p>
      <w:pPr>
        <w:spacing w:after="0" w:line="192" w:lineRule="exact"/>
        <w:rPr>
          <w:rFonts w:ascii="Arial" w:cs="Arial" w:eastAsia="Arial" w:hAnsi="Arial"/>
          <w:sz w:val="18"/>
          <w:szCs w:val="18"/>
          <w:color w:val="auto"/>
        </w:rPr>
      </w:pPr>
    </w:p>
    <w:p>
      <w:pPr>
        <w:ind w:left="460" w:right="520" w:hanging="444"/>
        <w:spacing w:after="0" w:line="256"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1/48th of the shares subject to the option vest each month beginning on May 27, 2020, subject to continued service through each such vesting date.</w:t>
      </w:r>
    </w:p>
    <w:p>
      <w:pPr>
        <w:spacing w:after="0" w:line="179" w:lineRule="exact"/>
        <w:rPr>
          <w:rFonts w:ascii="Arial" w:cs="Arial" w:eastAsia="Arial" w:hAnsi="Arial"/>
          <w:sz w:val="18"/>
          <w:szCs w:val="18"/>
          <w:color w:val="auto"/>
        </w:rPr>
      </w:pPr>
    </w:p>
    <w:p>
      <w:pPr>
        <w:ind w:left="460" w:right="520" w:hanging="444"/>
        <w:spacing w:after="0" w:line="256"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option is subject to an early exercise provision and is immediately exercisable. 1/48th of the shares subject to the option vest each month beginning on April 9, 2020, subject to continued service through each such vesting date.</w:t>
      </w:r>
    </w:p>
    <w:p>
      <w:pPr>
        <w:spacing w:after="0" w:line="179" w:lineRule="exact"/>
        <w:rPr>
          <w:rFonts w:ascii="Arial" w:cs="Arial" w:eastAsia="Arial" w:hAnsi="Arial"/>
          <w:sz w:val="18"/>
          <w:szCs w:val="18"/>
          <w:color w:val="auto"/>
        </w:rPr>
      </w:pPr>
    </w:p>
    <w:p>
      <w:pPr>
        <w:ind w:left="460" w:right="520" w:hanging="444"/>
        <w:spacing w:after="0" w:line="256"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option is subject to an early exercise provision and is immediately exercisable. 1/48th of the shares subject to the option vest each month beginning on June 16, 2019, subject to continued service through each such vesting date.</w:t>
      </w:r>
    </w:p>
    <w:p>
      <w:pPr>
        <w:spacing w:after="0" w:line="192" w:lineRule="exact"/>
        <w:rPr>
          <w:rFonts w:ascii="Arial" w:cs="Arial" w:eastAsia="Arial" w:hAnsi="Arial"/>
          <w:sz w:val="18"/>
          <w:szCs w:val="18"/>
          <w:color w:val="auto"/>
        </w:rPr>
      </w:pPr>
    </w:p>
    <w:p>
      <w:pPr>
        <w:ind w:left="460" w:hanging="444"/>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shares subject to the option are fully vested and immediately exercisable.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50" w:name="page51"/>
    <w:bookmarkEnd w:id="50"/>
    <w:p>
      <w:pPr>
        <w:ind w:left="460" w:right="280" w:hanging="444"/>
        <w:spacing w:after="0" w:line="256"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1/4th of the shares subject to the option vested on April 27, 2021, and 1/36</w:t>
      </w:r>
      <w:r>
        <w:rPr>
          <w:rFonts w:ascii="Arial" w:cs="Arial" w:eastAsia="Arial" w:hAnsi="Arial"/>
          <w:sz w:val="15"/>
          <w:szCs w:val="15"/>
          <w:color w:val="auto"/>
        </w:rPr>
        <w:t>th</w:t>
      </w:r>
      <w:r>
        <w:rPr>
          <w:rFonts w:ascii="Arial" w:cs="Arial" w:eastAsia="Arial" w:hAnsi="Arial"/>
          <w:sz w:val="18"/>
          <w:szCs w:val="18"/>
          <w:color w:val="auto"/>
        </w:rPr>
        <w:t xml:space="preserve"> of the remaining shares subject to the option vest each month thereafter, subject to continued service through each such vesting date.</w:t>
      </w:r>
    </w:p>
    <w:p>
      <w:pPr>
        <w:spacing w:after="0" w:line="192" w:lineRule="exact"/>
        <w:rPr>
          <w:rFonts w:ascii="Arial" w:cs="Arial" w:eastAsia="Arial" w:hAnsi="Arial"/>
          <w:sz w:val="18"/>
          <w:szCs w:val="18"/>
          <w:color w:val="auto"/>
        </w:rPr>
      </w:pPr>
    </w:p>
    <w:p>
      <w:pPr>
        <w:ind w:left="460" w:right="140" w:hanging="444"/>
        <w:spacing w:after="0" w:line="23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option is subject to an early exercise provision and is immediately exercisable. 1/4th of the shares subject to the option vested on January 2, 2021, and 1/36</w:t>
      </w:r>
      <w:r>
        <w:rPr>
          <w:rFonts w:ascii="Arial" w:cs="Arial" w:eastAsia="Arial" w:hAnsi="Arial"/>
          <w:sz w:val="15"/>
          <w:szCs w:val="15"/>
          <w:color w:val="auto"/>
        </w:rPr>
        <w:t>th</w:t>
      </w:r>
      <w:r>
        <w:rPr>
          <w:rFonts w:ascii="Arial" w:cs="Arial" w:eastAsia="Arial" w:hAnsi="Arial"/>
          <w:sz w:val="18"/>
          <w:szCs w:val="18"/>
          <w:color w:val="auto"/>
        </w:rPr>
        <w:t xml:space="preserve"> of the remaining shares subject to the option vest each month thereafter, subject to continued service through each such vesting date.</w:t>
      </w:r>
    </w:p>
    <w:p>
      <w:pPr>
        <w:spacing w:after="0" w:line="194" w:lineRule="exact"/>
        <w:rPr>
          <w:rFonts w:ascii="Arial" w:cs="Arial" w:eastAsia="Arial" w:hAnsi="Arial"/>
          <w:sz w:val="18"/>
          <w:szCs w:val="18"/>
          <w:color w:val="auto"/>
        </w:rPr>
      </w:pPr>
    </w:p>
    <w:p>
      <w:pPr>
        <w:ind w:left="460" w:right="140" w:hanging="444"/>
        <w:spacing w:after="0" w:line="23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option is subject to an early exercise provision and is immediately exercisable. 1/4th of the shares subject to the option vested on March 9, 2021, and 1/36</w:t>
      </w:r>
      <w:r>
        <w:rPr>
          <w:rFonts w:ascii="Arial" w:cs="Arial" w:eastAsia="Arial" w:hAnsi="Arial"/>
          <w:sz w:val="15"/>
          <w:szCs w:val="15"/>
          <w:color w:val="auto"/>
        </w:rPr>
        <w:t>th</w:t>
      </w:r>
      <w:r>
        <w:rPr>
          <w:rFonts w:ascii="Arial" w:cs="Arial" w:eastAsia="Arial" w:hAnsi="Arial"/>
          <w:sz w:val="18"/>
          <w:szCs w:val="18"/>
          <w:color w:val="auto"/>
        </w:rPr>
        <w:t xml:space="preserve"> of the remaining shares subject to the option vest each month thereafter, subject to continued service through each such vesting date.</w:t>
      </w:r>
    </w:p>
    <w:p>
      <w:pPr>
        <w:spacing w:after="0" w:line="180" w:lineRule="exact"/>
        <w:rPr>
          <w:rFonts w:ascii="Arial" w:cs="Arial" w:eastAsia="Arial" w:hAnsi="Arial"/>
          <w:sz w:val="18"/>
          <w:szCs w:val="18"/>
          <w:color w:val="auto"/>
        </w:rPr>
      </w:pPr>
    </w:p>
    <w:p>
      <w:pPr>
        <w:ind w:left="460" w:right="600" w:hanging="444"/>
        <w:spacing w:after="0" w:line="256"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1/4th of the shares subject to the option vest on May 3, 2022, and 1/36</w:t>
      </w:r>
      <w:r>
        <w:rPr>
          <w:rFonts w:ascii="Arial" w:cs="Arial" w:eastAsia="Arial" w:hAnsi="Arial"/>
          <w:sz w:val="15"/>
          <w:szCs w:val="15"/>
          <w:color w:val="auto"/>
        </w:rPr>
        <w:t>th</w:t>
      </w:r>
      <w:r>
        <w:rPr>
          <w:rFonts w:ascii="Arial" w:cs="Arial" w:eastAsia="Arial" w:hAnsi="Arial"/>
          <w:sz w:val="18"/>
          <w:szCs w:val="18"/>
          <w:color w:val="auto"/>
        </w:rPr>
        <w:t xml:space="preserve"> of the remaining shares subject to the option vest each month thereafter, subject to continued service through each such vesting date.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During Fiscal Year 2021</w:t>
      </w:r>
    </w:p>
    <w:p>
      <w:pPr>
        <w:spacing w:after="0" w:line="10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 shows certain information concerning option exercises and the value realized upon the exercise of stock options by our named executive officers during the fiscal year ended December 31, 2021.</w:t>
      </w:r>
    </w:p>
    <w:p>
      <w:pPr>
        <w:spacing w:after="0" w:line="136"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800" w:type="dxa"/>
            <w:vAlign w:val="bottom"/>
          </w:tcPr>
          <w:p>
            <w:pPr>
              <w:spacing w:after="0"/>
              <w:rPr>
                <w:sz w:val="16"/>
                <w:szCs w:val="16"/>
                <w:color w:val="auto"/>
              </w:rPr>
            </w:pPr>
          </w:p>
        </w:tc>
        <w:tc>
          <w:tcPr>
            <w:tcW w:w="3100" w:type="dxa"/>
            <w:vAlign w:val="bottom"/>
            <w:tcBorders>
              <w:bottom w:val="single" w:sz="8" w:color="auto"/>
            </w:tcBorders>
            <w:gridSpan w:val="3"/>
          </w:tcPr>
          <w:p>
            <w:pPr>
              <w:jc w:val="right"/>
              <w:ind w:right="979"/>
              <w:spacing w:after="0"/>
              <w:rPr>
                <w:sz w:val="20"/>
                <w:szCs w:val="20"/>
                <w:color w:val="auto"/>
              </w:rPr>
            </w:pPr>
            <w:r>
              <w:rPr>
                <w:rFonts w:ascii="Arial" w:cs="Arial" w:eastAsia="Arial" w:hAnsi="Arial"/>
                <w:sz w:val="14"/>
                <w:szCs w:val="14"/>
                <w:b w:val="1"/>
                <w:bCs w:val="1"/>
                <w:color w:val="auto"/>
              </w:rPr>
              <w:t>Option Awards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800" w:type="dxa"/>
            <w:vAlign w:val="bottom"/>
          </w:tcPr>
          <w:p>
            <w:pPr>
              <w:spacing w:after="0"/>
              <w:rPr>
                <w:sz w:val="12"/>
                <w:szCs w:val="12"/>
                <w:color w:val="auto"/>
              </w:rPr>
            </w:pPr>
          </w:p>
        </w:tc>
        <w:tc>
          <w:tcPr>
            <w:tcW w:w="14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Value Realized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shares Acquired</w:t>
            </w:r>
          </w:p>
        </w:tc>
        <w:tc>
          <w:tcPr>
            <w:tcW w:w="2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on Exercise</w:t>
            </w:r>
          </w:p>
        </w:tc>
        <w:tc>
          <w:tcPr>
            <w:tcW w:w="2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on Exercise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80" w:type="dxa"/>
            <w:vAlign w:val="bottom"/>
            <w:gridSpan w:val="2"/>
          </w:tcPr>
          <w:p>
            <w:pPr>
              <w:jc w:val="center"/>
              <w:ind w:left="115"/>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Jaume Pons, Ph.D.</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36,700</w:t>
            </w:r>
          </w:p>
        </w:tc>
        <w:tc>
          <w:tcPr>
            <w:tcW w:w="20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2,603,334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Peter Garcia</w:t>
            </w:r>
          </w:p>
        </w:tc>
        <w:tc>
          <w:tcPr>
            <w:tcW w:w="1420" w:type="dxa"/>
            <w:vAlign w:val="bottom"/>
          </w:tcPr>
          <w:p>
            <w:pPr>
              <w:jc w:val="right"/>
              <w:spacing w:after="0"/>
              <w:rPr>
                <w:sz w:val="20"/>
                <w:szCs w:val="20"/>
                <w:color w:val="auto"/>
              </w:rPr>
            </w:pPr>
            <w:r>
              <w:rPr>
                <w:rFonts w:ascii="Arial" w:cs="Arial" w:eastAsia="Arial" w:hAnsi="Arial"/>
                <w:sz w:val="18"/>
                <w:szCs w:val="18"/>
                <w:color w:val="auto"/>
              </w:rPr>
              <w:t>96,128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6,519,422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Sophia Randolph, M.D., Ph.D.</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53,852</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1,535,688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Shelly Pinto</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Steffen Pietzke</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44,956</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2,319,046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 The value realized on exercise is based on the fair market value of our common stock on the date of exercise minus the exercise price.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Letter Agreements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Jaume Pons, Ph.D.</w:t>
      </w:r>
    </w:p>
    <w:p>
      <w:pPr>
        <w:spacing w:after="0" w:line="11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July 2020, we entered into a confirmatory employment letter with Dr. Jaume Pons, our President and Chief Executive Officer. The confirmatory employment letter has no specific term and provides that Dr. Pons is an at-will employee. The employment letter supersedes all existing agreements and understandings that Dr. Pons may have entered into concerning his employment relationship with us. Dr. Pons’ annual base salary is currently $583,500. He is eligible for an annual target cash incentive payment equal to 55.0% of his annual base salary.</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0"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Peter Garcia</w:t>
      </w:r>
    </w:p>
    <w:p>
      <w:pPr>
        <w:spacing w:after="0" w:line="10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July 2020, we entered into a confirmatory employment letter with Peter Garcia, our Chief Financial Officer. The confirmatory employment letter has no specific term and provides that Mr. Garcia is an at-will employee. The employment letter supersedes all existing agreements and understandings that Mr. Garcia may have entered into concerning his employment relationship with us. Mr. Garcia’s annual base salary is currently $466,800. He is eligible for an annual target cash incentive payment equal to 40.0% of his annual base salary.</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Sophia Randolph, M.D., Ph.D.</w:t>
      </w:r>
    </w:p>
    <w:p>
      <w:pPr>
        <w:spacing w:after="0" w:line="11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In July 2020, we entered into a confirmatory employment letter with Dr. Sophia Randolph, our Chief Medical Officer. The confirmatory employment letter has no specific term and provides that Dr. Randolph is an at-will employee. The employment letter supersedes all existing agreements and understandings that Dr. Randolph may have entered into concerning her employment relationship with us. Dr. Randolph’s annual base salary is currently $471,330. She is eligible for an annual target cash incentive payment equal to 40.0% of her annual base salary.</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Shelly Pinto</w:t>
      </w:r>
    </w:p>
    <w:p>
      <w:pPr>
        <w:spacing w:after="0" w:line="115"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In May 2021, we entered into a confirmatory employment letter with Shelly Pinto, our Vice President, Finance and Chief Accounting Officer. The employment letter supersedes all existing agreements and understandings that Ms. Pinto may have entered into concerning her employment relationship with us. Ms. Pinto’s annual base salary is currently $350,200. She is eligible for an annual target cash incentive payment equal to 40.0% of her annual base salary. In addition, the Company agreed to pay Ms. Pinto a one-time signing bonus of $75,000 (Signing Bonus), payable at a mutually agreed-upon time after Ms. Pinto’s date of hire, provided that Ms. Pinto is required to repay all of the Signing Bonus to the Company if she voluntarily terminates her employment with the Company within 12 months of her date of hire.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on Termination or Change in Control</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entered into Severance Agreements with each of our named executive officers, which provides for certain severance and change in control benefits. Each Severance Agreement superseded any prior agreement or arrangement the named executive officer may have had with us that provided for severance and/or change in control payments or benefits. The Severance Agreements have no specific term and will terminate upon written consent by the parties or when all obligations under the change in control agreement are satisfied.</w:t>
      </w:r>
    </w:p>
    <w:p>
      <w:pPr>
        <w:spacing w:after="0" w:line="18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Severance Agreements provide that if, other than during the period beginning three months before our change in control through the one-year anniversary of our change in control (change in control period) the named executive officer’s employment with us is terminated by us without cause (as defined in the Severance Agreement, and excluding by reason of his or her death or disability) or by the named executive officer for “good reason” (as defined in the Severance Agreement), the named executive officer will receive the following severance payments and benefits if he or she timely executes and does not revoke a release of claims in our favor:</w:t>
      </w:r>
    </w:p>
    <w:p>
      <w:pPr>
        <w:spacing w:after="0" w:line="177" w:lineRule="exact"/>
        <w:rPr>
          <w:sz w:val="20"/>
          <w:szCs w:val="20"/>
          <w:color w:val="auto"/>
        </w:rPr>
      </w:pPr>
    </w:p>
    <w:p>
      <w:pPr>
        <w:ind w:left="760" w:right="100" w:hanging="378"/>
        <w:spacing w:after="0" w:line="270" w:lineRule="auto"/>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 lump sum cash payment equal to 100% for Dr. Pons, or 75% for Mr. Garcia, Dr. Randolph and Ms. Pinto, of the named executive officer’s base salary as in effect immediately before such termination; and</w:t>
      </w:r>
    </w:p>
    <w:p>
      <w:pPr>
        <w:spacing w:after="0" w:line="167" w:lineRule="exact"/>
        <w:rPr>
          <w:rFonts w:ascii="Times New Roman" w:cs="Times New Roman" w:eastAsia="Times New Roman" w:hAnsi="Times New Roman"/>
          <w:sz w:val="18"/>
          <w:szCs w:val="18"/>
          <w:color w:val="auto"/>
        </w:rPr>
      </w:pPr>
    </w:p>
    <w:p>
      <w:pPr>
        <w:ind w:left="760" w:right="560" w:hanging="378"/>
        <w:spacing w:after="0" w:line="270" w:lineRule="auto"/>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Company-paid group health, dental and vision coverage under COBRA for the named executive officer and his or her eligible dependents for up to twelve months for Dr. Pons, or nine months for Mr. Garcia, Dr. Randolph and Ms. Pinto.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52" w:name="page53"/>
    <w:bookmarkEnd w:id="52"/>
    <w:p>
      <w:pPr>
        <w:ind w:right="40"/>
        <w:spacing w:after="0" w:line="252" w:lineRule="auto"/>
        <w:rPr>
          <w:sz w:val="20"/>
          <w:szCs w:val="20"/>
          <w:color w:val="auto"/>
        </w:rPr>
      </w:pPr>
      <w:r>
        <w:rPr>
          <w:rFonts w:ascii="Arial" w:cs="Arial" w:eastAsia="Arial" w:hAnsi="Arial"/>
          <w:sz w:val="18"/>
          <w:szCs w:val="18"/>
          <w:color w:val="auto"/>
        </w:rPr>
        <w:t>If, during the change in control period, the named executive officer’s employment with us is terminated by us without cause (as defined in the Severance Agreement, and excluding by reason of his or her death or disability) or by the named executive officer for good reason (as defined in the Severance Agreement), the named executive officer will receive the following severance payments and benefits if he or she timely executes and does not revoke a separation agreement and release of claims in our favor:</w:t>
      </w:r>
    </w:p>
    <w:p>
      <w:pPr>
        <w:spacing w:after="0" w:line="184" w:lineRule="exact"/>
        <w:rPr>
          <w:sz w:val="20"/>
          <w:szCs w:val="20"/>
          <w:color w:val="auto"/>
        </w:rPr>
      </w:pPr>
    </w:p>
    <w:p>
      <w:pPr>
        <w:ind w:left="760" w:right="260" w:hanging="378"/>
        <w:spacing w:after="0" w:line="252" w:lineRule="auto"/>
        <w:tabs>
          <w:tab w:leader="none" w:pos="7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 lump sum cash payment equal to 150% for Dr. Pons, or 100% for Mr. Garcia, Dr. Randolph and Ms. Pinto, of the named executive officer’s base salary as in effect immediately before such termination or if greater, the base salary in effect immediately before our change in control;</w:t>
      </w:r>
    </w:p>
    <w:p>
      <w:pPr>
        <w:spacing w:after="0" w:line="184" w:lineRule="exact"/>
        <w:rPr>
          <w:rFonts w:ascii="Times New Roman" w:cs="Times New Roman" w:eastAsia="Times New Roman" w:hAnsi="Times New Roman"/>
          <w:sz w:val="18"/>
          <w:szCs w:val="18"/>
          <w:color w:val="auto"/>
        </w:rPr>
      </w:pPr>
    </w:p>
    <w:p>
      <w:pPr>
        <w:jc w:val="both"/>
        <w:ind w:left="760" w:right="800" w:hanging="378"/>
        <w:spacing w:after="0" w:line="252" w:lineRule="auto"/>
        <w:tabs>
          <w:tab w:leader="none" w:pos="7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 lump sum cash payment equal to 150% for Dr. Pons, or 100% for Mr. Garcia, Dr. Randolph and Ms. Pinto, of the named executive officer’s target bonus opportunity as in effect immediately before such termination or if greater, the target bonus opportunity in effect immediately before our change in control;</w:t>
      </w:r>
    </w:p>
    <w:p>
      <w:pPr>
        <w:spacing w:after="0" w:line="184" w:lineRule="exact"/>
        <w:rPr>
          <w:rFonts w:ascii="Times New Roman" w:cs="Times New Roman" w:eastAsia="Times New Roman" w:hAnsi="Times New Roman"/>
          <w:sz w:val="18"/>
          <w:szCs w:val="18"/>
          <w:color w:val="auto"/>
        </w:rPr>
      </w:pPr>
    </w:p>
    <w:p>
      <w:pPr>
        <w:ind w:left="760" w:right="560" w:hanging="378"/>
        <w:spacing w:after="0" w:line="300" w:lineRule="auto"/>
        <w:tabs>
          <w:tab w:leader="none" w:pos="7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Company-paid group health, dental and vision coverage under COBRA for the named executive officer and his or her eligible dependents for up to eighteen months for Dr. Pons, or twelve months for Mr. Garcia, Dr. Randolph and Ms. Pinto; and</w:t>
      </w:r>
    </w:p>
    <w:p>
      <w:pPr>
        <w:spacing w:after="0" w:line="131" w:lineRule="exact"/>
        <w:rPr>
          <w:rFonts w:ascii="Times New Roman" w:cs="Times New Roman" w:eastAsia="Times New Roman" w:hAnsi="Times New Roman"/>
          <w:sz w:val="17"/>
          <w:szCs w:val="17"/>
          <w:color w:val="auto"/>
        </w:rPr>
      </w:pPr>
    </w:p>
    <w:p>
      <w:pPr>
        <w:ind w:left="760" w:right="140" w:hanging="378"/>
        <w:spacing w:after="0" w:line="270" w:lineRule="auto"/>
        <w:tabs>
          <w:tab w:leader="none" w:pos="7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100% accelerated vesting and exercisability of the outstanding and unvested Company equity awards (other than Company equity awards subject to performance-based vesting criteria) granted to the named executive officer.</w:t>
      </w:r>
    </w:p>
    <w:p>
      <w:pPr>
        <w:spacing w:after="0" w:line="168"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In addition, the Severance Agreement for Dr. Pons provides that in the event of our change in control, 100% of his outstanding Company equity awards (other than Company equity awards subject to performance-based vesting criteria) will accelerate vesting.</w:t>
      </w:r>
    </w:p>
    <w:p>
      <w:pPr>
        <w:spacing w:after="0" w:line="154"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Each Severance Agreement provides that, if any of the amounts provided for under a Severance Agreement or otherwise payable to the named executive officer would constitute “parachute payments” within the meaning of Internal Revenue Code Section 280G and could be subject to the related excise tax, the named executive officer would be entitled to receive either the full payment of benefits under the named executive officer’s Severance Agreement or such lesser amount that would result in no portion of the payments and benefits being subject to the excise tax, whichever results in the greater amount of after-tax benefits to the named executive officer. The Severance Agreements do not provide for any tax gross-ups in connection with our change in control.</w:t>
      </w:r>
    </w:p>
    <w:p>
      <w:pPr>
        <w:spacing w:after="0" w:line="175"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following table provides information concerning the estimated payments and benefits that would be provided in the circumstances described below, assuming that the triggering event took place on December 31, 2021, the last day of our fiscal year.</w:t>
      </w:r>
    </w:p>
    <w:p>
      <w:pPr>
        <w:spacing w:after="0" w:line="136"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auto"/>
        </w:rPr>
        <w:t>Termination Without Cause or</w:t>
      </w:r>
    </w:p>
    <w:p>
      <w:pPr>
        <w:spacing w:after="0" w:line="2"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Resignation for Good Reason Not in</w:t>
      </w:r>
    </w:p>
    <w:tbl>
      <w:tblPr>
        <w:tblLayout w:type="fixed"/>
        <w:tblInd w:w="0" w:type="dxa"/>
        <w:tblCellMar>
          <w:top w:w="0" w:type="dxa"/>
          <w:left w:w="0" w:type="dxa"/>
          <w:bottom w:w="0" w:type="dxa"/>
          <w:right w:w="0" w:type="dxa"/>
        </w:tblCellMar>
      </w:tblPr>
      <w:tr>
        <w:trPr>
          <w:trHeight w:val="136"/>
        </w:trPr>
        <w:tc>
          <w:tcPr>
            <w:tcW w:w="1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40" w:type="dxa"/>
            <w:vAlign w:val="bottom"/>
            <w:gridSpan w:val="4"/>
          </w:tcPr>
          <w:p>
            <w:pPr>
              <w:ind w:left="80"/>
              <w:spacing w:after="0" w:line="136" w:lineRule="exact"/>
              <w:rPr>
                <w:sz w:val="20"/>
                <w:szCs w:val="20"/>
                <w:color w:val="auto"/>
              </w:rPr>
            </w:pPr>
            <w:r>
              <w:rPr>
                <w:rFonts w:ascii="Arial" w:cs="Arial" w:eastAsia="Arial" w:hAnsi="Arial"/>
                <w:sz w:val="14"/>
                <w:szCs w:val="14"/>
                <w:b w:val="1"/>
                <w:bCs w:val="1"/>
                <w:color w:val="auto"/>
              </w:rPr>
              <w:t>Connection with a Change in</w:t>
            </w:r>
          </w:p>
        </w:tc>
        <w:tc>
          <w:tcPr>
            <w:tcW w:w="180" w:type="dxa"/>
            <w:vAlign w:val="bottom"/>
          </w:tcPr>
          <w:p>
            <w:pPr>
              <w:spacing w:after="0"/>
              <w:rPr>
                <w:sz w:val="11"/>
                <w:szCs w:val="11"/>
                <w:color w:val="auto"/>
              </w:rPr>
            </w:pPr>
          </w:p>
        </w:tc>
        <w:tc>
          <w:tcPr>
            <w:tcW w:w="5160" w:type="dxa"/>
            <w:vAlign w:val="bottom"/>
            <w:gridSpan w:val="11"/>
          </w:tcPr>
          <w:p>
            <w:pPr>
              <w:ind w:left="20"/>
              <w:spacing w:after="0" w:line="136" w:lineRule="exact"/>
              <w:rPr>
                <w:sz w:val="20"/>
                <w:szCs w:val="20"/>
                <w:color w:val="auto"/>
              </w:rPr>
            </w:pPr>
            <w:r>
              <w:rPr>
                <w:rFonts w:ascii="Arial" w:cs="Arial" w:eastAsia="Arial" w:hAnsi="Arial"/>
                <w:sz w:val="14"/>
                <w:szCs w:val="14"/>
                <w:b w:val="1"/>
                <w:bCs w:val="1"/>
                <w:color w:val="auto"/>
              </w:rPr>
              <w:t>Termination Without Cause or Resignation for Good Reason in connection</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120"/>
              <w:spacing w:after="0" w:line="136" w:lineRule="exact"/>
              <w:rPr>
                <w:sz w:val="20"/>
                <w:szCs w:val="20"/>
                <w:color w:val="auto"/>
              </w:rPr>
            </w:pPr>
            <w:r>
              <w:rPr>
                <w:rFonts w:ascii="Arial" w:cs="Arial" w:eastAsia="Arial" w:hAnsi="Arial"/>
                <w:sz w:val="14"/>
                <w:szCs w:val="14"/>
                <w:b w:val="1"/>
                <w:bCs w:val="1"/>
                <w:color w:val="auto"/>
              </w:rPr>
              <w:t>Change in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Control</w:t>
            </w:r>
          </w:p>
        </w:tc>
        <w:tc>
          <w:tcPr>
            <w:tcW w:w="9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with a Change in Control</w:t>
            </w: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Control</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Arial" w:cs="Arial" w:eastAsia="Arial" w:hAnsi="Arial"/>
                <w:sz w:val="14"/>
                <w:szCs w:val="14"/>
                <w:b w:val="1"/>
                <w:bCs w:val="1"/>
                <w:color w:val="auto"/>
              </w:rPr>
              <w:t>Severance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98"/>
              <w:spacing w:after="0"/>
              <w:rPr>
                <w:sz w:val="20"/>
                <w:szCs w:val="20"/>
                <w:color w:val="auto"/>
              </w:rPr>
            </w:pPr>
            <w:r>
              <w:rPr>
                <w:rFonts w:ascii="Arial" w:cs="Arial" w:eastAsia="Arial" w:hAnsi="Arial"/>
                <w:sz w:val="14"/>
                <w:szCs w:val="14"/>
                <w:b w:val="1"/>
                <w:bCs w:val="1"/>
                <w:color w:val="auto"/>
              </w:rPr>
              <w:t>Health Care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77"/>
              <w:spacing w:after="0"/>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ind w:left="40"/>
              <w:spacing w:after="0"/>
              <w:rPr>
                <w:sz w:val="20"/>
                <w:szCs w:val="20"/>
                <w:color w:val="auto"/>
              </w:rPr>
            </w:pPr>
            <w:r>
              <w:rPr>
                <w:rFonts w:ascii="Arial" w:cs="Arial" w:eastAsia="Arial" w:hAnsi="Arial"/>
                <w:sz w:val="14"/>
                <w:szCs w:val="14"/>
                <w:b w:val="1"/>
                <w:bCs w:val="1"/>
                <w:color w:val="auto"/>
              </w:rPr>
              <w:t>Severance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ind w:left="160"/>
              <w:spacing w:after="0"/>
              <w:rPr>
                <w:sz w:val="20"/>
                <w:szCs w:val="20"/>
                <w:color w:val="auto"/>
              </w:rPr>
            </w:pPr>
            <w:r>
              <w:rPr>
                <w:rFonts w:ascii="Arial" w:cs="Arial" w:eastAsia="Arial" w:hAnsi="Arial"/>
                <w:sz w:val="14"/>
                <w:szCs w:val="14"/>
                <w:b w:val="1"/>
                <w:bCs w:val="1"/>
                <w:color w:val="auto"/>
              </w:rPr>
              <w:t>Bonus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58"/>
              <w:spacing w:after="0"/>
              <w:rPr>
                <w:sz w:val="20"/>
                <w:szCs w:val="20"/>
                <w:color w:val="auto"/>
              </w:rPr>
            </w:pPr>
            <w:r>
              <w:rPr>
                <w:rFonts w:ascii="Arial" w:cs="Arial" w:eastAsia="Arial" w:hAnsi="Arial"/>
                <w:sz w:val="14"/>
                <w:szCs w:val="14"/>
                <w:b w:val="1"/>
                <w:bCs w:val="1"/>
                <w:color w:val="auto"/>
              </w:rPr>
              <w:t>Health Care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80"/>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ind w:left="80"/>
              <w:spacing w:after="0"/>
              <w:rPr>
                <w:sz w:val="20"/>
                <w:szCs w:val="20"/>
                <w:color w:val="auto"/>
              </w:rPr>
            </w:pPr>
            <w:r>
              <w:rPr>
                <w:rFonts w:ascii="Arial" w:cs="Arial" w:eastAsia="Arial" w:hAnsi="Arial"/>
                <w:sz w:val="14"/>
                <w:szCs w:val="14"/>
                <w:b w:val="1"/>
                <w:bCs w:val="1"/>
                <w:color w:val="auto"/>
              </w:rPr>
              <w:t>Payments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center"/>
              <w:ind w:right="78"/>
              <w:spacing w:after="0"/>
              <w:rPr>
                <w:sz w:val="20"/>
                <w:szCs w:val="20"/>
                <w:color w:val="auto"/>
              </w:rPr>
            </w:pPr>
            <w:r>
              <w:rPr>
                <w:rFonts w:ascii="Arial" w:cs="Arial" w:eastAsia="Arial" w:hAnsi="Arial"/>
                <w:sz w:val="14"/>
                <w:szCs w:val="14"/>
                <w:b w:val="1"/>
                <w:bCs w:val="1"/>
                <w:color w:val="auto"/>
              </w:rPr>
              <w:t>Benefits ($)</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57"/>
              <w:spacing w:after="0"/>
              <w:rPr>
                <w:sz w:val="20"/>
                <w:szCs w:val="20"/>
                <w:color w:val="auto"/>
              </w:rPr>
            </w:pPr>
            <w:r>
              <w:rPr>
                <w:rFonts w:ascii="Arial" w:cs="Arial" w:eastAsia="Arial" w:hAnsi="Arial"/>
                <w:sz w:val="14"/>
                <w:szCs w:val="14"/>
                <w:b w:val="1"/>
                <w:bCs w:val="1"/>
                <w:color w:val="auto"/>
              </w:rPr>
              <w:t>Acceleration</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ind w:left="60"/>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60"/>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center"/>
              <w:ind w:right="58"/>
              <w:spacing w:after="0"/>
              <w:rPr>
                <w:sz w:val="20"/>
                <w:szCs w:val="20"/>
                <w:color w:val="auto"/>
              </w:rPr>
            </w:pPr>
            <w:r>
              <w:rPr>
                <w:rFonts w:ascii="Arial" w:cs="Arial" w:eastAsia="Arial" w:hAnsi="Arial"/>
                <w:sz w:val="14"/>
                <w:szCs w:val="14"/>
                <w:b w:val="1"/>
                <w:bCs w:val="1"/>
                <w:color w:val="auto"/>
              </w:rPr>
              <w:t>Benefits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80"/>
              <w:spacing w:after="0"/>
              <w:rPr>
                <w:sz w:val="20"/>
                <w:szCs w:val="20"/>
                <w:color w:val="auto"/>
              </w:rPr>
            </w:pPr>
            <w:r>
              <w:rPr>
                <w:rFonts w:ascii="Arial" w:cs="Arial" w:eastAsia="Arial" w:hAnsi="Arial"/>
                <w:sz w:val="14"/>
                <w:szCs w:val="14"/>
                <w:b w:val="1"/>
                <w:bCs w:val="1"/>
                <w:color w:val="auto"/>
              </w:rPr>
              <w:t>Acceleration</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8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Jaume Pons, Ph.D.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ind w:left="340"/>
              <w:spacing w:after="0"/>
              <w:rPr>
                <w:sz w:val="20"/>
                <w:szCs w:val="20"/>
                <w:color w:val="auto"/>
              </w:rPr>
            </w:pPr>
            <w:r>
              <w:rPr>
                <w:rFonts w:ascii="Arial" w:cs="Arial" w:eastAsia="Arial" w:hAnsi="Arial"/>
                <w:sz w:val="18"/>
                <w:szCs w:val="18"/>
                <w:color w:val="auto"/>
                <w:w w:val="98"/>
              </w:rPr>
              <w:t>566,500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8,512,323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ind w:left="320"/>
              <w:spacing w:after="0"/>
              <w:rPr>
                <w:sz w:val="20"/>
                <w:szCs w:val="20"/>
                <w:color w:val="auto"/>
              </w:rPr>
            </w:pPr>
            <w:r>
              <w:rPr>
                <w:rFonts w:ascii="Arial" w:cs="Arial" w:eastAsia="Arial" w:hAnsi="Arial"/>
                <w:sz w:val="18"/>
                <w:szCs w:val="18"/>
                <w:color w:val="auto"/>
                <w:w w:val="98"/>
              </w:rPr>
              <w:t>849,750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ind w:left="300"/>
              <w:spacing w:after="0"/>
              <w:rPr>
                <w:sz w:val="20"/>
                <w:szCs w:val="20"/>
                <w:color w:val="auto"/>
              </w:rPr>
            </w:pPr>
            <w:r>
              <w:rPr>
                <w:rFonts w:ascii="Arial" w:cs="Arial" w:eastAsia="Arial" w:hAnsi="Arial"/>
                <w:sz w:val="18"/>
                <w:szCs w:val="18"/>
                <w:color w:val="auto"/>
                <w:w w:val="98"/>
              </w:rPr>
              <w:t>424,875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33,433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8,512,323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Arial" w:cs="Arial" w:eastAsia="Arial" w:hAnsi="Arial"/>
                <w:sz w:val="18"/>
                <w:szCs w:val="18"/>
                <w:color w:val="auto"/>
              </w:rPr>
              <w:t>Peter Garcia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340"/>
              <w:spacing w:after="0"/>
              <w:rPr>
                <w:sz w:val="20"/>
                <w:szCs w:val="20"/>
                <w:color w:val="auto"/>
              </w:rPr>
            </w:pPr>
            <w:r>
              <w:rPr>
                <w:rFonts w:ascii="Arial" w:cs="Arial" w:eastAsia="Arial" w:hAnsi="Arial"/>
                <w:sz w:val="18"/>
                <w:szCs w:val="18"/>
                <w:color w:val="auto"/>
                <w:w w:val="98"/>
              </w:rPr>
              <w:t>339,900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34,894</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2,785,431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320"/>
              <w:spacing w:after="0"/>
              <w:rPr>
                <w:sz w:val="20"/>
                <w:szCs w:val="20"/>
                <w:color w:val="auto"/>
              </w:rPr>
            </w:pPr>
            <w:r>
              <w:rPr>
                <w:rFonts w:ascii="Arial" w:cs="Arial" w:eastAsia="Arial" w:hAnsi="Arial"/>
                <w:sz w:val="18"/>
                <w:szCs w:val="18"/>
                <w:color w:val="auto"/>
                <w:w w:val="98"/>
              </w:rPr>
              <w:t>453,200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300"/>
              <w:spacing w:after="0"/>
              <w:rPr>
                <w:sz w:val="20"/>
                <w:szCs w:val="20"/>
                <w:color w:val="auto"/>
              </w:rPr>
            </w:pPr>
            <w:r>
              <w:rPr>
                <w:rFonts w:ascii="Arial" w:cs="Arial" w:eastAsia="Arial" w:hAnsi="Arial"/>
                <w:sz w:val="18"/>
                <w:szCs w:val="18"/>
                <w:color w:val="auto"/>
                <w:w w:val="98"/>
              </w:rPr>
              <w:t>181,280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47,233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880" w:type="dxa"/>
            <w:vAlign w:val="bottom"/>
            <w:shd w:val="clear" w:color="auto" w:fill="CFF0FC"/>
          </w:tcPr>
          <w:p>
            <w:pPr>
              <w:ind w:left="20"/>
              <w:spacing w:after="0" w:line="170" w:lineRule="exact"/>
              <w:rPr>
                <w:sz w:val="20"/>
                <w:szCs w:val="20"/>
                <w:color w:val="auto"/>
              </w:rPr>
            </w:pPr>
            <w:r>
              <w:rPr>
                <w:rFonts w:ascii="Arial" w:cs="Arial" w:eastAsia="Arial" w:hAnsi="Arial"/>
                <w:sz w:val="18"/>
                <w:szCs w:val="18"/>
                <w:color w:val="auto"/>
              </w:rPr>
              <w:t>Sophia Randolph,</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FF0FC"/>
          </w:tcPr>
          <w:p>
            <w:pPr>
              <w:ind w:left="340"/>
              <w:spacing w:after="0"/>
              <w:rPr>
                <w:sz w:val="20"/>
                <w:szCs w:val="20"/>
                <w:color w:val="auto"/>
              </w:rPr>
            </w:pPr>
            <w:r>
              <w:rPr>
                <w:rFonts w:ascii="Arial" w:cs="Arial" w:eastAsia="Arial" w:hAnsi="Arial"/>
                <w:sz w:val="18"/>
                <w:szCs w:val="18"/>
                <w:color w:val="auto"/>
                <w:w w:val="98"/>
              </w:rPr>
              <w:t>339,900</w:t>
            </w:r>
          </w:p>
        </w:tc>
        <w:tc>
          <w:tcPr>
            <w:tcW w:w="3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34,894</w:t>
            </w:r>
          </w:p>
        </w:tc>
        <w:tc>
          <w:tcPr>
            <w:tcW w:w="320" w:type="dxa"/>
            <w:vAlign w:val="bottom"/>
            <w:gridSpan w:val="2"/>
            <w:vMerge w:val="restart"/>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2,322,724</w:t>
            </w:r>
          </w:p>
        </w:tc>
        <w:tc>
          <w:tcPr>
            <w:tcW w:w="3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FF0FC"/>
          </w:tcPr>
          <w:p>
            <w:pPr>
              <w:ind w:left="320"/>
              <w:spacing w:after="0"/>
              <w:rPr>
                <w:sz w:val="20"/>
                <w:szCs w:val="20"/>
                <w:color w:val="auto"/>
              </w:rPr>
            </w:pPr>
            <w:r>
              <w:rPr>
                <w:rFonts w:ascii="Arial" w:cs="Arial" w:eastAsia="Arial" w:hAnsi="Arial"/>
                <w:sz w:val="18"/>
                <w:szCs w:val="18"/>
                <w:color w:val="auto"/>
                <w:w w:val="98"/>
              </w:rPr>
              <w:t>453,200</w:t>
            </w:r>
          </w:p>
        </w:tc>
        <w:tc>
          <w:tcPr>
            <w:tcW w:w="3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FF0FC"/>
          </w:tcPr>
          <w:p>
            <w:pPr>
              <w:ind w:left="300"/>
              <w:spacing w:after="0"/>
              <w:rPr>
                <w:sz w:val="20"/>
                <w:szCs w:val="20"/>
                <w:color w:val="auto"/>
              </w:rPr>
            </w:pPr>
            <w:r>
              <w:rPr>
                <w:rFonts w:ascii="Arial" w:cs="Arial" w:eastAsia="Arial" w:hAnsi="Arial"/>
                <w:sz w:val="18"/>
                <w:szCs w:val="18"/>
                <w:color w:val="auto"/>
                <w:w w:val="98"/>
              </w:rPr>
              <w:t>181,280</w:t>
            </w:r>
          </w:p>
        </w:tc>
        <w:tc>
          <w:tcPr>
            <w:tcW w:w="3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47,233</w:t>
            </w:r>
          </w:p>
        </w:tc>
        <w:tc>
          <w:tcPr>
            <w:tcW w:w="3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M.D., Ph.D.</w:t>
            </w:r>
          </w:p>
        </w:tc>
        <w:tc>
          <w:tcPr>
            <w:tcW w:w="180" w:type="dxa"/>
            <w:vAlign w:val="bottom"/>
            <w:vMerge w:val="continue"/>
            <w:shd w:val="clear" w:color="auto" w:fill="CFF0FC"/>
          </w:tcPr>
          <w:p>
            <w:pPr>
              <w:spacing w:after="0"/>
              <w:rPr>
                <w:sz w:val="20"/>
                <w:szCs w:val="20"/>
                <w:color w:val="auto"/>
              </w:rPr>
            </w:pPr>
          </w:p>
        </w:tc>
        <w:tc>
          <w:tcPr>
            <w:tcW w:w="1000" w:type="dxa"/>
            <w:vAlign w:val="bottom"/>
            <w:vMerge w:val="continue"/>
            <w:shd w:val="clear" w:color="auto" w:fill="CFF0FC"/>
          </w:tcPr>
          <w:p>
            <w:pPr>
              <w:spacing w:after="0"/>
              <w:rPr>
                <w:sz w:val="20"/>
                <w:szCs w:val="20"/>
                <w:color w:val="auto"/>
              </w:rPr>
            </w:pPr>
          </w:p>
        </w:tc>
        <w:tc>
          <w:tcPr>
            <w:tcW w:w="360" w:type="dxa"/>
            <w:vAlign w:val="bottom"/>
            <w:gridSpan w:val="2"/>
            <w:vMerge w:val="continue"/>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320" w:type="dxa"/>
            <w:vAlign w:val="bottom"/>
            <w:gridSpan w:val="2"/>
            <w:vMerge w:val="continue"/>
            <w:shd w:val="clear" w:color="auto" w:fill="CFF0FC"/>
          </w:tcPr>
          <w:p>
            <w:pPr>
              <w:spacing w:after="0"/>
              <w:rPr>
                <w:sz w:val="20"/>
                <w:szCs w:val="20"/>
                <w:color w:val="auto"/>
              </w:rPr>
            </w:pPr>
          </w:p>
        </w:tc>
        <w:tc>
          <w:tcPr>
            <w:tcW w:w="1080" w:type="dxa"/>
            <w:vAlign w:val="bottom"/>
            <w:vMerge w:val="continue"/>
            <w:shd w:val="clear" w:color="auto" w:fill="CFF0FC"/>
          </w:tcPr>
          <w:p>
            <w:pPr>
              <w:spacing w:after="0"/>
              <w:rPr>
                <w:sz w:val="20"/>
                <w:szCs w:val="20"/>
                <w:color w:val="auto"/>
              </w:rPr>
            </w:pPr>
          </w:p>
        </w:tc>
        <w:tc>
          <w:tcPr>
            <w:tcW w:w="340" w:type="dxa"/>
            <w:vAlign w:val="bottom"/>
            <w:gridSpan w:val="2"/>
            <w:vMerge w:val="continue"/>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360" w:type="dxa"/>
            <w:vAlign w:val="bottom"/>
            <w:gridSpan w:val="2"/>
            <w:vMerge w:val="continue"/>
            <w:shd w:val="clear" w:color="auto" w:fill="CFF0FC"/>
          </w:tcPr>
          <w:p>
            <w:pPr>
              <w:spacing w:after="0"/>
              <w:rPr>
                <w:sz w:val="20"/>
                <w:szCs w:val="20"/>
                <w:color w:val="auto"/>
              </w:rPr>
            </w:pPr>
          </w:p>
        </w:tc>
        <w:tc>
          <w:tcPr>
            <w:tcW w:w="960" w:type="dxa"/>
            <w:vAlign w:val="bottom"/>
            <w:vMerge w:val="continue"/>
            <w:shd w:val="clear" w:color="auto" w:fill="CFF0FC"/>
          </w:tcPr>
          <w:p>
            <w:pPr>
              <w:spacing w:after="0"/>
              <w:rPr>
                <w:sz w:val="20"/>
                <w:szCs w:val="20"/>
                <w:color w:val="auto"/>
              </w:rPr>
            </w:pPr>
          </w:p>
        </w:tc>
        <w:tc>
          <w:tcPr>
            <w:tcW w:w="320" w:type="dxa"/>
            <w:vAlign w:val="bottom"/>
            <w:gridSpan w:val="2"/>
            <w:vMerge w:val="continue"/>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360" w:type="dxa"/>
            <w:vAlign w:val="bottom"/>
            <w:gridSpan w:val="2"/>
            <w:vMerge w:val="continue"/>
            <w:shd w:val="clear" w:color="auto" w:fill="CFF0FC"/>
          </w:tcPr>
          <w:p>
            <w:pPr>
              <w:spacing w:after="0"/>
              <w:rPr>
                <w:sz w:val="20"/>
                <w:szCs w:val="20"/>
                <w:color w:val="auto"/>
              </w:rPr>
            </w:pPr>
          </w:p>
        </w:tc>
        <w:tc>
          <w:tcPr>
            <w:tcW w:w="1080" w:type="dxa"/>
            <w:vAlign w:val="bottom"/>
            <w:vMerge w:val="continue"/>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880" w:type="dxa"/>
            <w:vAlign w:val="bottom"/>
          </w:tcPr>
          <w:p>
            <w:pPr>
              <w:ind w:left="20"/>
              <w:spacing w:after="0"/>
              <w:rPr>
                <w:sz w:val="20"/>
                <w:szCs w:val="20"/>
                <w:color w:val="auto"/>
              </w:rPr>
            </w:pPr>
            <w:r>
              <w:rPr>
                <w:rFonts w:ascii="Arial" w:cs="Arial" w:eastAsia="Arial" w:hAnsi="Arial"/>
                <w:sz w:val="18"/>
                <w:szCs w:val="18"/>
                <w:color w:val="auto"/>
              </w:rPr>
              <w:t>Shelly Pinto</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340"/>
              <w:spacing w:after="0"/>
              <w:rPr>
                <w:sz w:val="20"/>
                <w:szCs w:val="20"/>
                <w:color w:val="auto"/>
              </w:rPr>
            </w:pPr>
            <w:r>
              <w:rPr>
                <w:rFonts w:ascii="Arial" w:cs="Arial" w:eastAsia="Arial" w:hAnsi="Arial"/>
                <w:sz w:val="18"/>
                <w:szCs w:val="18"/>
                <w:color w:val="auto"/>
                <w:w w:val="98"/>
              </w:rPr>
              <w:t>255,000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30,740</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320"/>
              <w:spacing w:after="0"/>
              <w:rPr>
                <w:sz w:val="20"/>
                <w:szCs w:val="20"/>
                <w:color w:val="auto"/>
              </w:rPr>
            </w:pPr>
            <w:r>
              <w:rPr>
                <w:rFonts w:ascii="Arial" w:cs="Arial" w:eastAsia="Arial" w:hAnsi="Arial"/>
                <w:sz w:val="18"/>
                <w:szCs w:val="18"/>
                <w:color w:val="auto"/>
                <w:w w:val="98"/>
              </w:rPr>
              <w:t>340,000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300"/>
              <w:spacing w:after="0"/>
              <w:rPr>
                <w:sz w:val="20"/>
                <w:szCs w:val="20"/>
                <w:color w:val="auto"/>
              </w:rPr>
            </w:pPr>
            <w:r>
              <w:rPr>
                <w:rFonts w:ascii="Arial" w:cs="Arial" w:eastAsia="Arial" w:hAnsi="Arial"/>
                <w:sz w:val="18"/>
                <w:szCs w:val="18"/>
                <w:color w:val="auto"/>
                <w:w w:val="98"/>
              </w:rPr>
              <w:t>136,000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41,619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2"/>
        </w:trPr>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104" w:lineRule="exact"/>
        <w:rPr>
          <w:sz w:val="20"/>
          <w:szCs w:val="20"/>
          <w:color w:val="auto"/>
        </w:rPr>
      </w:pPr>
    </w:p>
    <w:p>
      <w:pPr>
        <w:ind w:right="380"/>
        <w:spacing w:after="0" w:line="251" w:lineRule="auto"/>
        <w:rPr>
          <w:sz w:val="20"/>
          <w:szCs w:val="20"/>
          <w:color w:val="auto"/>
        </w:rPr>
      </w:pPr>
      <w:r>
        <w:rPr>
          <w:rFonts w:ascii="Arial" w:cs="Arial" w:eastAsia="Arial" w:hAnsi="Arial"/>
          <w:sz w:val="17"/>
          <w:szCs w:val="17"/>
          <w:color w:val="auto"/>
        </w:rPr>
        <w:t>Our board of directors has adopted our Executive Incentive Compensation Plan, or the Incentive Compensation Plan. Our Incentive Compensation Plan will be administered by the compensation committee of our board of directors, unless and until our board of directors</w:t>
      </w:r>
    </w:p>
    <w:p>
      <w:pPr>
        <w:spacing w:after="0" w:line="235" w:lineRule="auto"/>
        <w:rPr>
          <w:sz w:val="20"/>
          <w:szCs w:val="20"/>
          <w:color w:val="auto"/>
        </w:rPr>
      </w:pPr>
      <w:r>
        <w:rPr>
          <w:rFonts w:ascii="Arial" w:cs="Arial" w:eastAsia="Arial" w:hAnsi="Arial"/>
          <w:sz w:val="18"/>
          <w:szCs w:val="18"/>
          <w:color w:val="auto"/>
        </w:rPr>
        <w:t>determines otherwise. Our Incentive Compensation Plan allows us to grant incentive awards, generally payable in cash, to employees</w:t>
      </w:r>
    </w:p>
    <w:p>
      <w:pPr>
        <w:ind w:right="720"/>
        <w:spacing w:after="0" w:line="237" w:lineRule="auto"/>
        <w:rPr>
          <w:sz w:val="20"/>
          <w:szCs w:val="20"/>
          <w:color w:val="auto"/>
        </w:rPr>
      </w:pPr>
      <w:r>
        <w:rPr>
          <w:rFonts w:ascii="Arial" w:cs="Arial" w:eastAsia="Arial" w:hAnsi="Arial"/>
          <w:sz w:val="18"/>
          <w:szCs w:val="18"/>
          <w:color w:val="auto"/>
        </w:rPr>
        <w:t>selected by the administrator, including our named executive officers, based upon performance goals that may be established by the administrator.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Under our Incentive Compensation Plan, the administrator determines the performance goals applicable to any award, which goals may</w:t>
      </w:r>
    </w:p>
    <w:p>
      <w:pPr>
        <w:spacing w:after="0" w:line="14"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include, without limitation, goals related to attainment of research and development milestones; sales bookings; business divestitures and acquisitions; capital raising; cash flow; cash position; contract awards or backlog; corporate transactions; customer renewals; customer</w:t>
      </w:r>
    </w:p>
    <w:p>
      <w:pPr>
        <w:spacing w:after="0" w:line="1"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retention rates from an acquired company, subsidiary, business unit or division; earnings (which may include any calculation of earnings, including but not limited to earnings before interest and taxes, earnings before taxes, earnings before interest, taxes, depreciation and</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amortization and net taxes); earnings per share; expenses; financial milestones; gross margin; growth in stockholder value relative to the moving average of the S&amp;P 500 Index or another index; internal rate of return; leadership development or succession planning; license or</w:t>
      </w:r>
    </w:p>
    <w:p>
      <w:pPr>
        <w:spacing w:after="0" w:line="236" w:lineRule="auto"/>
        <w:rPr>
          <w:sz w:val="20"/>
          <w:szCs w:val="20"/>
          <w:color w:val="auto"/>
        </w:rPr>
      </w:pPr>
      <w:r>
        <w:rPr>
          <w:rFonts w:ascii="Arial" w:cs="Arial" w:eastAsia="Arial" w:hAnsi="Arial"/>
          <w:sz w:val="18"/>
          <w:szCs w:val="18"/>
          <w:color w:val="auto"/>
        </w:rPr>
        <w:t>research collaboration arrangements; market share; net income; net profit; net sales; new product or business development; new product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invention or innovation; number of customers; operating cash flow; operating expenses; operating income; operating margin; overhead or other expense reduction; patents; procurement; product defect measures; product release timelines; productivity; profit; regulatory milestones</w:t>
      </w:r>
    </w:p>
    <w:p>
      <w:pPr>
        <w:spacing w:after="0" w:line="2" w:lineRule="exact"/>
        <w:rPr>
          <w:sz w:val="20"/>
          <w:szCs w:val="20"/>
          <w:color w:val="auto"/>
        </w:rPr>
      </w:pPr>
    </w:p>
    <w:p>
      <w:pPr>
        <w:ind w:right="540"/>
        <w:spacing w:after="0" w:line="226" w:lineRule="auto"/>
        <w:rPr>
          <w:sz w:val="20"/>
          <w:szCs w:val="20"/>
          <w:color w:val="auto"/>
        </w:rPr>
      </w:pPr>
      <w:r>
        <w:rPr>
          <w:rFonts w:ascii="Arial" w:cs="Arial" w:eastAsia="Arial" w:hAnsi="Arial"/>
          <w:sz w:val="18"/>
          <w:szCs w:val="18"/>
          <w:color w:val="auto"/>
        </w:rPr>
        <w:t>or regularly-related goals; retained earnings; return on assets; return on capital; return on equity; return on investment; return on sales; revenue; revenue growth; sales results; sales growth; savings; stock price; time to market; total stockholder return; working capital;</w:t>
      </w:r>
    </w:p>
    <w:p>
      <w:pPr>
        <w:spacing w:after="0" w:line="2"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unadjusted or adjusted actual contract value; unadjusted or adjusted total contract value; and individual objectives such as peer reviews or other subjective or objective criteria. The performance goals may differ from participant to participant and from award to award. The</w:t>
      </w:r>
    </w:p>
    <w:p>
      <w:pPr>
        <w:spacing w:after="0" w:line="2"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administrator also may determine that a target award or portion of a target award will not have a performance goal associated with it but instead will be granted if at all in the compensation committee’s sole discretion.</w:t>
      </w:r>
    </w:p>
    <w:p>
      <w:pPr>
        <w:spacing w:after="0" w:line="18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administrator of our Incentive Compensation Plan, in its sole discretion and at any time, may increase, reduce or eliminate a participant’s actual award, and/or increase, reduce or eliminate the amount allocated to any bonus pool for a particular performance period. The actual</w:t>
      </w:r>
    </w:p>
    <w:p>
      <w:pPr>
        <w:spacing w:after="0" w:line="235" w:lineRule="auto"/>
        <w:rPr>
          <w:sz w:val="20"/>
          <w:szCs w:val="20"/>
          <w:color w:val="auto"/>
        </w:rPr>
      </w:pPr>
      <w:r>
        <w:rPr>
          <w:rFonts w:ascii="Arial" w:cs="Arial" w:eastAsia="Arial" w:hAnsi="Arial"/>
          <w:sz w:val="18"/>
          <w:szCs w:val="18"/>
          <w:color w:val="auto"/>
        </w:rPr>
        <w:t>award may be below, at or above a participant’s target award, in the discretion of the administrator. The administrator may determine the</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amount of any reduction on the basis of such factors as it deems relevant, and the administrator is not required to establish any allocation or weighting with respect to the factors it considers.</w:t>
      </w:r>
    </w:p>
    <w:p>
      <w:pPr>
        <w:spacing w:after="0" w:line="181" w:lineRule="exact"/>
        <w:rPr>
          <w:sz w:val="20"/>
          <w:szCs w:val="20"/>
          <w:color w:val="auto"/>
        </w:rPr>
      </w:pPr>
    </w:p>
    <w:p>
      <w:pPr>
        <w:ind w:right="900"/>
        <w:spacing w:after="0" w:line="237" w:lineRule="auto"/>
        <w:rPr>
          <w:sz w:val="20"/>
          <w:szCs w:val="20"/>
          <w:color w:val="auto"/>
        </w:rPr>
      </w:pPr>
      <w:r>
        <w:rPr>
          <w:rFonts w:ascii="Arial" w:cs="Arial" w:eastAsia="Arial" w:hAnsi="Arial"/>
          <w:sz w:val="18"/>
          <w:szCs w:val="18"/>
          <w:color w:val="auto"/>
        </w:rPr>
        <w:t>Actual awards generally will be paid in cash (or its equivalent) only after they are earned, and, unless otherwise determined by the administrator, a participant must be employed with us through the date the actual award is paid. The administrator of our Incentive</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Compensation Plan reserves the right to settle an actual award with a grant of an equity award under our then-current equity compensation plan, which equity award may have such terms and conditions, including vesting, as the administrator of such equity compensation plan</w:t>
      </w:r>
    </w:p>
    <w:p>
      <w:pPr>
        <w:spacing w:after="0" w:line="2"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determines. Payment of awards occurs as soon as administratively practicable after they are earned, but no later than the dates set forth in our Incentive Compensation Plan.</w:t>
      </w:r>
    </w:p>
    <w:p>
      <w:pPr>
        <w:spacing w:after="0" w:line="18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Awards under our Incentive Compensation Plan are subject to any clawback policy of ours, which we may be required to adopt from time to time to comply with applicable laws. The administrator also may impose such other clawback, recovery or recoupment provisions with</w:t>
      </w:r>
    </w:p>
    <w:p>
      <w:pPr>
        <w:spacing w:after="0" w:line="235" w:lineRule="auto"/>
        <w:rPr>
          <w:sz w:val="20"/>
          <w:szCs w:val="20"/>
          <w:color w:val="auto"/>
        </w:rPr>
      </w:pPr>
      <w:r>
        <w:rPr>
          <w:rFonts w:ascii="Arial" w:cs="Arial" w:eastAsia="Arial" w:hAnsi="Arial"/>
          <w:sz w:val="18"/>
          <w:szCs w:val="18"/>
          <w:color w:val="auto"/>
        </w:rPr>
        <w:t>respect to an award under our Incentive Compensation Plan as the administrator determines necessary or appropriate, including for</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example, reduction, cancellation, forfeiture or recoupment upon a termination of a participant’s employment for cause. Certain participants may be required to reimburse us for certain amounts paid under an award under our Incentive Compensation Plan in connection with certain</w:t>
      </w:r>
    </w:p>
    <w:p>
      <w:pPr>
        <w:spacing w:after="0" w:line="2"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accounting restatements we may be required to prepare due to our material noncompliance with any financial reporting requirements under applicable securities laws, as a result of misconduct.</w:t>
      </w:r>
    </w:p>
    <w:p>
      <w:pPr>
        <w:spacing w:after="0" w:line="18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administrator of our Incentive Compensation Plan has the authority to amend, alter, suspend or terminate our Incentive Compensation Plan, provided such action does not impair the existing rights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54" w:name="page55"/>
    <w:bookmarkEnd w:id="54"/>
    <w:p>
      <w:pPr>
        <w:ind w:right="80"/>
        <w:spacing w:after="0" w:line="271" w:lineRule="auto"/>
        <w:rPr>
          <w:sz w:val="20"/>
          <w:szCs w:val="20"/>
          <w:color w:val="auto"/>
        </w:rPr>
      </w:pPr>
      <w:r>
        <w:rPr>
          <w:rFonts w:ascii="Arial" w:cs="Arial" w:eastAsia="Arial" w:hAnsi="Arial"/>
          <w:sz w:val="18"/>
          <w:szCs w:val="18"/>
          <w:color w:val="auto"/>
        </w:rPr>
        <w:t>any participant with respect to any earned awards. Our Incentive Compensation Plan will remain in effect until terminated in accordance with its terms.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0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following table provides information as of December 31, 2021 with respect to shares of our common stock that may be issued under our existing equity compensation plans.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Available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for Future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Issuance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Securities to be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Under Equity</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Issued upon</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84"/>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Exercise of</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Plans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rPr>
              <w:t>Exercise Price</w:t>
            </w:r>
          </w:p>
        </w:tc>
        <w:tc>
          <w:tcPr>
            <w:tcW w:w="2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(Excluding</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300" w:type="dxa"/>
            <w:vAlign w:val="bottom"/>
          </w:tcPr>
          <w:p>
            <w:pPr>
              <w:spacing w:after="0"/>
              <w:rPr>
                <w:sz w:val="13"/>
                <w:szCs w:val="13"/>
                <w:color w:val="auto"/>
              </w:rPr>
            </w:pP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64"/>
              <w:spacing w:after="0" w:line="158" w:lineRule="exact"/>
              <w:rPr>
                <w:sz w:val="20"/>
                <w:szCs w:val="20"/>
                <w:color w:val="auto"/>
              </w:rPr>
            </w:pPr>
            <w:r>
              <w:rPr>
                <w:rFonts w:ascii="Arial" w:cs="Arial" w:eastAsia="Arial" w:hAnsi="Arial"/>
                <w:sz w:val="14"/>
                <w:szCs w:val="14"/>
                <w:b w:val="1"/>
                <w:bCs w:val="1"/>
                <w:color w:val="auto"/>
              </w:rPr>
              <w:t>of</w:t>
            </w:r>
          </w:p>
        </w:tc>
        <w:tc>
          <w:tcPr>
            <w:tcW w:w="220" w:type="dxa"/>
            <w:vAlign w:val="bottom"/>
          </w:tcPr>
          <w:p>
            <w:pPr>
              <w:spacing w:after="0"/>
              <w:rPr>
                <w:sz w:val="13"/>
                <w:szCs w:val="13"/>
                <w:color w:val="auto"/>
              </w:rPr>
            </w:pP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Restricted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Reflected in the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300" w:type="dxa"/>
            <w:vAlign w:val="bottom"/>
          </w:tcPr>
          <w:p>
            <w:pPr>
              <w:spacing w:after="0"/>
              <w:rPr>
                <w:sz w:val="13"/>
                <w:szCs w:val="13"/>
                <w:color w:val="auto"/>
              </w:rPr>
            </w:pPr>
          </w:p>
        </w:tc>
        <w:tc>
          <w:tcPr>
            <w:tcW w:w="15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Stock Units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64"/>
              <w:spacing w:after="0" w:line="153" w:lineRule="exact"/>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3"/>
                <w:szCs w:val="13"/>
                <w:color w:val="auto"/>
              </w:rPr>
            </w:pPr>
          </w:p>
        </w:tc>
        <w:tc>
          <w:tcPr>
            <w:tcW w:w="15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first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300" w:type="dxa"/>
            <w:vAlign w:val="bottom"/>
          </w:tcPr>
          <w:p>
            <w:pPr>
              <w:ind w:left="20"/>
              <w:spacing w:after="0"/>
              <w:rPr>
                <w:sz w:val="20"/>
                <w:szCs w:val="20"/>
                <w:color w:val="auto"/>
              </w:rPr>
            </w:pPr>
            <w:r>
              <w:rPr>
                <w:rFonts w:ascii="Arial" w:cs="Arial" w:eastAsia="Arial" w:hAnsi="Arial"/>
                <w:sz w:val="14"/>
                <w:szCs w:val="14"/>
                <w:b w:val="1"/>
                <w:bCs w:val="1"/>
                <w:color w:val="auto"/>
              </w:rPr>
              <w:t>Plan Category</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Rights (#)</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and Rights ($)</w:t>
            </w:r>
          </w:p>
        </w:tc>
        <w:tc>
          <w:tcPr>
            <w:tcW w:w="22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Column) (#)</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80"/>
              <w:spacing w:after="0"/>
              <w:rPr>
                <w:sz w:val="20"/>
                <w:szCs w:val="20"/>
                <w:color w:val="auto"/>
              </w:rPr>
            </w:pPr>
            <w:r>
              <w:rPr>
                <w:rFonts w:ascii="Arial" w:cs="Arial" w:eastAsia="Arial" w:hAnsi="Arial"/>
                <w:sz w:val="18"/>
                <w:szCs w:val="18"/>
                <w:i w:val="1"/>
                <w:iCs w:val="1"/>
                <w:color w:val="auto"/>
              </w:rPr>
              <w:t>Amended and Restated 2020 Equity Incentive Plan(1)</w:t>
            </w:r>
          </w:p>
        </w:tc>
        <w:tc>
          <w:tcPr>
            <w:tcW w:w="1520" w:type="dxa"/>
            <w:vAlign w:val="bottom"/>
          </w:tcPr>
          <w:p>
            <w:pPr>
              <w:jc w:val="right"/>
              <w:spacing w:after="0"/>
              <w:rPr>
                <w:sz w:val="20"/>
                <w:szCs w:val="20"/>
                <w:color w:val="auto"/>
              </w:rPr>
            </w:pPr>
            <w:r>
              <w:rPr>
                <w:rFonts w:ascii="Arial" w:cs="Arial" w:eastAsia="Arial" w:hAnsi="Arial"/>
                <w:sz w:val="18"/>
                <w:szCs w:val="18"/>
                <w:color w:val="auto"/>
              </w:rPr>
              <w:t>5,143,714</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23.91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3,407,898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ind w:left="280"/>
              <w:spacing w:after="0"/>
              <w:rPr>
                <w:sz w:val="20"/>
                <w:szCs w:val="20"/>
                <w:color w:val="auto"/>
              </w:rPr>
            </w:pPr>
            <w:r>
              <w:rPr>
                <w:rFonts w:ascii="Arial" w:cs="Arial" w:eastAsia="Arial" w:hAnsi="Arial"/>
                <w:sz w:val="18"/>
                <w:szCs w:val="18"/>
                <w:i w:val="1"/>
                <w:iCs w:val="1"/>
                <w:color w:val="auto"/>
              </w:rPr>
              <w:t>2020 Employee Stock Purchase Plan(2)</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790,822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60" w:right="240" w:hanging="444"/>
        <w:spacing w:after="0" w:line="227"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board of directors adopted, and our stockholders approved, the Amended and Restated 2020 Equity Incentive Plan (2020 Plan). The 2020 Plan provides that the number of shares available for issuance under the 2020 Plan will be increased on the first day of each fiscal year beginning with the 2021 fiscal year, in an amount equal to the least of (i) 4,000,000 shares, (ii) four percent (4%) of the outstanding shares of our common stock as of the last day of the immediately preceding fiscal year or (iii) such number of shares as our board of directors may determine no later than the last day of our immediately preceding fiscal year.</w:t>
      </w:r>
    </w:p>
    <w:p>
      <w:pPr>
        <w:spacing w:after="0" w:line="182" w:lineRule="exact"/>
        <w:rPr>
          <w:rFonts w:ascii="Arial" w:cs="Arial" w:eastAsia="Arial" w:hAnsi="Arial"/>
          <w:sz w:val="18"/>
          <w:szCs w:val="18"/>
          <w:color w:val="auto"/>
        </w:rPr>
      </w:pPr>
    </w:p>
    <w:p>
      <w:pPr>
        <w:ind w:left="460" w:right="440" w:hanging="444"/>
        <w:spacing w:after="0" w:line="227"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board of directors adopted, and our stockholders approved, the 2020 Employee Stock Purchase Plan (the ESPP). The ESPP provides that the number of shares available for issuance under the ESPP will be increased on the first day of each fiscal year beginning with the 2021 fiscal year, in an amount equal to the least of (i) 800,000 shares, (ii) one percent (1%) of the outstanding shares of our common stock on the last day of the immediately preceding fiscal year or (iii) such number of shares as our board of directors may determine no later than the last day of our immediately preceding fiscal year.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Analysis of our Compensation Plans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committee reviews and discusses with management the risks arising from our executive compensation philosophy and</w:t>
      </w:r>
    </w:p>
    <w:p>
      <w:pPr>
        <w:spacing w:after="0" w:line="14" w:lineRule="exact"/>
        <w:rPr>
          <w:sz w:val="20"/>
          <w:szCs w:val="20"/>
          <w:color w:val="auto"/>
        </w:rPr>
      </w:pPr>
    </w:p>
    <w:p>
      <w:pPr>
        <w:jc w:val="both"/>
        <w:ind w:right="100"/>
        <w:spacing w:after="0" w:line="226" w:lineRule="auto"/>
        <w:rPr>
          <w:sz w:val="20"/>
          <w:szCs w:val="20"/>
          <w:color w:val="auto"/>
        </w:rPr>
      </w:pPr>
      <w:r>
        <w:rPr>
          <w:rFonts w:ascii="Arial" w:cs="Arial" w:eastAsia="Arial" w:hAnsi="Arial"/>
          <w:sz w:val="18"/>
          <w:szCs w:val="18"/>
          <w:color w:val="auto"/>
        </w:rPr>
        <w:t>practices applicable to all employees to determine whether they encourage excessive risk-taking and to evaluate compensation policies and practices that could mitigate such risks. In addition, our compensation committee engaged Compensia in 2020 and 2021 to independently</w:t>
      </w:r>
    </w:p>
    <w:p>
      <w:pPr>
        <w:spacing w:after="0" w:line="2" w:lineRule="exact"/>
        <w:rPr>
          <w:sz w:val="20"/>
          <w:szCs w:val="20"/>
          <w:color w:val="auto"/>
        </w:rPr>
      </w:pPr>
    </w:p>
    <w:p>
      <w:pPr>
        <w:jc w:val="both"/>
        <w:ind w:right="100"/>
        <w:spacing w:after="0" w:line="242" w:lineRule="auto"/>
        <w:rPr>
          <w:sz w:val="20"/>
          <w:szCs w:val="20"/>
          <w:color w:val="auto"/>
        </w:rPr>
      </w:pPr>
      <w:r>
        <w:rPr>
          <w:rFonts w:ascii="Arial" w:cs="Arial" w:eastAsia="Arial" w:hAnsi="Arial"/>
          <w:sz w:val="18"/>
          <w:szCs w:val="18"/>
          <w:color w:val="auto"/>
        </w:rPr>
        <w:t>review our executive compensation program. Based on those reviews, the compensation committee structures our executive compensation program to encourage our named executive officers to focus on both short-term and long-term performance and success. We do not believe that our executive compensation program creates risks that are reasonably likely to have a material adverse effect on us.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55" w:name="page56"/>
    <w:bookmarkEnd w:id="55"/>
    <w:p>
      <w:pPr>
        <w:ind w:left="210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beneficial ownership of our common stock as of March 31, 2022 by:</w:t>
      </w:r>
    </w:p>
    <w:p>
      <w:pPr>
        <w:spacing w:after="0" w:line="198" w:lineRule="exact"/>
        <w:rPr>
          <w:sz w:val="20"/>
          <w:szCs w:val="20"/>
          <w:color w:val="auto"/>
        </w:rPr>
      </w:pPr>
    </w:p>
    <w:p>
      <w:pPr>
        <w:ind w:left="1020" w:hanging="450"/>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198" w:lineRule="exact"/>
        <w:rPr>
          <w:rFonts w:ascii="Arial" w:cs="Arial" w:eastAsia="Arial" w:hAnsi="Arial"/>
          <w:sz w:val="18"/>
          <w:szCs w:val="18"/>
          <w:color w:val="auto"/>
        </w:rPr>
      </w:pPr>
    </w:p>
    <w:p>
      <w:pPr>
        <w:ind w:left="1020" w:hanging="450"/>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98" w:lineRule="exact"/>
        <w:rPr>
          <w:rFonts w:ascii="Arial" w:cs="Arial" w:eastAsia="Arial" w:hAnsi="Arial"/>
          <w:sz w:val="18"/>
          <w:szCs w:val="18"/>
          <w:color w:val="auto"/>
        </w:rPr>
      </w:pPr>
    </w:p>
    <w:p>
      <w:pPr>
        <w:ind w:left="1020" w:hanging="450"/>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98" w:lineRule="exact"/>
        <w:rPr>
          <w:rFonts w:ascii="Arial" w:cs="Arial" w:eastAsia="Arial" w:hAnsi="Arial"/>
          <w:sz w:val="18"/>
          <w:szCs w:val="18"/>
          <w:color w:val="auto"/>
        </w:rPr>
      </w:pPr>
    </w:p>
    <w:p>
      <w:pPr>
        <w:ind w:left="1020" w:hanging="437"/>
        <w:spacing w:after="0"/>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198"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have based our calculation of the percentage of beneficial ownership on 40,656,632 shares of our common stock outstanding as of</w:t>
      </w:r>
    </w:p>
    <w:p>
      <w:pPr>
        <w:spacing w:after="0" w:line="14"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color w:val="auto"/>
        </w:rPr>
        <w:t>March 31, 2022. We have deemed shares of our common stock subject to stock options that are currently exercisable or exercisable within 60 days of March 31, 2022,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67"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Unless otherwise indicated, the address of each beneficial owner listed in the table below is c/o ALX Oncology Holdings Inc., 323 Allerton Avenue, South San Francisco, California 94080.</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 SHARES</w:t>
            </w:r>
          </w:p>
        </w:tc>
        <w:tc>
          <w:tcPr>
            <w:tcW w:w="260" w:type="dxa"/>
            <w:vAlign w:val="bottom"/>
          </w:tcPr>
          <w:p>
            <w:pPr>
              <w:spacing w:after="0"/>
              <w:rPr>
                <w:sz w:val="14"/>
                <w:szCs w:val="14"/>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76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BENEFICIALLY</w:t>
            </w:r>
          </w:p>
        </w:tc>
        <w:tc>
          <w:tcPr>
            <w:tcW w:w="26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BENEFICIALLY</w:t>
            </w:r>
          </w:p>
        </w:tc>
        <w:tc>
          <w:tcPr>
            <w:tcW w:w="0" w:type="dxa"/>
            <w:vAlign w:val="bottom"/>
          </w:tcPr>
          <w:p>
            <w:pPr>
              <w:spacing w:after="0"/>
              <w:rPr>
                <w:sz w:val="1"/>
                <w:szCs w:val="1"/>
                <w:color w:val="auto"/>
              </w:rPr>
            </w:pPr>
          </w:p>
        </w:tc>
      </w:tr>
      <w:tr>
        <w:trPr>
          <w:trHeight w:val="185"/>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OWNED</w:t>
            </w:r>
          </w:p>
        </w:tc>
        <w:tc>
          <w:tcPr>
            <w:tcW w:w="260" w:type="dxa"/>
            <w:vAlign w:val="bottom"/>
          </w:tcPr>
          <w:p>
            <w:pPr>
              <w:spacing w:after="0"/>
              <w:rPr>
                <w:sz w:val="16"/>
                <w:szCs w:val="16"/>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210"/>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5% or Greater Stockholders:</w:t>
            </w:r>
          </w:p>
        </w:tc>
        <w:tc>
          <w:tcPr>
            <w:tcW w:w="16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Entities affiliated with venBio Partners(1)</w:t>
            </w:r>
          </w:p>
        </w:tc>
        <w:tc>
          <w:tcPr>
            <w:tcW w:w="1640" w:type="dxa"/>
            <w:vAlign w:val="bottom"/>
          </w:tcPr>
          <w:p>
            <w:pPr>
              <w:jc w:val="right"/>
              <w:spacing w:after="0"/>
              <w:rPr>
                <w:sz w:val="20"/>
                <w:szCs w:val="20"/>
                <w:color w:val="auto"/>
              </w:rPr>
            </w:pPr>
            <w:r>
              <w:rPr>
                <w:rFonts w:ascii="Arial" w:cs="Arial" w:eastAsia="Arial" w:hAnsi="Arial"/>
                <w:sz w:val="18"/>
                <w:szCs w:val="18"/>
                <w:color w:val="auto"/>
              </w:rPr>
              <w:t>9,699,925</w:t>
            </w:r>
          </w:p>
        </w:tc>
        <w:tc>
          <w:tcPr>
            <w:tcW w:w="2000" w:type="dxa"/>
            <w:vAlign w:val="bottom"/>
            <w:gridSpan w:val="3"/>
          </w:tcPr>
          <w:p>
            <w:pPr>
              <w:jc w:val="right"/>
              <w:ind w:right="100"/>
              <w:spacing w:after="0"/>
              <w:rPr>
                <w:sz w:val="20"/>
                <w:szCs w:val="20"/>
                <w:color w:val="auto"/>
              </w:rPr>
            </w:pPr>
            <w:r>
              <w:rPr>
                <w:rFonts w:ascii="Arial" w:cs="Arial" w:eastAsia="Arial" w:hAnsi="Arial"/>
                <w:sz w:val="18"/>
                <w:szCs w:val="18"/>
                <w:color w:val="auto"/>
              </w:rPr>
              <w:t>23.9 %</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Entities affiliated with Lightstone Ventures(2)</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4,526,963</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Entities affiliated with Vivo Capital(3)</w:t>
            </w:r>
          </w:p>
        </w:tc>
        <w:tc>
          <w:tcPr>
            <w:tcW w:w="1640" w:type="dxa"/>
            <w:vAlign w:val="bottom"/>
          </w:tcPr>
          <w:p>
            <w:pPr>
              <w:jc w:val="right"/>
              <w:spacing w:after="0"/>
              <w:rPr>
                <w:sz w:val="20"/>
                <w:szCs w:val="20"/>
                <w:color w:val="auto"/>
              </w:rPr>
            </w:pPr>
            <w:r>
              <w:rPr>
                <w:rFonts w:ascii="Arial" w:cs="Arial" w:eastAsia="Arial" w:hAnsi="Arial"/>
                <w:sz w:val="18"/>
                <w:szCs w:val="18"/>
                <w:color w:val="auto"/>
              </w:rPr>
              <w:t>4,220,048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Entities affiliated with Wellington Management Company(4)</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3,728,330</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Entities affiliated with Logos Capital(5)</w:t>
            </w:r>
          </w:p>
        </w:tc>
        <w:tc>
          <w:tcPr>
            <w:tcW w:w="1640" w:type="dxa"/>
            <w:vAlign w:val="bottom"/>
          </w:tcPr>
          <w:p>
            <w:pPr>
              <w:jc w:val="right"/>
              <w:spacing w:after="0"/>
              <w:rPr>
                <w:sz w:val="20"/>
                <w:szCs w:val="20"/>
                <w:color w:val="auto"/>
              </w:rPr>
            </w:pPr>
            <w:r>
              <w:rPr>
                <w:rFonts w:ascii="Arial" w:cs="Arial" w:eastAsia="Arial" w:hAnsi="Arial"/>
                <w:sz w:val="18"/>
                <w:szCs w:val="18"/>
                <w:color w:val="auto"/>
              </w:rPr>
              <w:t>3,156,981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FMR LLC(6)</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2,592,939</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Named Executive Officers:</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Jaume Pons, Ph.D.(7)</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1,603,738</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Sophia Randolph, M.D., Ph.D.(8)</w:t>
            </w:r>
          </w:p>
        </w:tc>
        <w:tc>
          <w:tcPr>
            <w:tcW w:w="1640" w:type="dxa"/>
            <w:vAlign w:val="bottom"/>
          </w:tcPr>
          <w:p>
            <w:pPr>
              <w:jc w:val="right"/>
              <w:spacing w:after="0"/>
              <w:rPr>
                <w:sz w:val="20"/>
                <w:szCs w:val="20"/>
                <w:color w:val="auto"/>
              </w:rPr>
            </w:pPr>
            <w:r>
              <w:rPr>
                <w:rFonts w:ascii="Arial" w:cs="Arial" w:eastAsia="Arial" w:hAnsi="Arial"/>
                <w:sz w:val="18"/>
                <w:szCs w:val="18"/>
                <w:color w:val="auto"/>
              </w:rPr>
              <w:t>395,997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Peter Garcia(9)</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242,035</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Shelly Pinto (10)</w:t>
            </w:r>
          </w:p>
        </w:tc>
        <w:tc>
          <w:tcPr>
            <w:tcW w:w="1640" w:type="dxa"/>
            <w:vAlign w:val="bottom"/>
          </w:tcPr>
          <w:p>
            <w:pPr>
              <w:jc w:val="right"/>
              <w:spacing w:after="0"/>
              <w:rPr>
                <w:sz w:val="20"/>
                <w:szCs w:val="20"/>
                <w:color w:val="auto"/>
              </w:rPr>
            </w:pPr>
            <w:r>
              <w:rPr>
                <w:rFonts w:ascii="Arial" w:cs="Arial" w:eastAsia="Arial" w:hAnsi="Arial"/>
                <w:sz w:val="18"/>
                <w:szCs w:val="18"/>
                <w:color w:val="auto"/>
              </w:rPr>
              <w:t>36,904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Non-Employee Directors:</w:t>
            </w: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Corey Goodman, Ph.D.(11)</w:t>
            </w:r>
          </w:p>
        </w:tc>
        <w:tc>
          <w:tcPr>
            <w:tcW w:w="1640" w:type="dxa"/>
            <w:vAlign w:val="bottom"/>
          </w:tcPr>
          <w:p>
            <w:pPr>
              <w:jc w:val="right"/>
              <w:spacing w:after="0"/>
              <w:rPr>
                <w:sz w:val="20"/>
                <w:szCs w:val="20"/>
                <w:color w:val="auto"/>
              </w:rPr>
            </w:pPr>
            <w:r>
              <w:rPr>
                <w:rFonts w:ascii="Arial" w:cs="Arial" w:eastAsia="Arial" w:hAnsi="Arial"/>
                <w:sz w:val="18"/>
                <w:szCs w:val="18"/>
                <w:color w:val="auto"/>
              </w:rPr>
              <w:t>9,892,970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Itziar Canamasas, Ph.D. (12)</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Rekha Hemrajani(13)</w:t>
            </w:r>
          </w:p>
        </w:tc>
        <w:tc>
          <w:tcPr>
            <w:tcW w:w="1640" w:type="dxa"/>
            <w:vAlign w:val="bottom"/>
          </w:tcPr>
          <w:p>
            <w:pPr>
              <w:jc w:val="right"/>
              <w:spacing w:after="0"/>
              <w:rPr>
                <w:sz w:val="20"/>
                <w:szCs w:val="20"/>
                <w:color w:val="auto"/>
              </w:rPr>
            </w:pPr>
            <w:r>
              <w:rPr>
                <w:rFonts w:ascii="Arial" w:cs="Arial" w:eastAsia="Arial" w:hAnsi="Arial"/>
                <w:sz w:val="18"/>
                <w:szCs w:val="18"/>
                <w:color w:val="auto"/>
              </w:rPr>
              <w:t>59,512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Jason Lettmann(14)</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4,659,858</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Jack Nielsen(15)</w:t>
            </w:r>
          </w:p>
        </w:tc>
        <w:tc>
          <w:tcPr>
            <w:tcW w:w="1640" w:type="dxa"/>
            <w:vAlign w:val="bottom"/>
          </w:tcPr>
          <w:p>
            <w:pPr>
              <w:jc w:val="right"/>
              <w:spacing w:after="0"/>
              <w:rPr>
                <w:sz w:val="20"/>
                <w:szCs w:val="20"/>
                <w:color w:val="auto"/>
              </w:rPr>
            </w:pPr>
            <w:r>
              <w:rPr>
                <w:rFonts w:ascii="Arial" w:cs="Arial" w:eastAsia="Arial" w:hAnsi="Arial"/>
                <w:sz w:val="18"/>
                <w:szCs w:val="18"/>
                <w:color w:val="auto"/>
              </w:rPr>
              <w:t>4,245,723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 current executive officers and directors as a group (9 persons)(16)</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21,136,737</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ind w:left="5520" w:right="2280" w:hanging="5512"/>
        <w:spacing w:after="0" w:line="475" w:lineRule="auto"/>
        <w:tabs>
          <w:tab w:leader="none" w:pos="1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(1%) of the outstanding shares of our common stock.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56" w:name="page57"/>
    <w:bookmarkEnd w:id="56"/>
    <w:p>
      <w:pPr>
        <w:ind w:left="372" w:right="60" w:hanging="372"/>
        <w:spacing w:after="0" w:line="250" w:lineRule="auto"/>
        <w:tabs>
          <w:tab w:leader="none" w:pos="372"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a Schedule 13D reporting beneficial ownership as of, and filed with the SEC on, October 1, 2020, the shares consist of (i) 5,268,325 shares held of record by venBio Global Strategic Fund II, L.P. (GSF II LP); (ii) 3,969,789 shares held of record by venBio Global Strategic Fund, L.P. (GSF LP); and (iii) 461,811 shares held of record by venBio SPV, LLC. venBio Global Strategic GP II, L.P. (GS GP II LP) is the general partner of GSF II LP and venBio Global Strategic GP II, Ltd. (GS GP II Ltd) is the general partner of GS GP</w:t>
      </w:r>
    </w:p>
    <w:p>
      <w:pPr>
        <w:ind w:left="372" w:firstLine="2"/>
        <w:spacing w:after="0" w:line="232" w:lineRule="auto"/>
        <w:tabs>
          <w:tab w:leader="none" w:pos="522" w:val="left"/>
        </w:tabs>
        <w:numPr>
          <w:ilvl w:val="1"/>
          <w:numId w:val="47"/>
        </w:numPr>
        <w:rPr>
          <w:rFonts w:ascii="Arial" w:cs="Arial" w:eastAsia="Arial" w:hAnsi="Arial"/>
          <w:sz w:val="18"/>
          <w:szCs w:val="18"/>
          <w:color w:val="auto"/>
        </w:rPr>
      </w:pPr>
      <w:r>
        <w:rPr>
          <w:rFonts w:ascii="Arial" w:cs="Arial" w:eastAsia="Arial" w:hAnsi="Arial"/>
          <w:sz w:val="18"/>
          <w:szCs w:val="18"/>
          <w:color w:val="auto"/>
        </w:rPr>
        <w:t>LP. venBio Global Strategic GP, L.P. (GS GP LP) is the general partner of GSF LP and venBio Global Strategic GP, Ltd. (GS GP Ltd) is the general partner of GS GP LP. As the Directors of venBio Global GS GP II Ltd and GS GP Ltd and the Managing Directors of venBio SPV, LLC (SPV LLC), Robert Adelman and Corey Goodman, one of our directors, share voting and dispositive power with respect to the shares held of record by GSF II LP, GSF LP and SPV LLC. An additional 96,406 shares are held of record by Dr. Adelman. The address for these entities is c/o venBio Partners, LLC, 1700 Owens Street, Suite 595, San Francisco, California 94158.</w:t>
      </w:r>
    </w:p>
    <w:p>
      <w:pPr>
        <w:spacing w:after="0" w:line="169" w:lineRule="exact"/>
        <w:rPr>
          <w:rFonts w:ascii="Arial" w:cs="Arial" w:eastAsia="Arial" w:hAnsi="Arial"/>
          <w:sz w:val="18"/>
          <w:szCs w:val="18"/>
          <w:color w:val="auto"/>
        </w:rPr>
      </w:pPr>
    </w:p>
    <w:p>
      <w:pPr>
        <w:ind w:left="372" w:right="60" w:hanging="372"/>
        <w:spacing w:after="0" w:line="231" w:lineRule="auto"/>
        <w:tabs>
          <w:tab w:leader="none" w:pos="3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a Form 4 reporting beneficial ownership as of December 13, 2021 and filed with the SEC on December 15, 2021, the shares consist of (i) 2,097,326 shares held of record by Lightstone Ventures, LP (LV LP); (ii) 2,023,469 shares held of record by Lightstone Ventures II, LP (LV II LP); (iii) 285,956 shares held of record by Lightstone Ventures (A), LP (LV(A) LP); and (iv) 120,212 shares held of record by Lightstone Ventures II (A), LP (LV II(A) LP). LSV Associates, LLC (LSV Associates) is the General Partner of LV LP and LV(A) LP. As the managing directors of LSV Associates, Michael A. Carusi, Jean M. George and Henry A. Plain, Jr. share voting and dispositive power with respect to the shares held of record by LV LP and LV(A) LP. LSV Associates II, LLC (LSV Associates II) is the General Partner of LV II LP and LV II(A) LP. As the managing directors of LSV Associates II, Michael A. Carusi, Jean M. George, Henry</w:t>
      </w:r>
    </w:p>
    <w:p>
      <w:pPr>
        <w:ind w:left="372" w:right="40" w:firstLine="2"/>
        <w:spacing w:after="0" w:line="279" w:lineRule="auto"/>
        <w:tabs>
          <w:tab w:leader="none" w:pos="592" w:val="left"/>
        </w:tabs>
        <w:numPr>
          <w:ilvl w:val="1"/>
          <w:numId w:val="48"/>
        </w:numPr>
        <w:rPr>
          <w:rFonts w:ascii="Arial" w:cs="Arial" w:eastAsia="Arial" w:hAnsi="Arial"/>
          <w:sz w:val="17"/>
          <w:szCs w:val="17"/>
          <w:color w:val="auto"/>
        </w:rPr>
      </w:pPr>
      <w:r>
        <w:rPr>
          <w:rFonts w:ascii="Arial" w:cs="Arial" w:eastAsia="Arial" w:hAnsi="Arial"/>
          <w:sz w:val="17"/>
          <w:szCs w:val="17"/>
          <w:color w:val="auto"/>
        </w:rPr>
        <w:t>Plain, Jr. and Jason W. Lettmann share voting and dispositive power with respect to the shares held of record by LV II LP and LV II(A) LP. The address for these entities is c/o LSV Capital Management, LLC, 2884 Sand Hill Road, Suite 121, Menlo Park, California 94025.</w:t>
      </w:r>
    </w:p>
    <w:p>
      <w:pPr>
        <w:spacing w:after="0" w:line="135" w:lineRule="exact"/>
        <w:rPr>
          <w:rFonts w:ascii="Arial" w:cs="Arial" w:eastAsia="Arial" w:hAnsi="Arial"/>
          <w:sz w:val="17"/>
          <w:szCs w:val="17"/>
          <w:color w:val="auto"/>
        </w:rPr>
      </w:pPr>
    </w:p>
    <w:p>
      <w:pPr>
        <w:ind w:left="372" w:right="60" w:hanging="372"/>
        <w:spacing w:after="0" w:line="234" w:lineRule="auto"/>
        <w:tabs>
          <w:tab w:leader="none" w:pos="3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a Schedule 13G reporting beneficial ownership as of and filed with the SEC on, July 29, 2020, the shares consist of (i) 4,034,522 shares held of record by Vivo Capital Fund IX, L.P. (VIVO IX LP) and (ii) 185,526 shares held of record by Vivo Opportunity Fund, L.P. (VOF). Vivo Capital IX, LLC (VIVO IX LLC) is the General Partner of VIVO IX LP. As the managing members of VIVO IX LLC, Frank Kung, Edgar Engleman, Shan Fu, Jack Nielsen and Michael Chang share voting and dispositive power with respect to the shares held of record by VIVO IX LP. Vivo Opportunity, LLC is the general partner of VOF. As the managing members of Vivo Opportunity, LLC, Gaurav Aggarwal, Shan Fu, Frank King and Michael Chang share voting and dispositive power with respect to the shares held of record by VOF but each disclaims beneficial ownership of such shares except to the extent of his individual pecuniary interest therein. The address for these entities is c/o Vivo Capital, 192 Lytton Avenue, Palo Alto, California 94301.</w:t>
      </w:r>
    </w:p>
    <w:p>
      <w:pPr>
        <w:spacing w:after="0" w:line="181" w:lineRule="exact"/>
        <w:rPr>
          <w:rFonts w:ascii="Arial" w:cs="Arial" w:eastAsia="Arial" w:hAnsi="Arial"/>
          <w:sz w:val="18"/>
          <w:szCs w:val="18"/>
          <w:color w:val="auto"/>
        </w:rPr>
      </w:pPr>
    </w:p>
    <w:p>
      <w:pPr>
        <w:ind w:left="372" w:right="80" w:hanging="372"/>
        <w:spacing w:after="0" w:line="234" w:lineRule="auto"/>
        <w:tabs>
          <w:tab w:leader="none" w:pos="3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a Schedule 13G/A reporting beneficial ownership as of December 31, 2021 and filed with the SEC on February 4, 2022, the 3,728,330 shares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the parent holding company. The address for these entities is c/o Wellington Management Company LLP, 280 Congress Street, Boston, Massachusetts 02210.</w:t>
      </w:r>
    </w:p>
    <w:p>
      <w:pPr>
        <w:spacing w:after="0" w:line="179" w:lineRule="exact"/>
        <w:rPr>
          <w:rFonts w:ascii="Arial" w:cs="Arial" w:eastAsia="Arial" w:hAnsi="Arial"/>
          <w:sz w:val="18"/>
          <w:szCs w:val="18"/>
          <w:color w:val="auto"/>
        </w:rPr>
      </w:pPr>
    </w:p>
    <w:p>
      <w:pPr>
        <w:ind w:left="372" w:right="20" w:hanging="372"/>
        <w:spacing w:after="0" w:line="234" w:lineRule="auto"/>
        <w:tabs>
          <w:tab w:leader="none" w:pos="3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a Schedule 13D/A reporting beneficial ownership as of June 14, 2021, and filed with the SEC on June 15, 2021 and updated from Company records, the shares consist of (i) 2,161,981 shares held of record by Logos Opportunities Fund I, L.P. (LOS I LP) and (ii) 995,000 shares held of record by Logos Global Master Fund, L.P. (LGMF LP). Logos Opportunities GP, LLC (Logos Opportunities GP) is the general partner of LOS I LP, and Logos GP LLC (Logos GP) is the general partner of LGMF LP. Arsani William and Graham Walmsley are the managing members of Logos Opportunities GP and Logos GP and share voting and dispositive power with respect to the shares held of record by LOS I LP and LGMF LP. The address for these entities is c/o Logos Global Management, LP, 1 Letterman Drive, Building D, Suite D3-700, San Francisco, California 94129.</w:t>
      </w:r>
    </w:p>
    <w:p>
      <w:pPr>
        <w:spacing w:after="0" w:line="15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66" w:right="339" w:bottom="1440" w:gutter="0" w:footer="0" w:header="0"/>
        </w:sectPr>
      </w:pPr>
    </w:p>
    <w:bookmarkStart w:id="57" w:name="page58"/>
    <w:bookmarkEnd w:id="57"/>
    <w:p>
      <w:pPr>
        <w:ind w:left="372" w:right="100" w:hanging="372"/>
        <w:spacing w:after="0" w:line="231" w:lineRule="auto"/>
        <w:tabs>
          <w:tab w:leader="none" w:pos="3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a Schedule 13G filed with the SEC on February 9, 2022 reporting stock ownership as of December 31, 2021, the reported shares of common stock are held of record by FMR LLC, certain of its subsidiaries and affiliates, and other companies and over which shares FMR LLC has sole dispositive power. FMR LLC has sole voting power with respect to 81,786 shares and sole dispositive power with respect to all reported shares.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stockholders have entered into a stockholders’ voting agreement under which all Series B voting common shares will be voted in accordance with the majority vote of Series B voting common shares. Accordingly, through their ownership of voting common shares and the execution of the stockholders’ voting agreement, members of the Johnson family may be deemed, under the Investment Company Act of 1940, to form a controlling group with respect to FMR LLC. Neither FMR LLC nor Ms. Johnson has the sole power to vote or direct the voting of the shares owned directly by the various investment companies registered under the Investment Company Act of 1940 (the Fidelity Funds), advised by Fidelity Management &amp; Research Company LLC (FMR Co), a wholly owned subsidiary of FMR LLC, which power resides in the Fidelity Funds’ Boards of Trustees. FMR Co carries out the voting of the shares under written guidelines established by the Fidelity Funds’ Boards of Trustees. The address for FMR LLC is 245 Summer Street, Boston, Massachusetts 02210.</w:t>
      </w:r>
    </w:p>
    <w:p>
      <w:pPr>
        <w:spacing w:after="0" w:line="184" w:lineRule="exact"/>
        <w:rPr>
          <w:rFonts w:ascii="Arial" w:cs="Arial" w:eastAsia="Arial" w:hAnsi="Arial"/>
          <w:sz w:val="18"/>
          <w:szCs w:val="18"/>
          <w:color w:val="auto"/>
        </w:rPr>
      </w:pPr>
    </w:p>
    <w:p>
      <w:pPr>
        <w:ind w:left="372" w:right="440" w:hanging="372"/>
        <w:spacing w:after="0" w:line="256" w:lineRule="auto"/>
        <w:tabs>
          <w:tab w:leader="none" w:pos="3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Consists of (i) 468,978 shares held of record by Dr. Pons and (ii) 1,134,760 shares issuable upon option exercise within 60 days of March 31, 2022, of which 798,654 are fully vested as of March 31, 2022.</w:t>
      </w:r>
    </w:p>
    <w:p>
      <w:pPr>
        <w:spacing w:after="0" w:line="165" w:lineRule="exact"/>
        <w:rPr>
          <w:rFonts w:ascii="Arial" w:cs="Arial" w:eastAsia="Arial" w:hAnsi="Arial"/>
          <w:sz w:val="18"/>
          <w:szCs w:val="18"/>
          <w:color w:val="auto"/>
        </w:rPr>
      </w:pPr>
    </w:p>
    <w:p>
      <w:pPr>
        <w:ind w:left="372" w:right="240" w:hanging="372"/>
        <w:spacing w:after="0" w:line="256" w:lineRule="auto"/>
        <w:tabs>
          <w:tab w:leader="none" w:pos="3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Consists of (i) 188,396 shares held of record by Dr. Randolph and (ii) 207,601 shares issuable upon option exercise within 60 days of March 31, 2022, of which 114,549 are fully vested as of March 31, 2022.</w:t>
      </w:r>
    </w:p>
    <w:p>
      <w:pPr>
        <w:spacing w:after="0" w:line="165" w:lineRule="exact"/>
        <w:rPr>
          <w:rFonts w:ascii="Arial" w:cs="Arial" w:eastAsia="Arial" w:hAnsi="Arial"/>
          <w:sz w:val="18"/>
          <w:szCs w:val="18"/>
          <w:color w:val="auto"/>
        </w:rPr>
      </w:pPr>
    </w:p>
    <w:p>
      <w:pPr>
        <w:ind w:left="372" w:hanging="372"/>
        <w:spacing w:after="0" w:line="256" w:lineRule="auto"/>
        <w:tabs>
          <w:tab w:leader="none" w:pos="3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Consists of (i) 24,483 shares held of record by Mr. Garcia and (ii) 217,552 shares issuable upon option exercise within 60 days of March 31, 2022, of which 88,720 are fully vested as of March 31, 2022.</w:t>
      </w:r>
    </w:p>
    <w:p>
      <w:pPr>
        <w:spacing w:after="0" w:line="165" w:lineRule="exact"/>
        <w:rPr>
          <w:rFonts w:ascii="Arial" w:cs="Arial" w:eastAsia="Arial" w:hAnsi="Arial"/>
          <w:sz w:val="18"/>
          <w:szCs w:val="18"/>
          <w:color w:val="auto"/>
        </w:rPr>
      </w:pPr>
    </w:p>
    <w:p>
      <w:pPr>
        <w:ind w:left="372" w:right="140" w:hanging="372"/>
        <w:spacing w:after="0" w:line="256" w:lineRule="auto"/>
        <w:tabs>
          <w:tab w:leader="none" w:pos="3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Consists of (i) 446 shares held of record by Ms. Pinto and (ii) 36,458 shares issuable upon option exercise within 60 days of March 31, 2022, of which 4,166 are fully vested as of March 31, 2022.</w:t>
      </w:r>
    </w:p>
    <w:p>
      <w:pPr>
        <w:spacing w:after="0" w:line="165" w:lineRule="exact"/>
        <w:rPr>
          <w:rFonts w:ascii="Arial" w:cs="Arial" w:eastAsia="Arial" w:hAnsi="Arial"/>
          <w:sz w:val="18"/>
          <w:szCs w:val="18"/>
          <w:color w:val="auto"/>
        </w:rPr>
      </w:pPr>
    </w:p>
    <w:p>
      <w:pPr>
        <w:ind w:left="372" w:hanging="372"/>
        <w:spacing w:after="0" w:line="241" w:lineRule="auto"/>
        <w:tabs>
          <w:tab w:leader="none" w:pos="3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Consists of (i) the shares disclosed in footnote (1) above which are held of record by entities affiliated with venBio Partners; (ii) 113,287 shares held of record by the Goodman Barinaga Trust for which Dr. Goodman serves as trustee; (iii) 54,083 shares held of record by the Emaldi Corporation for which Dr. Goodman serves as a director and (iv) 25,675 shares issuable upon option exercise within 60 days of March 31, 2022, of which 22,341 are fully vested.</w:t>
      </w:r>
    </w:p>
    <w:p>
      <w:pPr>
        <w:spacing w:after="0" w:line="167" w:lineRule="exact"/>
        <w:rPr>
          <w:rFonts w:ascii="Arial" w:cs="Arial" w:eastAsia="Arial" w:hAnsi="Arial"/>
          <w:sz w:val="18"/>
          <w:szCs w:val="18"/>
          <w:color w:val="auto"/>
        </w:rPr>
      </w:pPr>
    </w:p>
    <w:p>
      <w:pPr>
        <w:ind w:left="372" w:hanging="372"/>
        <w:spacing w:after="0"/>
        <w:tabs>
          <w:tab w:leader="none" w:pos="3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Dr. Canamasas joined our board of directors in April 2022.</w:t>
      </w:r>
    </w:p>
    <w:p>
      <w:pPr>
        <w:spacing w:after="0" w:line="211" w:lineRule="exact"/>
        <w:rPr>
          <w:rFonts w:ascii="Arial" w:cs="Arial" w:eastAsia="Arial" w:hAnsi="Arial"/>
          <w:sz w:val="18"/>
          <w:szCs w:val="18"/>
          <w:color w:val="auto"/>
        </w:rPr>
      </w:pPr>
    </w:p>
    <w:p>
      <w:pPr>
        <w:ind w:left="372" w:right="200" w:hanging="372"/>
        <w:spacing w:after="0" w:line="256" w:lineRule="auto"/>
        <w:tabs>
          <w:tab w:leader="none" w:pos="3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Consists of (i) 3,000 shares held of record by Rekha Hemrajani and (ii) 56,512 shares issuable upon option exercise within 60 days of March 31, 2022, of which 50,871 are fully vested.</w:t>
      </w:r>
    </w:p>
    <w:p>
      <w:pPr>
        <w:spacing w:after="0" w:line="165" w:lineRule="exact"/>
        <w:rPr>
          <w:rFonts w:ascii="Arial" w:cs="Arial" w:eastAsia="Arial" w:hAnsi="Arial"/>
          <w:sz w:val="18"/>
          <w:szCs w:val="18"/>
          <w:color w:val="auto"/>
        </w:rPr>
      </w:pPr>
    </w:p>
    <w:p>
      <w:pPr>
        <w:ind w:left="372" w:right="100" w:hanging="372"/>
        <w:spacing w:after="0" w:line="245" w:lineRule="auto"/>
        <w:tabs>
          <w:tab w:leader="none" w:pos="3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Consists of (i) the shares disclosed in footnote (2) above which are held of record by entities affiliated with Lightstone Ventures; (ii) 107,220 shares held of record by Mr. Lettmann and (iii) 25,675 shares issuable upon option exercise within 60 days of March 31, 2022, of which 22,341 are fully vested.</w:t>
      </w:r>
    </w:p>
    <w:p>
      <w:pPr>
        <w:spacing w:after="0" w:line="162" w:lineRule="exact"/>
        <w:rPr>
          <w:rFonts w:ascii="Arial" w:cs="Arial" w:eastAsia="Arial" w:hAnsi="Arial"/>
          <w:sz w:val="18"/>
          <w:szCs w:val="18"/>
          <w:color w:val="auto"/>
        </w:rPr>
      </w:pPr>
    </w:p>
    <w:p>
      <w:pPr>
        <w:ind w:left="372" w:right="360" w:hanging="372"/>
        <w:spacing w:after="0" w:line="271" w:lineRule="auto"/>
        <w:tabs>
          <w:tab w:leader="none" w:pos="3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Consists of (i) the shares disclosed in footnote (3) above that are held of record by VIVO IX LP and (ii) 25,675 shares issuable upon option exercise within 60 days of March 31, 2022, of which 22,341 are fully vested.</w:t>
      </w:r>
    </w:p>
    <w:p>
      <w:pPr>
        <w:spacing w:after="0" w:line="153" w:lineRule="exact"/>
        <w:rPr>
          <w:rFonts w:ascii="Arial" w:cs="Arial" w:eastAsia="Arial" w:hAnsi="Arial"/>
          <w:sz w:val="18"/>
          <w:szCs w:val="18"/>
          <w:color w:val="auto"/>
        </w:rPr>
      </w:pPr>
    </w:p>
    <w:p>
      <w:pPr>
        <w:ind w:left="372" w:right="220" w:hanging="372"/>
        <w:spacing w:after="0" w:line="256" w:lineRule="auto"/>
        <w:tabs>
          <w:tab w:leader="none" w:pos="3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Consists of (i) 19,406,829 shares beneficially owned by our current executive officers and directors and (ii) 1,729,908 shares issuable upon option exercise within 60 days of March 31, 2022, of which 1,123,983 are fully vested.</w:t>
      </w:r>
    </w:p>
    <w:p>
      <w:pPr>
        <w:spacing w:after="0" w:line="13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566" w:right="37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CERTAIN RELATIONSHIPS, RELATED PARTY AND OTHER TRANSACTIONS</w:t>
      </w:r>
    </w:p>
    <w:p>
      <w:pPr>
        <w:spacing w:after="0" w:line="2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following is a description of certain relationships and transactions since the beginning of our last fiscal year involving our directors, executive officers or beneficial holders of more than 5% of our capital stock. Compensation arrangements with our directors and officers are described in “Management—Director Compensation,” “Executive Compensation” and “Management.”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are party to an investors’ rights agreement, as amended, with certain holders of our capital stock, including venBio, Lightstone Ventures, Vivo Capital and Logos Capital. Under our investors’ rights agreement, certain holders of our capital stock have the right to demand that we file a registration statement or request that their shares of our capital stock be covered by a registration statement that we are otherwise filing.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venBio Consulting Agreement</w:t>
      </w:r>
    </w:p>
    <w:p>
      <w:pPr>
        <w:spacing w:after="0" w:line="11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January 2017, Dr. Jaume Pons, our Chief Executive Officer and the Chief Executive Officer of ALX Oncology Limited, entered into a consulting agreement with venBio, one of our stockholders and an affiliate of one of our directors, Dr. Corey Goodman, to provide assistance with deal generation, evaluate potential investments and serve on boards of venBio’s portfolio companies. In accordance with this agreement as compensation for services provided, venBio paid Dr. Pons approximately $ 125,000 per year in 2017, 2018, 2019, 2020 and 2021. The consulting agreement remains in effect until terminated by either party with or without prior notice.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Tallac Therapeutics Agreement</w:t>
      </w:r>
    </w:p>
    <w:p>
      <w:pPr>
        <w:spacing w:after="0" w:line="10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Dr. Pons served as the Chief Executive Officer of Tallac Therapeutics until April 2020, and Dr. Hong Wan, our former Chief Scientific Officer, currently serves as the Chief Executive Officer of Tallac Therapeutics. Dr. Pons also currently serves as a member of the board of directors of Tallac Therapeutics.</w:t>
      </w:r>
    </w:p>
    <w:p>
      <w:pPr>
        <w:spacing w:after="0" w:line="16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assigned to Tallac Therapeutics our lease with respect to our premises located at 866 Malcolm Road, Burlingame, California 94010, and received a sublease for such premises from Tallac Therapeutics.</w:t>
      </w:r>
    </w:p>
    <w:p>
      <w:pPr>
        <w:spacing w:after="0" w:line="139"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On March 4, 2021, we entered into a Collaboration Agreement with Tallac Therapeutics pursuant to which we expect to jointly develop, manufacture, and commercialize a novel class of cancer immunotherapeutics. The collaboration builds on our expertise in developing therapies that block the CD47 checkpoint pathway and expands our immuno-oncology pipeline. Together with Tallac Therapeutics, we will leverage our respective scientific and technical expertise to advance an anti-SIRPα antibody conjugated to a Toll-like receptor 9 agonist for targeted activation of both the innate and adaptive immune systems. We and Tallac Therapeutics will share equally in the cost and expenses of research and development and any profit or loss.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ScalmiBio, Inc.</w:t>
      </w:r>
    </w:p>
    <w:p>
      <w:pPr>
        <w:spacing w:after="0" w:line="104"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On October 4, 2021, we entered into a share purchase agreement by and among us, ScalmiBio, Inc. (ScalmiBio) and the stockholders of ScalmiBio. Under the terms of the share purchase agreement, we made an initial payment to the stockholders of ScalmiBio of approximately $4.5 million in cash, net of certain expenses and adjustments. We may make an additional payment of $2.0 million in cash at the one-year anniversary of the transaction, subject to certain conditions. In addition, we have agreed to pay certain milestones based on the clinical development of the acquired ScalmiBio technology, with a maximum amount of milestones payable equal to $35.0 million in the aggregate. We have also agreed to pay a low single digit royalty on net sales of any products developed from the ScalmiBio acquired technology for a defined term, and we may exercise a buy-out right of such royalty for a one-time payment on a product-by-product basis. We have the option to pay up to 50% of the milestones and 50%</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9" w:name="page60"/>
    <w:bookmarkEnd w:id="59"/>
    <w:p>
      <w:pPr>
        <w:jc w:val="both"/>
        <w:ind w:right="120"/>
        <w:spacing w:after="0" w:line="261" w:lineRule="auto"/>
        <w:rPr>
          <w:sz w:val="20"/>
          <w:szCs w:val="20"/>
          <w:color w:val="auto"/>
        </w:rPr>
      </w:pPr>
      <w:r>
        <w:rPr>
          <w:rFonts w:ascii="Arial" w:cs="Arial" w:eastAsia="Arial" w:hAnsi="Arial"/>
          <w:sz w:val="18"/>
          <w:szCs w:val="18"/>
          <w:color w:val="auto"/>
        </w:rPr>
        <w:t>of the buy-out right in shares of our common stock subject to certain limitations. Any shares, if issued, will be issued pursuant to exemptions from registration provided by Section 4(a)(2) of the Securities Act of 1933, as amended. The share purchase agreement contains customary terms and conditions, including holdback and indemnity provisions.</w:t>
      </w:r>
    </w:p>
    <w:p>
      <w:pPr>
        <w:spacing w:after="0" w:line="16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Dr. Jaume Pons, our Chief Executive Officer and director, was also a stockholder of ScalmiBio, Inc. and, prior to the acquisition, a director of ScalmiBio. Dr. Pons owned 31.7% of ScalmiBio and as a result will receive his proportional share of the consideration from us as described above. In addition, out of the closing proceeds, Dr. Pons received approximately $87,000 for the repayment of a note and accrued interest that Dr. Pons loaned to ScalmiBio. Given Dr. Pons’ interest in the ScalmiBio acquisition, the audit committee approved the acquisition of ScalmiBio under the related-party transaction policy. In addition, Dr. Pons recused himself and did not participate in the negotiation of the transaction or the subsequent approval by the board of directors of the ScalmiBio acquisition.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17"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Our amended and restated certificate of incorporation contains provisions limiting the liability of the members of our board of directors, and our Bylaws provide that we will indemnify each of our officers and the members of our board of directors to the fullest extent permitted under Delaware law. Our amended and restated certificate of incorporation and Bylaws also provide our board of directors with discretion to indemnify our employees and other agents when it determines to be appropriate. In addition, we have entered into an indemnification agreement with each of our executive officers and the members of our board of directors requiring us to indemnify them.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 Policy</w:t>
      </w:r>
    </w:p>
    <w:p>
      <w:pPr>
        <w:spacing w:after="0" w:line="1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audit committee has the primary responsibility for reviewing and approving or disapproving “related-party transactions,” which are transactions between us and related persons in which the aggregate amount involved exceeds or may be expected to exceed $120,000 and in which a related person has or will have a direct or indirect material interest. The charter of our audit committee provides that our audit committee shall review and approve in advance any related-party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adopted a formal written policy providing that we are not permitted to enter into any transaction that exceeds</w:t>
      </w:r>
    </w:p>
    <w:p>
      <w:pPr>
        <w:spacing w:after="0" w:line="1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$120,000 and in which any related person has a direct or indirect material interest without the consent of our audit committee.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0" w:name="page61"/>
    <w:bookmarkEnd w:id="60"/>
    <w:p>
      <w:pPr>
        <w:jc w:val="center"/>
        <w:ind w:right="40"/>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04" w:lineRule="exact"/>
        <w:rPr>
          <w:sz w:val="20"/>
          <w:szCs w:val="20"/>
          <w:color w:val="auto"/>
        </w:rPr>
      </w:pPr>
    </w:p>
    <w:p>
      <w:pPr>
        <w:ind w:right="60" w:firstLine="374"/>
        <w:spacing w:after="0" w:line="252" w:lineRule="auto"/>
        <w:rPr>
          <w:sz w:val="20"/>
          <w:szCs w:val="20"/>
          <w:color w:val="auto"/>
        </w:rPr>
      </w:pPr>
      <w:r>
        <w:rPr>
          <w:rFonts w:ascii="Arial" w:cs="Arial" w:eastAsia="Arial" w:hAnsi="Arial"/>
          <w:sz w:val="18"/>
          <w:szCs w:val="18"/>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 In April 2022, a Form 4 for was not timely filed on behalf of Dr. Canamasas and has since been filed.</w:t>
      </w:r>
    </w:p>
    <w:p>
      <w:pPr>
        <w:spacing w:after="0" w:line="170" w:lineRule="exact"/>
        <w:rPr>
          <w:sz w:val="20"/>
          <w:szCs w:val="20"/>
          <w:color w:val="auto"/>
        </w:rPr>
      </w:pPr>
    </w:p>
    <w:p>
      <w:pPr>
        <w:ind w:right="140" w:firstLine="374"/>
        <w:spacing w:after="0" w:line="252" w:lineRule="auto"/>
        <w:rPr>
          <w:sz w:val="20"/>
          <w:szCs w:val="20"/>
          <w:color w:val="auto"/>
        </w:rPr>
      </w:pPr>
      <w:r>
        <w:rPr>
          <w:rFonts w:ascii="Arial" w:cs="Arial" w:eastAsia="Arial" w:hAnsi="Arial"/>
          <w:sz w:val="18"/>
          <w:szCs w:val="18"/>
          <w:color w:val="auto"/>
        </w:rPr>
        <w:t>SEC regulations require us to identify in this proxy statement anyone who filed a required report late during the most recent fiscal year. Based solely on our review of forms we received, or written representations from reporting persons stating that they were not required to file these forms, we believe that during our fiscal year ended December 31, 2021, all executive officers, directors and greater than 10% stockholders complied with all applicable SEC filing requirements.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2021 Annual Report and SEC Filings</w:t>
      </w:r>
    </w:p>
    <w:p>
      <w:pPr>
        <w:spacing w:after="0" w:line="10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financial statements for our fiscal year ended December 31, 2021 are included in our Annual Report on Form 10-K filed with the SEC on February 28, 2022. This proxy statement and our Annual Report on Form 10-K are posted on our investor relations website at https://ir.alxoncology.com/ and are available from the SEC at its website at www.sec.gov. You may also obtain a copy of our Annual Report on Form 10-K without charge by sending a written request to ALX Oncology Holdings Inc., Attention: Investor Relations, 323 Allerton Avenue, South San Francisco, California 94080.</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at the Annual Meeting, the persons named on the enclosed proxy card will have discretion to vote the shares of common stock they represent in accordance with their own judgment on such matters.</w:t>
      </w:r>
    </w:p>
    <w:p>
      <w:pPr>
        <w:spacing w:after="0" w:line="182"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It is important that your shares of common stock be represented at the Annual Meeting, regardless of the number of shares that you hold. You are, therefore, urged to vote over the Internet or by telephone as instructed on the enclosed proxy card or execute and return, at your earliest convenience, the enclosed proxy card in the envelope that has also been provided.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April 22, 2022</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1082675</wp:posOffset>
            </wp:positionH>
            <wp:positionV relativeFrom="page">
              <wp:posOffset>243205</wp:posOffset>
            </wp:positionV>
            <wp:extent cx="5349240" cy="67208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720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72390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1082675</wp:posOffset>
            </wp:positionH>
            <wp:positionV relativeFrom="page">
              <wp:posOffset>243205</wp:posOffset>
            </wp:positionV>
            <wp:extent cx="5349240" cy="638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38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72390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3" w:name="page64"/>
    <w:bookmarkEnd w:id="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
      <w:numFmt w:val="bullet"/>
      <w:start w:val="1"/>
    </w:lvl>
    <w:lvl w:ilvl="1">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x"/>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lvl w:ilvl="1">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8"/>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
      <w:numFmt w:val="bullet"/>
      <w:start w:val="1"/>
    </w:lvl>
    <w:lvl w:ilvl="1">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lvl w:ilvl="1">
      <w:lvlJc w:val="left"/>
      <w:lvlText w:val="%2"/>
      <w:numFmt w:val="upperLetter"/>
      <w:start w:val="35"/>
    </w:lvl>
  </w:abstractNum>
  <w:abstractNum w:abstractNumId="47">
    <w:nsid w:val="684A481A"/>
    <w:multiLevelType w:val="hybridMultilevel"/>
    <w:lvl w:ilvl="0">
      <w:lvlJc w:val="left"/>
      <w:lvlText w:val="%1"/>
      <w:numFmt w:val="decimal"/>
      <w:start w:val="1"/>
    </w:lvl>
    <w:lvl w:ilvl="1">
      <w:lvlJc w:val="left"/>
      <w:lvlText w:val="%2."/>
      <w:numFmt w:val="upperLetter"/>
      <w:start w:val="1"/>
    </w:lvl>
  </w:abstractNum>
  <w:abstractNum w:abstractNumId="48">
    <w:nsid w:val="579478FE"/>
    <w:multiLevelType w:val="hybridMultilevel"/>
    <w:lvl w:ilvl="0">
      <w:lvlJc w:val="left"/>
      <w:lvlText w:val="(%1)"/>
      <w:numFmt w:val="decimal"/>
      <w:start w:val="3"/>
    </w:lvl>
    <w:lvl w:ilvl="1">
      <w:lvlJc w:val="left"/>
      <w:lvlText w:val="%2"/>
      <w:numFmt w:val="upperLetter"/>
      <w:start w:val="1"/>
    </w:lvl>
  </w:abstractNum>
  <w:abstractNum w:abstractNumId="49">
    <w:nsid w:val="749ABB43"/>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2022-04-22T07:30:19Z</dcterms:created>
  <dcterms:modified xsi:type="dcterms:W3CDTF">2022-04-22T07:30:19Z</dcterms:modified>
</cp:coreProperties>
</file>