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81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810385"/>
                    </a:xfrm>
                    <a:prstGeom prst="rect">
                      <a:avLst/>
                    </a:prstGeom>
                    <a:noFill/>
                  </pic:spPr>
                </pic:pic>
              </a:graphicData>
            </a:graphic>
          </wp:anchor>
        </w:drawing>
      </w:r>
    </w:p>
    <w:p>
      <w:pPr>
        <w:spacing w:after="0" w:line="103" w:lineRule="exact"/>
        <w:rPr>
          <w:sz w:val="24"/>
          <w:szCs w:val="24"/>
          <w:color w:val="auto"/>
        </w:rPr>
      </w:pPr>
    </w:p>
    <w:p>
      <w:pPr>
        <w:sectPr>
          <w:pgSz w:w="11900" w:h="16911"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Adelman Robert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1700 OWENS STREET</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SUITE 595</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28" w:lineRule="exact"/>
        <w:rPr>
          <w:sz w:val="24"/>
          <w:szCs w:val="24"/>
          <w:color w:val="auto"/>
        </w:rPr>
      </w:pPr>
    </w:p>
    <w:p>
      <w:pPr>
        <w:ind w:left="120" w:right="160"/>
        <w:spacing w:after="0"/>
        <w:rPr>
          <w:sz w:val="20"/>
          <w:szCs w:val="20"/>
          <w:color w:val="auto"/>
        </w:rPr>
      </w:pPr>
      <w:r>
        <w:rPr>
          <w:rFonts w:ascii="Arial" w:cs="Arial" w:eastAsia="Arial" w:hAnsi="Arial"/>
          <w:sz w:val="32"/>
          <w:szCs w:val="32"/>
          <w:color w:val="0000FF"/>
          <w:vertAlign w:val="superscript"/>
        </w:rPr>
        <w:t>SAN</w:t>
      </w:r>
      <w:r>
        <w:rPr>
          <w:rFonts w:ascii="Arial" w:cs="Arial" w:eastAsia="Arial" w:hAnsi="Arial"/>
          <w:sz w:val="16"/>
          <w:szCs w:val="16"/>
          <w:color w:val="0000FF"/>
        </w:rPr>
        <w:t xml:space="preserve"> CA 94158 FRANCISCO</w:t>
      </w:r>
    </w:p>
    <w:p>
      <w:pPr>
        <w:spacing w:after="0" w:line="33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tcPr>
          <w:p>
            <w:pPr>
              <w:ind w:left="60"/>
              <w:spacing w:after="0"/>
              <w:rPr>
                <w:sz w:val="20"/>
                <w:szCs w:val="20"/>
                <w:color w:val="auto"/>
              </w:rPr>
            </w:pPr>
            <w:r>
              <w:rPr>
                <w:rFonts w:ascii="Arial" w:cs="Arial" w:eastAsia="Arial" w:hAnsi="Arial"/>
                <w:sz w:val="12"/>
                <w:szCs w:val="12"/>
                <w:color w:val="auto"/>
              </w:rPr>
              <w:t>2.</w:t>
            </w:r>
          </w:p>
        </w:tc>
        <w:tc>
          <w:tcPr>
            <w:tcW w:w="3640" w:type="dxa"/>
            <w:vAlign w:val="bottom"/>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ALX ONCOLOGY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ALXO</w:t>
            </w:r>
          </w:p>
        </w:tc>
        <w:tc>
          <w:tcPr>
            <w:tcW w:w="16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0" w:type="dxa"/>
            <w:vAlign w:val="bottom"/>
            <w:vMerge w:val="restart"/>
          </w:tcPr>
          <w:p>
            <w:pPr>
              <w:ind w:left="60"/>
              <w:spacing w:after="0" w:line="199" w:lineRule="exact"/>
              <w:rPr>
                <w:sz w:val="20"/>
                <w:szCs w:val="20"/>
                <w:color w:val="auto"/>
              </w:rPr>
            </w:pPr>
            <w:r>
              <w:rPr>
                <w:rFonts w:ascii="Arial" w:cs="Arial" w:eastAsia="Arial" w:hAnsi="Arial"/>
                <w:sz w:val="20"/>
                <w:szCs w:val="20"/>
                <w:color w:val="auto"/>
              </w:rPr>
              <w:t>]</w:t>
            </w:r>
          </w:p>
        </w:tc>
        <w:tc>
          <w:tcPr>
            <w:tcW w:w="36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vMerge w:val="continue"/>
          </w:tcPr>
          <w:p>
            <w:pPr>
              <w:spacing w:after="0"/>
              <w:rPr>
                <w:sz w:val="14"/>
                <w:szCs w:val="14"/>
                <w:color w:val="auto"/>
              </w:rPr>
            </w:pPr>
          </w:p>
        </w:tc>
        <w:tc>
          <w:tcPr>
            <w:tcW w:w="3640" w:type="dxa"/>
            <w:vAlign w:val="bottom"/>
          </w:tcPr>
          <w:p>
            <w:pPr>
              <w:spacing w:after="0"/>
              <w:rPr>
                <w:sz w:val="14"/>
                <w:szCs w:val="14"/>
                <w:color w:val="auto"/>
              </w:rPr>
            </w:pPr>
          </w:p>
        </w:tc>
        <w:tc>
          <w:tcPr>
            <w:tcW w:w="16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460" w:type="dxa"/>
            <w:vAlign w:val="bottom"/>
            <w:vMerge w:val="continue"/>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36"/>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60" w:type="dxa"/>
            <w:vAlign w:val="bottom"/>
          </w:tcPr>
          <w:p>
            <w:pPr>
              <w:ind w:left="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6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460" w:type="dxa"/>
            <w:vAlign w:val="bottom"/>
            <w:vMerge w:val="continue"/>
          </w:tcPr>
          <w:p>
            <w:pPr>
              <w:spacing w:after="0"/>
              <w:rPr>
                <w:sz w:val="8"/>
                <w:szCs w:val="8"/>
                <w:color w:val="auto"/>
              </w:rPr>
            </w:pPr>
          </w:p>
        </w:tc>
        <w:tc>
          <w:tcPr>
            <w:tcW w:w="1160" w:type="dxa"/>
            <w:vAlign w:val="bottom"/>
            <w:vMerge w:val="restart"/>
          </w:tcPr>
          <w:p>
            <w:pPr>
              <w:ind w:left="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tcPr>
          <w:p>
            <w:pPr>
              <w:spacing w:after="0"/>
              <w:rPr>
                <w:sz w:val="7"/>
                <w:szCs w:val="7"/>
                <w:color w:val="auto"/>
              </w:rPr>
            </w:pPr>
          </w:p>
        </w:tc>
        <w:tc>
          <w:tcPr>
            <w:tcW w:w="2120" w:type="dxa"/>
            <w:vAlign w:val="bottom"/>
            <w:gridSpan w:val="2"/>
            <w:vMerge w:val="restart"/>
          </w:tcPr>
          <w:p>
            <w:pPr>
              <w:ind w:left="1220"/>
              <w:spacing w:after="0"/>
              <w:rPr>
                <w:sz w:val="20"/>
                <w:szCs w:val="20"/>
                <w:color w:val="auto"/>
              </w:rPr>
            </w:pPr>
            <w:r>
              <w:rPr>
                <w:rFonts w:ascii="Arial" w:cs="Arial" w:eastAsia="Arial" w:hAnsi="Arial"/>
                <w:sz w:val="16"/>
                <w:szCs w:val="16"/>
                <w:color w:val="0000FF"/>
                <w:w w:val="90"/>
              </w:rPr>
              <w:t>See Remarks</w:t>
            </w: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3.</w:t>
            </w:r>
          </w:p>
        </w:tc>
        <w:tc>
          <w:tcPr>
            <w:tcW w:w="3640" w:type="dxa"/>
            <w:vAlign w:val="bottom"/>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212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200" w:type="dxa"/>
            <w:vAlign w:val="bottom"/>
            <w:vMerge w:val="continue"/>
          </w:tcPr>
          <w:p>
            <w:pPr>
              <w:spacing w:after="0"/>
              <w:rPr>
                <w:sz w:val="3"/>
                <w:szCs w:val="3"/>
                <w:color w:val="auto"/>
              </w:rPr>
            </w:pPr>
          </w:p>
        </w:tc>
        <w:tc>
          <w:tcPr>
            <w:tcW w:w="364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07/21/2020</w:t>
            </w: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40" w:type="dxa"/>
            <w:vAlign w:val="bottom"/>
            <w:tcBorders>
              <w:bottom w:val="single" w:sz="8" w:color="2C2C2C"/>
            </w:tcBorders>
          </w:tcPr>
          <w:p>
            <w:pPr>
              <w:spacing w:after="0"/>
              <w:rPr>
                <w:sz w:val="23"/>
                <w:szCs w:val="23"/>
                <w:color w:val="auto"/>
              </w:rPr>
            </w:pPr>
          </w:p>
        </w:tc>
        <w:tc>
          <w:tcPr>
            <w:tcW w:w="3280" w:type="dxa"/>
            <w:vAlign w:val="bottom"/>
            <w:tcBorders>
              <w:bottom w:val="single" w:sz="8" w:color="2C2C2C"/>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0" w:type="dxa"/>
            <w:vAlign w:val="bottom"/>
          </w:tcPr>
          <w:p>
            <w:pPr>
              <w:ind w:left="60"/>
              <w:spacing w:after="0"/>
              <w:rPr>
                <w:sz w:val="20"/>
                <w:szCs w:val="20"/>
                <w:color w:val="auto"/>
              </w:rPr>
            </w:pPr>
            <w:r>
              <w:rPr>
                <w:rFonts w:ascii="Arial" w:cs="Arial" w:eastAsia="Arial" w:hAnsi="Arial"/>
                <w:sz w:val="12"/>
                <w:szCs w:val="12"/>
                <w:color w:val="auto"/>
              </w:rPr>
              <w:t>4.</w:t>
            </w:r>
          </w:p>
        </w:tc>
        <w:tc>
          <w:tcPr>
            <w:tcW w:w="3640" w:type="dxa"/>
            <w:vAlign w:val="bottom"/>
          </w:tcPr>
          <w:p>
            <w:pPr>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Line)</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One Reporting Person</w:t>
      </w:r>
    </w:p>
    <w:p>
      <w:pPr>
        <w:spacing w:after="0" w:line="5" w:lineRule="exact"/>
        <w:rPr>
          <w:sz w:val="24"/>
          <w:szCs w:val="24"/>
          <w:color w:val="auto"/>
        </w:rPr>
      </w:pPr>
    </w:p>
    <w:p>
      <w:pPr>
        <w:ind w:left="4100"/>
        <w:spacing w:after="0"/>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298450</wp:posOffset>
            </wp:positionV>
            <wp:extent cx="6972935" cy="258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2585085"/>
                    </a:xfrm>
                    <a:prstGeom prst="rect">
                      <a:avLst/>
                    </a:prstGeom>
                    <a:noFill/>
                  </pic:spPr>
                </pic:pic>
              </a:graphicData>
            </a:graphic>
          </wp:anchor>
        </w:drawing>
      </w:r>
    </w:p>
    <w:p>
      <w:pPr>
        <w:spacing w:after="0" w:line="527" w:lineRule="exact"/>
        <w:rPr>
          <w:sz w:val="24"/>
          <w:szCs w:val="24"/>
          <w:color w:val="auto"/>
        </w:rPr>
      </w:pPr>
    </w:p>
    <w:p>
      <w:pPr>
        <w:sectPr>
          <w:pgSz w:w="11900" w:h="16911" w:orient="portrait"/>
          <w:cols w:equalWidth="0" w:num="2">
            <w:col w:w="3120" w:space="72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6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3"/>
          </w:tcPr>
          <w:p>
            <w:pPr>
              <w:ind w:left="34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80"/>
              <w:spacing w:after="0" w:line="121"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4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3"/>
          </w:tcPr>
          <w:p>
            <w:pPr>
              <w:ind w:left="340"/>
              <w:spacing w:after="0" w:line="121"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240" w:type="dxa"/>
            <w:vAlign w:val="bottom"/>
            <w:gridSpan w:val="3"/>
          </w:tcPr>
          <w:p>
            <w:pPr>
              <w:ind w:left="340"/>
              <w:spacing w:after="0" w:line="125"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320" w:type="dxa"/>
            <w:vAlign w:val="bottom"/>
          </w:tcPr>
          <w:p>
            <w:pPr>
              <w:spacing w:after="0"/>
              <w:rPr>
                <w:sz w:val="10"/>
                <w:szCs w:val="10"/>
                <w:color w:val="auto"/>
              </w:rPr>
            </w:pPr>
          </w:p>
        </w:tc>
        <w:tc>
          <w:tcPr>
            <w:tcW w:w="104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gridSpan w:val="5"/>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80"/>
              <w:spacing w:after="0"/>
              <w:rPr>
                <w:sz w:val="20"/>
                <w:szCs w:val="20"/>
                <w:color w:val="auto"/>
              </w:rPr>
            </w:pPr>
            <w:r>
              <w:rPr>
                <w:rFonts w:ascii="Arial" w:cs="Arial" w:eastAsia="Arial" w:hAnsi="Arial"/>
                <w:sz w:val="16"/>
                <w:szCs w:val="16"/>
                <w:color w:val="0000FF"/>
              </w:rPr>
              <w:t>07/21/2020</w:t>
            </w: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w w:val="91"/>
              </w:rPr>
              <w:t>C</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78,175</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8000"/>
                <w:w w:val="97"/>
              </w:rPr>
              <w:t>(4)</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ind w:right="382"/>
              <w:spacing w:after="0"/>
              <w:rPr>
                <w:sz w:val="20"/>
                <w:szCs w:val="20"/>
                <w:color w:val="auto"/>
              </w:rPr>
            </w:pPr>
            <w:r>
              <w:rPr>
                <w:rFonts w:ascii="Arial" w:cs="Arial" w:eastAsia="Arial" w:hAnsi="Arial"/>
                <w:sz w:val="16"/>
                <w:szCs w:val="16"/>
                <w:color w:val="0000FF"/>
                <w:w w:val="85"/>
              </w:rPr>
              <w:t>96,406</w:t>
            </w:r>
            <w:r>
              <w:rPr>
                <w:rFonts w:ascii="Arial" w:cs="Arial" w:eastAsia="Arial" w:hAnsi="Arial"/>
                <w:sz w:val="20"/>
                <w:szCs w:val="20"/>
                <w:color w:val="008000"/>
                <w:w w:val="85"/>
                <w:vertAlign w:val="superscript"/>
              </w:rPr>
              <w:t>(10)</w:t>
            </w:r>
          </w:p>
        </w:tc>
        <w:tc>
          <w:tcPr>
            <w:tcW w:w="340" w:type="dxa"/>
            <w:vAlign w:val="bottom"/>
            <w:tcBorders>
              <w:bottom w:val="single" w:sz="8" w:color="2C2C2C"/>
            </w:tcBorders>
          </w:tcPr>
          <w:p>
            <w:pPr>
              <w:jc w:val="center"/>
              <w:spacing w:after="0" w:line="298" w:lineRule="exact"/>
              <w:rPr>
                <w:sz w:val="20"/>
                <w:szCs w:val="20"/>
                <w:color w:val="auto"/>
              </w:rPr>
            </w:pPr>
            <w:r>
              <w:rPr>
                <w:rFonts w:ascii="Arial" w:cs="Arial" w:eastAsia="Arial" w:hAnsi="Arial"/>
                <w:sz w:val="32"/>
                <w:szCs w:val="32"/>
                <w:color w:val="0000FF"/>
                <w:w w:val="86"/>
                <w:vertAlign w:val="subscript"/>
              </w:rPr>
              <w:t>D</w:t>
            </w:r>
            <w:r>
              <w:rPr>
                <w:rFonts w:ascii="Arial" w:cs="Arial" w:eastAsia="Arial" w:hAnsi="Arial"/>
                <w:sz w:val="10"/>
                <w:szCs w:val="10"/>
                <w:color w:val="008000"/>
                <w:w w:val="86"/>
              </w:rPr>
              <w:t>(7)</w:t>
            </w: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0"/>
                <w:szCs w:val="20"/>
                <w:color w:val="auto"/>
              </w:rPr>
            </w:pPr>
          </w:p>
        </w:tc>
        <w:tc>
          <w:tcPr>
            <w:tcW w:w="1660" w:type="dxa"/>
            <w:vAlign w:val="bottom"/>
            <w:gridSpan w:val="2"/>
            <w:vMerge w:val="restart"/>
          </w:tcPr>
          <w:p>
            <w:pPr>
              <w:ind w:left="780"/>
              <w:spacing w:after="0"/>
              <w:rPr>
                <w:sz w:val="20"/>
                <w:szCs w:val="20"/>
                <w:color w:val="auto"/>
              </w:rPr>
            </w:pPr>
            <w:r>
              <w:rPr>
                <w:rFonts w:ascii="Arial" w:cs="Arial" w:eastAsia="Arial" w:hAnsi="Arial"/>
                <w:sz w:val="16"/>
                <w:szCs w:val="16"/>
                <w:color w:val="0000FF"/>
              </w:rPr>
              <w:t>07/21/2020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12"/>
                <w:szCs w:val="12"/>
                <w:color w:val="0000FF"/>
                <w:w w:val="91"/>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2"/>
              </w:rPr>
              <w:t>3,100,020</w:t>
            </w:r>
          </w:p>
        </w:tc>
        <w:tc>
          <w:tcPr>
            <w:tcW w:w="54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vMerge w:val="restart"/>
          </w:tcPr>
          <w:p>
            <w:pPr>
              <w:jc w:val="center"/>
              <w:ind w:right="382"/>
              <w:spacing w:after="0"/>
              <w:rPr>
                <w:sz w:val="20"/>
                <w:szCs w:val="20"/>
                <w:color w:val="auto"/>
              </w:rPr>
            </w:pPr>
            <w:r>
              <w:rPr>
                <w:rFonts w:ascii="Arial" w:cs="Arial" w:eastAsia="Arial" w:hAnsi="Arial"/>
                <w:sz w:val="16"/>
                <w:szCs w:val="16"/>
                <w:color w:val="0000FF"/>
                <w:w w:val="89"/>
              </w:rPr>
              <w:t>3,969,789</w:t>
            </w:r>
            <w:r>
              <w:rPr>
                <w:rFonts w:ascii="Arial" w:cs="Arial" w:eastAsia="Arial" w:hAnsi="Arial"/>
                <w:sz w:val="20"/>
                <w:szCs w:val="20"/>
                <w:color w:val="008000"/>
                <w:w w:val="89"/>
                <w:vertAlign w:val="superscript"/>
              </w:rPr>
              <w:t>(3)</w:t>
            </w:r>
          </w:p>
        </w:tc>
        <w:tc>
          <w:tcPr>
            <w:tcW w:w="34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3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0000FF"/>
                <w:w w:val="98"/>
              </w:rPr>
              <w:t>See</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ind w:left="780"/>
              <w:spacing w:after="0"/>
              <w:rPr>
                <w:sz w:val="20"/>
                <w:szCs w:val="20"/>
                <w:color w:val="auto"/>
              </w:rPr>
            </w:pPr>
            <w:r>
              <w:rPr>
                <w:rFonts w:ascii="Arial" w:cs="Arial" w:eastAsia="Arial" w:hAnsi="Arial"/>
                <w:sz w:val="16"/>
                <w:szCs w:val="16"/>
                <w:color w:val="0000FF"/>
              </w:rPr>
              <w:t>07/21/2020</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vMerge w:val="restart"/>
          </w:tcPr>
          <w:p>
            <w:pPr>
              <w:jc w:val="center"/>
              <w:ind w:right="283"/>
              <w:spacing w:after="0"/>
              <w:rPr>
                <w:sz w:val="20"/>
                <w:szCs w:val="20"/>
                <w:color w:val="auto"/>
              </w:rPr>
            </w:pPr>
            <w:r>
              <w:rPr>
                <w:rFonts w:ascii="Arial" w:cs="Arial" w:eastAsia="Arial" w:hAnsi="Arial"/>
                <w:sz w:val="12"/>
                <w:szCs w:val="12"/>
                <w:color w:val="0000FF"/>
                <w:w w:val="91"/>
              </w:rPr>
              <w:t>C</w:t>
            </w: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w w:val="92"/>
              </w:rPr>
              <w:t>3,941,949</w:t>
            </w:r>
          </w:p>
        </w:tc>
        <w:tc>
          <w:tcPr>
            <w:tcW w:w="54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0"/>
                <w:szCs w:val="10"/>
                <w:color w:val="008000"/>
                <w:w w:val="98"/>
              </w:rPr>
              <w:t>(4)(8)(9)</w:t>
            </w: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300" w:type="dxa"/>
            <w:vAlign w:val="bottom"/>
            <w:tcBorders>
              <w:top w:val="single" w:sz="8" w:color="2C2C2C"/>
            </w:tcBorders>
            <w:gridSpan w:val="2"/>
            <w:vMerge w:val="restart"/>
          </w:tcPr>
          <w:p>
            <w:pPr>
              <w:jc w:val="center"/>
              <w:ind w:right="382"/>
              <w:spacing w:after="0"/>
              <w:rPr>
                <w:sz w:val="20"/>
                <w:szCs w:val="20"/>
                <w:color w:val="auto"/>
              </w:rPr>
            </w:pPr>
            <w:r>
              <w:rPr>
                <w:rFonts w:ascii="Arial" w:cs="Arial" w:eastAsia="Arial" w:hAnsi="Arial"/>
                <w:sz w:val="16"/>
                <w:szCs w:val="16"/>
                <w:color w:val="0000FF"/>
                <w:w w:val="89"/>
              </w:rPr>
              <w:t>4,418,325</w:t>
            </w:r>
            <w:r>
              <w:rPr>
                <w:rFonts w:ascii="Arial" w:cs="Arial" w:eastAsia="Arial" w:hAnsi="Arial"/>
                <w:sz w:val="20"/>
                <w:szCs w:val="20"/>
                <w:color w:val="008000"/>
                <w:w w:val="89"/>
                <w:vertAlign w:val="superscript"/>
              </w:rPr>
              <w:t>(5)</w:t>
            </w:r>
          </w:p>
        </w:tc>
        <w:tc>
          <w:tcPr>
            <w:tcW w:w="3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6"/>
                <w:szCs w:val="16"/>
                <w:color w:val="0000FF"/>
                <w:w w:val="98"/>
              </w:rPr>
              <w:t>See</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ind w:left="780"/>
              <w:spacing w:after="0"/>
              <w:rPr>
                <w:sz w:val="20"/>
                <w:szCs w:val="20"/>
                <w:color w:val="auto"/>
              </w:rPr>
            </w:pPr>
            <w:r>
              <w:rPr>
                <w:rFonts w:ascii="Arial" w:cs="Arial" w:eastAsia="Arial" w:hAnsi="Arial"/>
                <w:sz w:val="16"/>
                <w:szCs w:val="16"/>
                <w:color w:val="0000FF"/>
              </w:rPr>
              <w:t>07/21/2020</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vMerge w:val="restart"/>
          </w:tcPr>
          <w:p>
            <w:pPr>
              <w:jc w:val="center"/>
              <w:ind w:right="263"/>
              <w:spacing w:after="0"/>
              <w:rPr>
                <w:sz w:val="20"/>
                <w:szCs w:val="20"/>
                <w:color w:val="auto"/>
              </w:rPr>
            </w:pPr>
            <w:r>
              <w:rPr>
                <w:rFonts w:ascii="Arial" w:cs="Arial" w:eastAsia="Arial" w:hAnsi="Arial"/>
                <w:sz w:val="12"/>
                <w:szCs w:val="12"/>
                <w:color w:val="0000FF"/>
                <w:w w:val="74"/>
              </w:rPr>
              <w:t>P</w:t>
            </w: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w w:val="93"/>
              </w:rPr>
              <w:t>850,000</w:t>
            </w:r>
          </w:p>
        </w:tc>
        <w:tc>
          <w:tcPr>
            <w:tcW w:w="54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19</w:t>
            </w: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300" w:type="dxa"/>
            <w:vAlign w:val="bottom"/>
            <w:tcBorders>
              <w:top w:val="single" w:sz="8" w:color="2C2C2C"/>
            </w:tcBorders>
            <w:gridSpan w:val="2"/>
            <w:vMerge w:val="restart"/>
          </w:tcPr>
          <w:p>
            <w:pPr>
              <w:jc w:val="center"/>
              <w:ind w:right="382"/>
              <w:spacing w:after="0"/>
              <w:rPr>
                <w:sz w:val="20"/>
                <w:szCs w:val="20"/>
                <w:color w:val="auto"/>
              </w:rPr>
            </w:pPr>
            <w:r>
              <w:rPr>
                <w:rFonts w:ascii="Arial" w:cs="Arial" w:eastAsia="Arial" w:hAnsi="Arial"/>
                <w:sz w:val="16"/>
                <w:szCs w:val="16"/>
                <w:color w:val="0000FF"/>
                <w:w w:val="92"/>
              </w:rPr>
              <w:t>5,268,325</w:t>
            </w:r>
          </w:p>
        </w:tc>
        <w:tc>
          <w:tcPr>
            <w:tcW w:w="3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6"/>
                <w:szCs w:val="16"/>
                <w:color w:val="0000FF"/>
                <w:w w:val="98"/>
              </w:rPr>
              <w:t>See</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top w:val="single" w:sz="8" w:color="2C2C2C"/>
              <w:bottom w:val="single" w:sz="8" w:color="2C2C2C"/>
            </w:tcBorders>
          </w:tcPr>
          <w:p>
            <w:pPr>
              <w:spacing w:after="0"/>
              <w:rPr>
                <w:sz w:val="24"/>
                <w:szCs w:val="24"/>
                <w:color w:val="auto"/>
              </w:rPr>
            </w:pPr>
          </w:p>
        </w:tc>
        <w:tc>
          <w:tcPr>
            <w:tcW w:w="1660" w:type="dxa"/>
            <w:vAlign w:val="bottom"/>
            <w:tcBorders>
              <w:top w:val="single" w:sz="8" w:color="2C2C2C"/>
              <w:bottom w:val="single" w:sz="8" w:color="2C2C2C"/>
            </w:tcBorders>
            <w:gridSpan w:val="2"/>
          </w:tcPr>
          <w:p>
            <w:pPr>
              <w:ind w:left="780"/>
              <w:spacing w:after="0"/>
              <w:rPr>
                <w:sz w:val="20"/>
                <w:szCs w:val="20"/>
                <w:color w:val="auto"/>
              </w:rPr>
            </w:pPr>
            <w:r>
              <w:rPr>
                <w:rFonts w:ascii="Arial" w:cs="Arial" w:eastAsia="Arial" w:hAnsi="Arial"/>
                <w:sz w:val="16"/>
                <w:szCs w:val="16"/>
                <w:color w:val="0000FF"/>
              </w:rPr>
              <w:t>07/21/2020</w:t>
            </w:r>
          </w:p>
        </w:tc>
        <w:tc>
          <w:tcPr>
            <w:tcW w:w="1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jc w:val="center"/>
              <w:ind w:right="263"/>
              <w:spacing w:after="0"/>
              <w:rPr>
                <w:sz w:val="20"/>
                <w:szCs w:val="20"/>
                <w:color w:val="auto"/>
              </w:rPr>
            </w:pPr>
            <w:r>
              <w:rPr>
                <w:rFonts w:ascii="Arial" w:cs="Arial" w:eastAsia="Arial" w:hAnsi="Arial"/>
                <w:sz w:val="12"/>
                <w:szCs w:val="12"/>
                <w:color w:val="0000FF"/>
                <w:w w:val="74"/>
              </w:rPr>
              <w:t>P</w:t>
            </w:r>
          </w:p>
        </w:tc>
        <w:tc>
          <w:tcPr>
            <w:tcW w:w="7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0000FF"/>
                <w:w w:val="94"/>
              </w:rPr>
              <w:t>3,000</w:t>
            </w:r>
          </w:p>
        </w:tc>
        <w:tc>
          <w:tcPr>
            <w:tcW w:w="540" w:type="dxa"/>
            <w:vAlign w:val="bottom"/>
            <w:tcBorders>
              <w:top w:val="single" w:sz="8" w:color="2C2C2C"/>
              <w:bottom w:val="single" w:sz="8" w:color="2C2C2C"/>
            </w:tcBorders>
          </w:tcPr>
          <w:p>
            <w:pPr>
              <w:ind w:left="260"/>
              <w:spacing w:after="0"/>
              <w:rPr>
                <w:sz w:val="20"/>
                <w:szCs w:val="20"/>
                <w:color w:val="auto"/>
              </w:rPr>
            </w:pPr>
            <w:r>
              <w:rPr>
                <w:rFonts w:ascii="Arial" w:cs="Arial" w:eastAsia="Arial" w:hAnsi="Arial"/>
                <w:sz w:val="16"/>
                <w:szCs w:val="16"/>
                <w:color w:val="0000FF"/>
              </w:rPr>
              <w:t>A</w:t>
            </w:r>
          </w:p>
        </w:tc>
        <w:tc>
          <w:tcPr>
            <w:tcW w:w="6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19</w:t>
            </w:r>
          </w:p>
        </w:tc>
        <w:tc>
          <w:tcPr>
            <w:tcW w:w="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jc w:val="center"/>
              <w:ind w:left="75"/>
              <w:spacing w:after="0"/>
              <w:rPr>
                <w:sz w:val="20"/>
                <w:szCs w:val="20"/>
                <w:color w:val="auto"/>
              </w:rPr>
            </w:pPr>
            <w:r>
              <w:rPr>
                <w:rFonts w:ascii="Arial" w:cs="Arial" w:eastAsia="Arial" w:hAnsi="Arial"/>
                <w:sz w:val="16"/>
                <w:szCs w:val="16"/>
                <w:color w:val="0000FF"/>
                <w:w w:val="93"/>
              </w:rPr>
              <w:t>99,406</w:t>
            </w:r>
          </w:p>
        </w:tc>
        <w:tc>
          <w:tcPr>
            <w:tcW w:w="5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jc w:val="center"/>
              <w:spacing w:after="0" w:line="298" w:lineRule="exact"/>
              <w:rPr>
                <w:sz w:val="20"/>
                <w:szCs w:val="20"/>
                <w:color w:val="auto"/>
              </w:rPr>
            </w:pPr>
            <w:r>
              <w:rPr>
                <w:rFonts w:ascii="Arial" w:cs="Arial" w:eastAsia="Arial" w:hAnsi="Arial"/>
                <w:sz w:val="32"/>
                <w:szCs w:val="32"/>
                <w:color w:val="0000FF"/>
                <w:w w:val="86"/>
                <w:vertAlign w:val="subscript"/>
              </w:rPr>
              <w:t>D</w:t>
            </w:r>
            <w:r>
              <w:rPr>
                <w:rFonts w:ascii="Arial" w:cs="Arial" w:eastAsia="Arial" w:hAnsi="Arial"/>
                <w:sz w:val="10"/>
                <w:szCs w:val="10"/>
                <w:color w:val="008000"/>
                <w:w w:val="86"/>
              </w:rPr>
              <w:t>(7)</w:t>
            </w:r>
          </w:p>
        </w:tc>
        <w:tc>
          <w:tcPr>
            <w:tcW w:w="32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restart"/>
          </w:tcPr>
          <w:p>
            <w:pPr>
              <w:jc w:val="center"/>
              <w:ind w:left="55"/>
              <w:spacing w:after="0"/>
              <w:rPr>
                <w:sz w:val="20"/>
                <w:szCs w:val="20"/>
                <w:color w:val="auto"/>
              </w:rPr>
            </w:pPr>
            <w:r>
              <w:rPr>
                <w:rFonts w:ascii="Arial" w:cs="Arial" w:eastAsia="Arial" w:hAnsi="Arial"/>
                <w:sz w:val="16"/>
                <w:szCs w:val="16"/>
                <w:color w:val="0000FF"/>
                <w:w w:val="89"/>
              </w:rPr>
              <w:t>461,811</w:t>
            </w:r>
          </w:p>
        </w:tc>
        <w:tc>
          <w:tcPr>
            <w:tcW w:w="580" w:type="dxa"/>
            <w:vAlign w:val="bottom"/>
          </w:tcPr>
          <w:p>
            <w:pPr>
              <w:spacing w:after="0"/>
              <w:rPr>
                <w:sz w:val="20"/>
                <w:szCs w:val="20"/>
                <w:color w:val="auto"/>
              </w:rPr>
            </w:pPr>
          </w:p>
        </w:tc>
        <w:tc>
          <w:tcPr>
            <w:tcW w:w="34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3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0000FF"/>
                <w:w w:val="98"/>
              </w:rPr>
              <w:t>See</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6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3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0"/>
                <w:szCs w:val="10"/>
                <w:color w:val="auto"/>
              </w:rPr>
            </w:pPr>
          </w:p>
        </w:tc>
        <w:tc>
          <w:tcPr>
            <w:tcW w:w="320" w:type="dxa"/>
            <w:vAlign w:val="bottom"/>
          </w:tcPr>
          <w:p>
            <w:pPr>
              <w:spacing w:after="0" w:line="125" w:lineRule="exact"/>
              <w:rPr>
                <w:sz w:val="20"/>
                <w:szCs w:val="20"/>
                <w:color w:val="auto"/>
              </w:rPr>
            </w:pPr>
            <w:r>
              <w:rPr>
                <w:rFonts w:ascii="Arial" w:cs="Arial" w:eastAsia="Arial" w:hAnsi="Arial"/>
                <w:sz w:val="11"/>
                <w:szCs w:val="11"/>
                <w:b w:val="1"/>
                <w:bCs w:val="1"/>
                <w:color w:val="auto"/>
                <w:w w:val="96"/>
              </w:rPr>
              <w:t>Form:</w:t>
            </w:r>
          </w:p>
        </w:tc>
        <w:tc>
          <w:tcPr>
            <w:tcW w:w="32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34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jc w:val="center"/>
              <w:ind w:right="263"/>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1"/>
                <w:szCs w:val="11"/>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tcPr>
          <w:p>
            <w:pPr>
              <w:jc w:val="center"/>
              <w:ind w:left="242"/>
              <w:spacing w:after="0"/>
              <w:rPr>
                <w:sz w:val="20"/>
                <w:szCs w:val="20"/>
                <w:color w:val="auto"/>
              </w:rPr>
            </w:pPr>
            <w:r>
              <w:rPr>
                <w:rFonts w:ascii="Arial" w:cs="Arial" w:eastAsia="Arial" w:hAnsi="Arial"/>
                <w:sz w:val="12"/>
                <w:szCs w:val="12"/>
                <w:color w:val="0000FF"/>
                <w:w w:val="92"/>
              </w:rPr>
              <w:t>78,175</w:t>
            </w:r>
          </w:p>
        </w:tc>
        <w:tc>
          <w:tcPr>
            <w:tcW w:w="780" w:type="dxa"/>
            <w:vAlign w:val="bottom"/>
            <w:vMerge w:val="restart"/>
          </w:tcPr>
          <w:p>
            <w:pPr>
              <w:jc w:val="right"/>
              <w:ind w:right="243"/>
              <w:spacing w:after="0"/>
              <w:rPr>
                <w:sz w:val="20"/>
                <w:szCs w:val="20"/>
                <w:color w:val="auto"/>
              </w:rPr>
            </w:pPr>
            <w:r>
              <w:rPr>
                <w:rFonts w:ascii="Arial" w:cs="Arial" w:eastAsia="Arial" w:hAnsi="Arial"/>
                <w:sz w:val="10"/>
                <w:szCs w:val="10"/>
                <w:color w:val="008000"/>
              </w:rPr>
              <w:t>(4)</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540" w:type="dxa"/>
            <w:vAlign w:val="bottom"/>
          </w:tcPr>
          <w:p>
            <w:pPr>
              <w:ind w:left="20"/>
              <w:spacing w:after="0" w:line="137" w:lineRule="exact"/>
              <w:rPr>
                <w:sz w:val="20"/>
                <w:szCs w:val="20"/>
                <w:color w:val="auto"/>
              </w:rPr>
            </w:pPr>
            <w:r>
              <w:rPr>
                <w:rFonts w:ascii="Arial" w:cs="Arial" w:eastAsia="Arial" w:hAnsi="Arial"/>
                <w:sz w:val="12"/>
                <w:szCs w:val="12"/>
                <w:color w:val="0000FF"/>
              </w:rPr>
              <w:t>Common</w:t>
            </w:r>
          </w:p>
        </w:tc>
        <w:tc>
          <w:tcPr>
            <w:tcW w:w="640" w:type="dxa"/>
            <w:vAlign w:val="bottom"/>
            <w:vMerge w:val="restart"/>
          </w:tcPr>
          <w:p>
            <w:pPr>
              <w:jc w:val="center"/>
              <w:ind w:left="92"/>
              <w:spacing w:after="0"/>
              <w:rPr>
                <w:sz w:val="20"/>
                <w:szCs w:val="20"/>
                <w:color w:val="auto"/>
              </w:rPr>
            </w:pPr>
            <w:r>
              <w:rPr>
                <w:rFonts w:ascii="Arial" w:cs="Arial" w:eastAsia="Arial" w:hAnsi="Arial"/>
                <w:sz w:val="16"/>
                <w:szCs w:val="16"/>
                <w:color w:val="0000FF"/>
                <w:w w:val="89"/>
              </w:rPr>
              <w:t>78,175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5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11"/>
                <w:szCs w:val="11"/>
                <w:color w:val="auto"/>
              </w:rPr>
            </w:pPr>
          </w:p>
        </w:tc>
        <w:tc>
          <w:tcPr>
            <w:tcW w:w="640" w:type="dxa"/>
            <w:vAlign w:val="bottom"/>
            <w:gridSpan w:val="2"/>
            <w:vMerge w:val="restart"/>
          </w:tcPr>
          <w:p>
            <w:pPr>
              <w:ind w:left="180"/>
              <w:spacing w:after="0" w:line="258"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(7)</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100"/>
              <w:spacing w:after="0" w:line="137" w:lineRule="exact"/>
              <w:rPr>
                <w:sz w:val="20"/>
                <w:szCs w:val="20"/>
                <w:color w:val="auto"/>
              </w:rPr>
            </w:pPr>
            <w:r>
              <w:rPr>
                <w:rFonts w:ascii="Arial" w:cs="Arial" w:eastAsia="Arial" w:hAnsi="Arial"/>
                <w:sz w:val="12"/>
                <w:szCs w:val="12"/>
                <w:color w:val="0000FF"/>
              </w:rPr>
              <w:t>Stock</w:t>
            </w: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(4)</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tcPr>
          <w:p>
            <w:pPr>
              <w:jc w:val="center"/>
              <w:ind w:left="242"/>
              <w:spacing w:after="0"/>
              <w:rPr>
                <w:sz w:val="20"/>
                <w:szCs w:val="20"/>
                <w:color w:val="auto"/>
              </w:rPr>
            </w:pPr>
            <w:r>
              <w:rPr>
                <w:rFonts w:ascii="Arial" w:cs="Arial" w:eastAsia="Arial" w:hAnsi="Arial"/>
                <w:sz w:val="12"/>
                <w:szCs w:val="12"/>
                <w:color w:val="0000FF"/>
                <w:w w:val="93"/>
              </w:rPr>
              <w:t>3,100,020</w:t>
            </w:r>
          </w:p>
        </w:tc>
        <w:tc>
          <w:tcPr>
            <w:tcW w:w="780" w:type="dxa"/>
            <w:vAlign w:val="bottom"/>
          </w:tcPr>
          <w:p>
            <w:pPr>
              <w:jc w:val="right"/>
              <w:ind w:right="243"/>
              <w:spacing w:after="0"/>
              <w:rPr>
                <w:sz w:val="20"/>
                <w:szCs w:val="20"/>
                <w:color w:val="auto"/>
              </w:rPr>
            </w:pPr>
            <w:r>
              <w:rPr>
                <w:rFonts w:ascii="Arial" w:cs="Arial" w:eastAsia="Arial" w:hAnsi="Arial"/>
                <w:sz w:val="10"/>
                <w:szCs w:val="10"/>
                <w:color w:val="008000"/>
              </w:rPr>
              <w:t>(4)</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(4)</w:t>
            </w:r>
          </w:p>
        </w:tc>
        <w:tc>
          <w:tcPr>
            <w:tcW w:w="540" w:type="dxa"/>
            <w:vAlign w:val="bottom"/>
          </w:tcPr>
          <w:p>
            <w:pPr>
              <w:ind w:left="2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3,100,020</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(4)</w:t>
            </w:r>
          </w:p>
        </w:tc>
        <w:tc>
          <w:tcPr>
            <w:tcW w:w="5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10"/>
                <w:szCs w:val="10"/>
                <w:color w:val="auto"/>
              </w:rPr>
            </w:pPr>
          </w:p>
        </w:tc>
        <w:tc>
          <w:tcPr>
            <w:tcW w:w="320" w:type="dxa"/>
            <w:vAlign w:val="bottom"/>
            <w:vMerge w:val="restart"/>
          </w:tcPr>
          <w:p>
            <w:pPr>
              <w:ind w:left="26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0000FF"/>
              </w:rPr>
              <w:t>Stock</w:t>
            </w:r>
          </w:p>
        </w:tc>
        <w:tc>
          <w:tcPr>
            <w:tcW w:w="78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(4)</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tcPr>
          <w:p>
            <w:pPr>
              <w:jc w:val="center"/>
              <w:ind w:left="242"/>
              <w:spacing w:after="0"/>
              <w:rPr>
                <w:sz w:val="20"/>
                <w:szCs w:val="20"/>
                <w:color w:val="auto"/>
              </w:rPr>
            </w:pPr>
            <w:r>
              <w:rPr>
                <w:rFonts w:ascii="Arial" w:cs="Arial" w:eastAsia="Arial" w:hAnsi="Arial"/>
                <w:sz w:val="12"/>
                <w:szCs w:val="12"/>
                <w:color w:val="0000FF"/>
                <w:w w:val="93"/>
              </w:rPr>
              <w:t>2,398,588</w:t>
            </w:r>
          </w:p>
        </w:tc>
        <w:tc>
          <w:tcPr>
            <w:tcW w:w="780" w:type="dxa"/>
            <w:vAlign w:val="bottom"/>
          </w:tcPr>
          <w:p>
            <w:pPr>
              <w:jc w:val="right"/>
              <w:ind w:right="243"/>
              <w:spacing w:after="0"/>
              <w:rPr>
                <w:sz w:val="20"/>
                <w:szCs w:val="20"/>
                <w:color w:val="auto"/>
              </w:rPr>
            </w:pPr>
            <w:r>
              <w:rPr>
                <w:rFonts w:ascii="Arial" w:cs="Arial" w:eastAsia="Arial" w:hAnsi="Arial"/>
                <w:sz w:val="10"/>
                <w:szCs w:val="10"/>
                <w:color w:val="008000"/>
              </w:rPr>
              <w:t>(4)</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(4)</w:t>
            </w:r>
          </w:p>
        </w:tc>
        <w:tc>
          <w:tcPr>
            <w:tcW w:w="540" w:type="dxa"/>
            <w:vAlign w:val="bottom"/>
          </w:tcPr>
          <w:p>
            <w:pPr>
              <w:ind w:left="2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2,398,588</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(4)</w:t>
            </w:r>
          </w:p>
        </w:tc>
        <w:tc>
          <w:tcPr>
            <w:tcW w:w="5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10"/>
                <w:szCs w:val="10"/>
                <w:color w:val="auto"/>
              </w:rPr>
            </w:pPr>
          </w:p>
        </w:tc>
        <w:tc>
          <w:tcPr>
            <w:tcW w:w="320" w:type="dxa"/>
            <w:vAlign w:val="bottom"/>
            <w:vMerge w:val="restart"/>
          </w:tcPr>
          <w:p>
            <w:pPr>
              <w:ind w:left="26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0000FF"/>
              </w:rPr>
              <w:t>Stock</w:t>
            </w:r>
          </w:p>
        </w:tc>
        <w:tc>
          <w:tcPr>
            <w:tcW w:w="78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(8)</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tcPr>
          <w:p>
            <w:pPr>
              <w:jc w:val="center"/>
              <w:ind w:left="262"/>
              <w:spacing w:after="0"/>
              <w:rPr>
                <w:sz w:val="20"/>
                <w:szCs w:val="20"/>
                <w:color w:val="auto"/>
              </w:rPr>
            </w:pPr>
            <w:r>
              <w:rPr>
                <w:rFonts w:ascii="Arial" w:cs="Arial" w:eastAsia="Arial" w:hAnsi="Arial"/>
                <w:sz w:val="12"/>
                <w:szCs w:val="12"/>
                <w:color w:val="0000FF"/>
                <w:w w:val="92"/>
              </w:rPr>
              <w:t>490,411</w:t>
            </w:r>
          </w:p>
        </w:tc>
        <w:tc>
          <w:tcPr>
            <w:tcW w:w="780" w:type="dxa"/>
            <w:vAlign w:val="bottom"/>
          </w:tcPr>
          <w:p>
            <w:pPr>
              <w:jc w:val="right"/>
              <w:ind w:right="243"/>
              <w:spacing w:after="0"/>
              <w:rPr>
                <w:sz w:val="20"/>
                <w:szCs w:val="20"/>
                <w:color w:val="auto"/>
              </w:rPr>
            </w:pPr>
            <w:r>
              <w:rPr>
                <w:rFonts w:ascii="Arial" w:cs="Arial" w:eastAsia="Arial" w:hAnsi="Arial"/>
                <w:sz w:val="10"/>
                <w:szCs w:val="10"/>
                <w:color w:val="008000"/>
              </w:rPr>
              <w:t>(8)</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(8)</w:t>
            </w:r>
          </w:p>
        </w:tc>
        <w:tc>
          <w:tcPr>
            <w:tcW w:w="540" w:type="dxa"/>
            <w:vAlign w:val="bottom"/>
          </w:tcPr>
          <w:p>
            <w:pPr>
              <w:ind w:left="20"/>
              <w:spacing w:after="0" w:line="121" w:lineRule="exact"/>
              <w:rPr>
                <w:sz w:val="20"/>
                <w:szCs w:val="20"/>
                <w:color w:val="auto"/>
              </w:rPr>
            </w:pPr>
            <w:r>
              <w:rPr>
                <w:rFonts w:ascii="Arial" w:cs="Arial" w:eastAsia="Arial" w:hAnsi="Arial"/>
                <w:sz w:val="12"/>
                <w:szCs w:val="12"/>
                <w:color w:val="0000FF"/>
              </w:rPr>
              <w:t>Common</w:t>
            </w:r>
          </w:p>
        </w:tc>
        <w:tc>
          <w:tcPr>
            <w:tcW w:w="680" w:type="dxa"/>
            <w:vAlign w:val="bottom"/>
            <w:gridSpan w:val="2"/>
            <w:vMerge w:val="restart"/>
          </w:tcPr>
          <w:p>
            <w:pPr>
              <w:jc w:val="center"/>
              <w:ind w:left="52"/>
              <w:spacing w:after="0"/>
              <w:rPr>
                <w:sz w:val="20"/>
                <w:szCs w:val="20"/>
                <w:color w:val="auto"/>
              </w:rPr>
            </w:pPr>
            <w:r>
              <w:rPr>
                <w:rFonts w:ascii="Arial" w:cs="Arial" w:eastAsia="Arial" w:hAnsi="Arial"/>
                <w:sz w:val="16"/>
                <w:szCs w:val="16"/>
                <w:color w:val="0000FF"/>
                <w:w w:val="89"/>
              </w:rPr>
              <w:t>490,411</w:t>
            </w:r>
          </w:p>
        </w:tc>
        <w:tc>
          <w:tcPr>
            <w:tcW w:w="10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10"/>
                <w:szCs w:val="10"/>
                <w:color w:val="auto"/>
              </w:rPr>
            </w:pPr>
          </w:p>
        </w:tc>
        <w:tc>
          <w:tcPr>
            <w:tcW w:w="320" w:type="dxa"/>
            <w:vAlign w:val="bottom"/>
            <w:vMerge w:val="restart"/>
          </w:tcPr>
          <w:p>
            <w:pPr>
              <w:ind w:left="26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0000FF"/>
              </w:rPr>
              <w:t>Stock</w:t>
            </w: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(9)</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07/16/2020</w:t>
            </w:r>
          </w:p>
        </w:tc>
        <w:tc>
          <w:tcPr>
            <w:tcW w:w="1060" w:type="dxa"/>
            <w:vAlign w:val="bottom"/>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tcPr>
          <w:p>
            <w:pPr>
              <w:jc w:val="center"/>
              <w:ind w:left="242"/>
              <w:spacing w:after="0"/>
              <w:rPr>
                <w:sz w:val="20"/>
                <w:szCs w:val="20"/>
                <w:color w:val="auto"/>
              </w:rPr>
            </w:pPr>
            <w:r>
              <w:rPr>
                <w:rFonts w:ascii="Arial" w:cs="Arial" w:eastAsia="Arial" w:hAnsi="Arial"/>
                <w:sz w:val="12"/>
                <w:szCs w:val="12"/>
                <w:color w:val="0000FF"/>
                <w:w w:val="93"/>
              </w:rPr>
              <w:t>1,052,950</w:t>
            </w:r>
          </w:p>
        </w:tc>
        <w:tc>
          <w:tcPr>
            <w:tcW w:w="780" w:type="dxa"/>
            <w:vAlign w:val="bottom"/>
          </w:tcPr>
          <w:p>
            <w:pPr>
              <w:jc w:val="right"/>
              <w:ind w:right="243"/>
              <w:spacing w:after="0"/>
              <w:rPr>
                <w:sz w:val="20"/>
                <w:szCs w:val="20"/>
                <w:color w:val="auto"/>
              </w:rPr>
            </w:pPr>
            <w:r>
              <w:rPr>
                <w:rFonts w:ascii="Arial" w:cs="Arial" w:eastAsia="Arial" w:hAnsi="Arial"/>
                <w:sz w:val="10"/>
                <w:szCs w:val="10"/>
                <w:color w:val="008000"/>
              </w:rPr>
              <w:t>(9)</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(9)</w:t>
            </w:r>
          </w:p>
        </w:tc>
        <w:tc>
          <w:tcPr>
            <w:tcW w:w="540" w:type="dxa"/>
            <w:vAlign w:val="bottom"/>
          </w:tcPr>
          <w:p>
            <w:pPr>
              <w:ind w:left="2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1,052,950</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(9)</w:t>
            </w:r>
          </w:p>
        </w:tc>
        <w:tc>
          <w:tcPr>
            <w:tcW w:w="5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10"/>
                <w:szCs w:val="10"/>
                <w:color w:val="auto"/>
              </w:rPr>
            </w:pPr>
          </w:p>
        </w:tc>
        <w:tc>
          <w:tcPr>
            <w:tcW w:w="320" w:type="dxa"/>
            <w:vAlign w:val="bottom"/>
            <w:vMerge w:val="restart"/>
          </w:tcPr>
          <w:p>
            <w:pPr>
              <w:ind w:left="26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0000FF"/>
              </w:rPr>
              <w:t>Stock</w:t>
            </w:r>
          </w:p>
        </w:tc>
        <w:tc>
          <w:tcPr>
            <w:tcW w:w="78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4"/>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Adelman Robert J</w:t>
              </w:r>
            </w:hyperlink>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rPr>
              <w:t>1700 OWENS STREET</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SUITE 595</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SAN FRANCISCO</w:t>
            </w:r>
          </w:p>
        </w:tc>
        <w:tc>
          <w:tcPr>
            <w:tcW w:w="1060" w:type="dxa"/>
            <w:vAlign w:val="bottom"/>
          </w:tcPr>
          <w:p>
            <w:pPr>
              <w:ind w:left="40"/>
              <w:spacing w:after="0"/>
              <w:rPr>
                <w:sz w:val="20"/>
                <w:szCs w:val="20"/>
                <w:color w:val="auto"/>
              </w:rPr>
            </w:pPr>
            <w:r>
              <w:rPr>
                <w:rFonts w:ascii="Arial" w:cs="Arial" w:eastAsia="Arial" w:hAnsi="Arial"/>
                <w:sz w:val="16"/>
                <w:szCs w:val="16"/>
                <w:color w:val="0000FF"/>
              </w:rPr>
              <w:t>CA</w:t>
            </w:r>
          </w:p>
        </w:tc>
        <w:tc>
          <w:tcPr>
            <w:tcW w:w="1060" w:type="dxa"/>
            <w:vAlign w:val="bottom"/>
          </w:tcPr>
          <w:p>
            <w:pPr>
              <w:ind w:left="400"/>
              <w:spacing w:after="0"/>
              <w:rPr>
                <w:sz w:val="20"/>
                <w:szCs w:val="20"/>
                <w:color w:val="auto"/>
              </w:rPr>
            </w:pPr>
            <w:r>
              <w:rPr>
                <w:rFonts w:ascii="Arial" w:cs="Arial" w:eastAsia="Arial" w:hAnsi="Arial"/>
                <w:sz w:val="16"/>
                <w:szCs w:val="16"/>
                <w:color w:val="0000FF"/>
              </w:rPr>
              <w:t>94158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-4749800</wp:posOffset>
            </wp:positionV>
            <wp:extent cx="7035800" cy="5027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5027930"/>
                    </a:xfrm>
                    <a:prstGeom prst="rect">
                      <a:avLst/>
                    </a:prstGeom>
                    <a:noFill/>
                  </pic:spPr>
                </pic:pic>
              </a:graphicData>
            </a:graphic>
          </wp:anchor>
        </w:drawing>
      </w:r>
    </w:p>
    <w:p>
      <w:pPr>
        <w:sectPr>
          <w:pgSz w:w="11900" w:h="16911" w:orient="portrait"/>
          <w:cols w:equalWidth="0" w:num="1">
            <w:col w:w="11080"/>
          </w:cols>
          <w:pgMar w:left="460" w:top="220" w:right="359" w:bottom="0" w:gutter="0" w:footer="0" w:header="0"/>
          <w:type w:val="continuous"/>
        </w:sectPr>
      </w:pPr>
    </w:p>
    <w:p>
      <w:pPr>
        <w:spacing w:after="0" w:line="300" w:lineRule="exact"/>
        <w:rPr>
          <w:sz w:val="24"/>
          <w:szCs w:val="24"/>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911" w:orient="portrait"/>
          <w:cols w:equalWidth="0" w:num="1">
            <w:col w:w="11080"/>
          </w:cols>
          <w:pgMar w:left="460" w:top="220"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82570" cy="970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82570" cy="9700260"/>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color w:val="0000EE"/>
        </w:rPr>
      </w:pPr>
      <w:hyperlink r:id="rId18">
        <w:r>
          <w:rPr>
            <w:rFonts w:ascii="Arial" w:cs="Arial" w:eastAsia="Arial" w:hAnsi="Arial"/>
            <w:sz w:val="20"/>
            <w:szCs w:val="20"/>
            <w:u w:val="single" w:color="auto"/>
            <w:color w:val="0000EE"/>
          </w:rPr>
          <w:t>venBio Global Strategic Fund, L.P</w:t>
        </w:r>
        <w:r>
          <w:rPr>
            <w:rFonts w:ascii="Arial" w:cs="Arial" w:eastAsia="Arial" w:hAnsi="Arial"/>
            <w:sz w:val="20"/>
            <w:szCs w:val="20"/>
            <w:color w:val="0000EE"/>
          </w:rPr>
          <w:t>.</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8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Arial" w:cs="Arial" w:eastAsia="Arial" w:hAnsi="Arial"/>
                <w:sz w:val="16"/>
                <w:szCs w:val="16"/>
                <w:color w:val="0000FF"/>
              </w:rPr>
              <w:t>1700 OWENS STREET, SUITE 595</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80" w:type="dxa"/>
            <w:vAlign w:val="bottom"/>
          </w:tcPr>
          <w:p>
            <w:pPr>
              <w:ind w:left="60"/>
              <w:spacing w:after="0"/>
              <w:rPr>
                <w:sz w:val="20"/>
                <w:szCs w:val="20"/>
                <w:color w:val="auto"/>
              </w:rPr>
            </w:pPr>
            <w:r>
              <w:rPr>
                <w:rFonts w:ascii="Arial" w:cs="Arial" w:eastAsia="Arial" w:hAnsi="Arial"/>
                <w:sz w:val="16"/>
                <w:szCs w:val="16"/>
                <w:color w:val="0000FF"/>
              </w:rPr>
              <w:t>CA</w:t>
            </w:r>
          </w:p>
        </w:tc>
        <w:tc>
          <w:tcPr>
            <w:tcW w:w="1460" w:type="dxa"/>
            <w:vAlign w:val="bottom"/>
          </w:tcPr>
          <w:p>
            <w:pPr>
              <w:ind w:left="100"/>
              <w:spacing w:after="0"/>
              <w:rPr>
                <w:sz w:val="20"/>
                <w:szCs w:val="20"/>
                <w:color w:val="auto"/>
              </w:rPr>
            </w:pPr>
            <w:r>
              <w:rPr>
                <w:rFonts w:ascii="Arial" w:cs="Arial" w:eastAsia="Arial" w:hAnsi="Arial"/>
                <w:sz w:val="16"/>
                <w:szCs w:val="16"/>
                <w:color w:val="0000FF"/>
              </w:rPr>
              <w:t>94158</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8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80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720" w:type="dxa"/>
            <w:vAlign w:val="bottom"/>
            <w:gridSpan w:val="2"/>
          </w:tcPr>
          <w:p>
            <w:pPr>
              <w:ind w:left="20"/>
              <w:spacing w:after="0"/>
              <w:rPr>
                <w:rFonts w:ascii="Arial" w:cs="Arial" w:eastAsia="Arial" w:hAnsi="Arial"/>
                <w:sz w:val="20"/>
                <w:szCs w:val="20"/>
                <w:u w:val="single" w:color="auto"/>
                <w:color w:val="0000EE"/>
                <w:w w:val="93"/>
              </w:rPr>
            </w:pPr>
            <w:hyperlink r:id="rId19">
              <w:r>
                <w:rPr>
                  <w:rFonts w:ascii="Arial" w:cs="Arial" w:eastAsia="Arial" w:hAnsi="Arial"/>
                  <w:sz w:val="20"/>
                  <w:szCs w:val="20"/>
                  <w:u w:val="single" w:color="auto"/>
                  <w:color w:val="0000EE"/>
                  <w:w w:val="93"/>
                </w:rPr>
                <w:t>venBio Global Strategic GP, Ltd.</w:t>
              </w:r>
            </w:hyperlink>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8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Arial" w:cs="Arial" w:eastAsia="Arial" w:hAnsi="Arial"/>
                <w:sz w:val="16"/>
                <w:szCs w:val="16"/>
                <w:color w:val="0000FF"/>
              </w:rPr>
              <w:t>1700 OWENS STREET, SUITE 595</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80" w:type="dxa"/>
            <w:vAlign w:val="bottom"/>
          </w:tcPr>
          <w:p>
            <w:pPr>
              <w:ind w:left="60"/>
              <w:spacing w:after="0"/>
              <w:rPr>
                <w:sz w:val="20"/>
                <w:szCs w:val="20"/>
                <w:color w:val="auto"/>
              </w:rPr>
            </w:pPr>
            <w:r>
              <w:rPr>
                <w:rFonts w:ascii="Arial" w:cs="Arial" w:eastAsia="Arial" w:hAnsi="Arial"/>
                <w:sz w:val="16"/>
                <w:szCs w:val="16"/>
                <w:color w:val="0000FF"/>
              </w:rPr>
              <w:t>CA</w:t>
            </w:r>
          </w:p>
        </w:tc>
        <w:tc>
          <w:tcPr>
            <w:tcW w:w="1460" w:type="dxa"/>
            <w:vAlign w:val="bottom"/>
          </w:tcPr>
          <w:p>
            <w:pPr>
              <w:ind w:left="100"/>
              <w:spacing w:after="0"/>
              <w:rPr>
                <w:sz w:val="20"/>
                <w:szCs w:val="20"/>
                <w:color w:val="auto"/>
              </w:rPr>
            </w:pPr>
            <w:r>
              <w:rPr>
                <w:rFonts w:ascii="Arial" w:cs="Arial" w:eastAsia="Arial" w:hAnsi="Arial"/>
                <w:sz w:val="16"/>
                <w:szCs w:val="16"/>
                <w:color w:val="0000FF"/>
              </w:rPr>
              <w:t>94158</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8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venBio Global Strategic Fund II L.P.</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8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595</w:t>
            </w:r>
          </w:p>
        </w:tc>
        <w:tc>
          <w:tcPr>
            <w:tcW w:w="1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80" w:type="dxa"/>
            <w:vAlign w:val="bottom"/>
          </w:tcPr>
          <w:p>
            <w:pPr>
              <w:ind w:left="60"/>
              <w:spacing w:after="0"/>
              <w:rPr>
                <w:sz w:val="20"/>
                <w:szCs w:val="20"/>
                <w:color w:val="auto"/>
              </w:rPr>
            </w:pPr>
            <w:r>
              <w:rPr>
                <w:rFonts w:ascii="Arial" w:cs="Arial" w:eastAsia="Arial" w:hAnsi="Arial"/>
                <w:sz w:val="16"/>
                <w:szCs w:val="16"/>
                <w:color w:val="0000FF"/>
              </w:rPr>
              <w:t>CA</w:t>
            </w:r>
          </w:p>
        </w:tc>
        <w:tc>
          <w:tcPr>
            <w:tcW w:w="1460" w:type="dxa"/>
            <w:vAlign w:val="bottom"/>
          </w:tcPr>
          <w:p>
            <w:pPr>
              <w:ind w:left="100"/>
              <w:spacing w:after="0"/>
              <w:rPr>
                <w:sz w:val="20"/>
                <w:szCs w:val="20"/>
                <w:color w:val="auto"/>
              </w:rPr>
            </w:pPr>
            <w:r>
              <w:rPr>
                <w:rFonts w:ascii="Arial" w:cs="Arial" w:eastAsia="Arial" w:hAnsi="Arial"/>
                <w:sz w:val="16"/>
                <w:szCs w:val="16"/>
                <w:color w:val="0000FF"/>
              </w:rPr>
              <w:t>94158</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8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80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720" w:type="dxa"/>
            <w:vAlign w:val="bottom"/>
            <w:gridSpan w:val="2"/>
          </w:tcPr>
          <w:p>
            <w:pPr>
              <w:ind w:left="20"/>
              <w:spacing w:after="0"/>
              <w:rPr>
                <w:rFonts w:ascii="Arial" w:cs="Arial" w:eastAsia="Arial" w:hAnsi="Arial"/>
                <w:sz w:val="20"/>
                <w:szCs w:val="20"/>
                <w:u w:val="single" w:color="auto"/>
                <w:color w:val="0000EE"/>
                <w:w w:val="92"/>
              </w:rPr>
            </w:pPr>
            <w:hyperlink r:id="rId21">
              <w:r>
                <w:rPr>
                  <w:rFonts w:ascii="Arial" w:cs="Arial" w:eastAsia="Arial" w:hAnsi="Arial"/>
                  <w:sz w:val="20"/>
                  <w:szCs w:val="20"/>
                  <w:u w:val="single" w:color="auto"/>
                  <w:color w:val="0000EE"/>
                  <w:w w:val="92"/>
                </w:rPr>
                <w:t>venBio Global Strategic GP, L.P.</w:t>
              </w:r>
            </w:hyperlink>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8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Arial" w:cs="Arial" w:eastAsia="Arial" w:hAnsi="Arial"/>
                <w:sz w:val="16"/>
                <w:szCs w:val="16"/>
                <w:color w:val="0000FF"/>
              </w:rPr>
              <w:t>1700 OWENS STREET, SUITE 595</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80" w:type="dxa"/>
            <w:vAlign w:val="bottom"/>
          </w:tcPr>
          <w:p>
            <w:pPr>
              <w:ind w:left="60"/>
              <w:spacing w:after="0"/>
              <w:rPr>
                <w:sz w:val="20"/>
                <w:szCs w:val="20"/>
                <w:color w:val="auto"/>
              </w:rPr>
            </w:pPr>
            <w:r>
              <w:rPr>
                <w:rFonts w:ascii="Arial" w:cs="Arial" w:eastAsia="Arial" w:hAnsi="Arial"/>
                <w:sz w:val="16"/>
                <w:szCs w:val="16"/>
                <w:color w:val="0000FF"/>
              </w:rPr>
              <w:t>CA</w:t>
            </w:r>
          </w:p>
        </w:tc>
        <w:tc>
          <w:tcPr>
            <w:tcW w:w="1460" w:type="dxa"/>
            <w:vAlign w:val="bottom"/>
          </w:tcPr>
          <w:p>
            <w:pPr>
              <w:ind w:left="100"/>
              <w:spacing w:after="0"/>
              <w:rPr>
                <w:sz w:val="20"/>
                <w:szCs w:val="20"/>
                <w:color w:val="auto"/>
              </w:rPr>
            </w:pPr>
            <w:r>
              <w:rPr>
                <w:rFonts w:ascii="Arial" w:cs="Arial" w:eastAsia="Arial" w:hAnsi="Arial"/>
                <w:sz w:val="16"/>
                <w:szCs w:val="16"/>
                <w:color w:val="0000FF"/>
              </w:rPr>
              <w:t>94158</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8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venBio Global Strategic GP II, L.P.</w:t>
        </w:r>
      </w:hyperlink>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960" w:type="dxa"/>
            <w:vAlign w:val="bottom"/>
          </w:tcPr>
          <w:p>
            <w:pPr>
              <w:ind w:left="6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61"/>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88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595</w:t>
            </w:r>
          </w:p>
        </w:tc>
        <w:tc>
          <w:tcPr>
            <w:tcW w:w="9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8"/>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960" w:type="dxa"/>
            <w:vAlign w:val="bottom"/>
          </w:tcPr>
          <w:p>
            <w:pPr>
              <w:ind w:left="60"/>
              <w:spacing w:after="0"/>
              <w:rPr>
                <w:sz w:val="20"/>
                <w:szCs w:val="20"/>
                <w:color w:val="auto"/>
              </w:rPr>
            </w:pPr>
            <w:r>
              <w:rPr>
                <w:rFonts w:ascii="Arial" w:cs="Arial" w:eastAsia="Arial" w:hAnsi="Arial"/>
                <w:sz w:val="16"/>
                <w:szCs w:val="16"/>
                <w:color w:val="0000FF"/>
              </w:rPr>
              <w:t>CA</w:t>
            </w:r>
          </w:p>
        </w:tc>
        <w:tc>
          <w:tcPr>
            <w:tcW w:w="1880" w:type="dxa"/>
            <w:vAlign w:val="bottom"/>
          </w:tcPr>
          <w:p>
            <w:pPr>
              <w:ind w:left="520"/>
              <w:spacing w:after="0"/>
              <w:rPr>
                <w:sz w:val="20"/>
                <w:szCs w:val="20"/>
                <w:color w:val="auto"/>
              </w:rPr>
            </w:pPr>
            <w:r>
              <w:rPr>
                <w:rFonts w:ascii="Arial" w:cs="Arial" w:eastAsia="Arial" w:hAnsi="Arial"/>
                <w:sz w:val="16"/>
                <w:szCs w:val="16"/>
                <w:color w:val="0000FF"/>
              </w:rPr>
              <w:t>94158</w:t>
            </w:r>
          </w:p>
        </w:tc>
      </w:tr>
      <w:tr>
        <w:trPr>
          <w:trHeight w:val="144"/>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6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venBio Global Strategic GP II, Ltd.</w:t>
        </w:r>
      </w:hyperlink>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960" w:type="dxa"/>
            <w:vAlign w:val="bottom"/>
          </w:tcPr>
          <w:p>
            <w:pPr>
              <w:ind w:left="6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61"/>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88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595</w:t>
            </w:r>
          </w:p>
        </w:tc>
        <w:tc>
          <w:tcPr>
            <w:tcW w:w="9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8"/>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960" w:type="dxa"/>
            <w:vAlign w:val="bottom"/>
          </w:tcPr>
          <w:p>
            <w:pPr>
              <w:ind w:left="60"/>
              <w:spacing w:after="0"/>
              <w:rPr>
                <w:sz w:val="20"/>
                <w:szCs w:val="20"/>
                <w:color w:val="auto"/>
              </w:rPr>
            </w:pPr>
            <w:r>
              <w:rPr>
                <w:rFonts w:ascii="Arial" w:cs="Arial" w:eastAsia="Arial" w:hAnsi="Arial"/>
                <w:sz w:val="16"/>
                <w:szCs w:val="16"/>
                <w:color w:val="0000FF"/>
              </w:rPr>
              <w:t>CA</w:t>
            </w:r>
          </w:p>
        </w:tc>
        <w:tc>
          <w:tcPr>
            <w:tcW w:w="1880" w:type="dxa"/>
            <w:vAlign w:val="bottom"/>
          </w:tcPr>
          <w:p>
            <w:pPr>
              <w:ind w:left="520"/>
              <w:spacing w:after="0"/>
              <w:rPr>
                <w:sz w:val="20"/>
                <w:szCs w:val="20"/>
                <w:color w:val="auto"/>
              </w:rPr>
            </w:pPr>
            <w:r>
              <w:rPr>
                <w:rFonts w:ascii="Arial" w:cs="Arial" w:eastAsia="Arial" w:hAnsi="Arial"/>
                <w:sz w:val="16"/>
                <w:szCs w:val="16"/>
                <w:color w:val="0000FF"/>
              </w:rPr>
              <w:t>94158</w:t>
            </w:r>
          </w:p>
        </w:tc>
      </w:tr>
      <w:tr>
        <w:trPr>
          <w:trHeight w:val="144"/>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6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20" w:hanging="3"/>
        <w:spacing w:after="0" w:line="254"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venBio Global Strategic Fund, L.P. venBio Global Strategic GP, L.P. is the general partner of venBio Global Strategic Fund, L.P. and venBio Global Strategic GP, Ltd. is the general partner of venBio Global Strategic GP, L.P. Robert Adelman is a director of venBio Global Strategic GP, Ltd. Each of venBio Global Strategic GP, L.P., venBio Global Strategic GP, Ltd. and Mr. Adelman disclaims beneficial ownership of such securities, except to the extent of its/his indirect pecuniary interest therein.</w:t>
      </w:r>
    </w:p>
    <w:p>
      <w:pPr>
        <w:spacing w:after="0" w:line="22" w:lineRule="exact"/>
        <w:rPr>
          <w:rFonts w:ascii="Arial" w:cs="Arial" w:eastAsia="Arial" w:hAnsi="Arial"/>
          <w:sz w:val="12"/>
          <w:szCs w:val="12"/>
          <w:color w:val="008000"/>
        </w:rPr>
      </w:pPr>
    </w:p>
    <w:p>
      <w:pPr>
        <w:ind w:left="20" w:right="20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venBio SPV, LLC, which is wholly-owned by venBio Global Strategic Fund, L.P. Robert Adelman is a managing director of venBio SPV, LLC and disclaims beneficial ownership of such securities, except to the extent of his indirect pecuniary interest therein.</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869,618 shares of Common Stock issued as payment of accrued dividends upon conversion of the preferred stock on July 21, 2020.</w:t>
      </w:r>
    </w:p>
    <w:p>
      <w:pPr>
        <w:sectPr>
          <w:pgSz w:w="11900" w:h="16838" w:orient="portrait"/>
          <w:cols w:equalWidth="0" w:num="1">
            <w:col w:w="10800"/>
          </w:cols>
          <w:pgMar w:left="480" w:top="280" w:right="619" w:bottom="0" w:gutter="0" w:footer="0" w:header="0"/>
        </w:sectPr>
      </w:pPr>
    </w:p>
    <w:bookmarkStart w:id="2" w:name="page3"/>
    <w:bookmarkEnd w:id="2"/>
    <w:p>
      <w:pPr>
        <w:ind w:left="3" w:hanging="3"/>
        <w:spacing w:after="0" w:line="27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A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476,376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3" w:right="100" w:hanging="3"/>
        <w:spacing w:after="0" w:line="254"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by venBio Global Strategic Fund II, L.P. venBio Global Strategic GP II, LP is the sole general partner of venBio Global Strategic Fund II, LP and venBio Global Strategic GP II, Ltd. is the sole general partner of venBio Global Strategic GP II, L.P. Robert Adelman is a director of venBio Global Strategic GP II, Ltd. Each of venBio Global Strategic GP II, LP, venBio Global Strategic GP II, Ltd, and Mr. Adelman disclaims beneficial ownership of such securities, except to the extent of its/his indirect pecuniary interest therein.</w:t>
      </w:r>
    </w:p>
    <w:p>
      <w:pPr>
        <w:spacing w:after="0" w:line="22"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by Robert Adelman directly.</w:t>
      </w:r>
    </w:p>
    <w:p>
      <w:pPr>
        <w:spacing w:after="0" w:line="48" w:lineRule="exact"/>
        <w:rPr>
          <w:rFonts w:ascii="Arial" w:cs="Arial" w:eastAsia="Arial" w:hAnsi="Arial"/>
          <w:sz w:val="12"/>
          <w:szCs w:val="12"/>
          <w:color w:val="008000"/>
        </w:rPr>
      </w:pPr>
    </w:p>
    <w:p>
      <w:pPr>
        <w:ind w:left="3" w:hanging="3"/>
        <w:spacing w:after="0" w:line="27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B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3" w:hanging="3"/>
        <w:spacing w:after="0" w:line="27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C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83" w:hanging="183"/>
        <w:spacing w:after="0"/>
        <w:tabs>
          <w:tab w:leader="none" w:pos="18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18,231 shares of Common Stock issued as payment of accrued dividends upon conversion of the preferred stock on July 21, 2020.</w:t>
      </w:r>
    </w:p>
    <w:p>
      <w:pPr>
        <w:sectPr>
          <w:pgSz w:w="11900" w:h="16838" w:orient="portrait"/>
          <w:cols w:equalWidth="0" w:num="1">
            <w:col w:w="10823"/>
          </w:cols>
          <w:pgMar w:left="497" w:top="131" w:right="579" w:bottom="1440" w:gutter="0" w:footer="0" w:header="0"/>
        </w:sectPr>
      </w:pPr>
    </w:p>
    <w:p>
      <w:pPr>
        <w:spacing w:after="0" w:line="74"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venBio Global Strategic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-7620</wp:posOffset>
            </wp:positionV>
            <wp:extent cx="12560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L.P., by: 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1905</wp:posOffset>
            </wp:positionV>
            <wp:extent cx="13614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GP,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1905</wp:posOffset>
            </wp:positionV>
            <wp:extent cx="1303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03020"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venBio Global Strategic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1645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16459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Ltd.,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630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David Pezeshki,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896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536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5367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venBio Global Strategic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-7620</wp:posOffset>
            </wp:positionV>
            <wp:extent cx="11645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6459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L.P., by: 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1905</wp:posOffset>
            </wp:positionV>
            <wp:extent cx="13614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GP, 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3119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/s/ David Pezeshki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725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254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2679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6797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venBio Global Strategic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-7620</wp:posOffset>
            </wp:positionV>
            <wp:extent cx="11645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6459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Ltd., by: /s/ David Pezeshki,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788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6388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63881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venBio Global Strategic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wp:posOffset>
            </wp:positionV>
            <wp:extent cx="13500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pacing w:after="0" w:line="14"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L.P., by: 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1905</wp:posOffset>
            </wp:positionV>
            <wp:extent cx="13614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GP 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515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by: venBio Global Strategic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3074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0746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II, 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2598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/s/ David Pezeshki,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985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9857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26797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6797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venBio Global Strategic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-7620</wp:posOffset>
            </wp:positionV>
            <wp:extent cx="12700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L.P., by: 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1905</wp:posOffset>
            </wp:positionV>
            <wp:extent cx="13614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GP II, Ltd.,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598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by: /s/ David Pezeshki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03314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03314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6388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3881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venBio Global Strategic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-7620</wp:posOffset>
            </wp:positionV>
            <wp:extent cx="12700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Ltd., by: /s/ David Pezeshki,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788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6388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38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4" w:lineRule="exact"/>
        <w:rPr>
          <w:sz w:val="20"/>
          <w:szCs w:val="20"/>
          <w:color w:val="auto"/>
        </w:rPr>
      </w:pPr>
    </w:p>
    <w:p>
      <w:pPr>
        <w:sectPr>
          <w:pgSz w:w="11900" w:h="16838" w:orient="portrait"/>
          <w:cols w:equalWidth="0" w:num="2">
            <w:col w:w="8703" w:space="60"/>
            <w:col w:w="2060"/>
          </w:cols>
          <w:pgMar w:left="497" w:top="131" w:right="579" w:bottom="1440" w:gutter="0" w:footer="0" w:header="0"/>
          <w:type w:val="continuous"/>
        </w:sectPr>
      </w:pPr>
    </w:p>
    <w:tbl>
      <w:tblPr>
        <w:tblLayout w:type="fixed"/>
        <w:tblInd w:w="6563"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7"/>
              </w:rPr>
              <w:t>Robert Adelman, by: /s/ David</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07/21/2020</w:t>
            </w:r>
          </w:p>
        </w:tc>
        <w:tc>
          <w:tcPr>
            <w:tcW w:w="0" w:type="dxa"/>
            <w:vAlign w:val="bottom"/>
          </w:tcPr>
          <w:p>
            <w:pPr>
              <w:spacing w:after="0"/>
              <w:rPr>
                <w:sz w:val="1"/>
                <w:szCs w:val="1"/>
                <w:color w:val="auto"/>
              </w:rPr>
            </w:pPr>
          </w:p>
        </w:tc>
      </w:tr>
      <w:tr>
        <w:trPr>
          <w:trHeight w:val="80"/>
        </w:trPr>
        <w:tc>
          <w:tcPr>
            <w:tcW w:w="1840" w:type="dxa"/>
            <w:vAlign w:val="bottom"/>
            <w:tcBorders>
              <w:top w:val="single" w:sz="8" w:color="auto"/>
            </w:tcBorders>
            <w:vMerge w:val="restart"/>
          </w:tcPr>
          <w:p>
            <w:pPr>
              <w:spacing w:after="0" w:line="179" w:lineRule="exact"/>
              <w:rPr>
                <w:sz w:val="20"/>
                <w:szCs w:val="20"/>
                <w:color w:val="auto"/>
              </w:rPr>
            </w:pPr>
            <w:r>
              <w:rPr>
                <w:rFonts w:ascii="Arial" w:cs="Arial" w:eastAsia="Arial" w:hAnsi="Arial"/>
                <w:sz w:val="16"/>
                <w:szCs w:val="16"/>
                <w:color w:val="0000FF"/>
                <w:w w:val="90"/>
              </w:rPr>
              <w:t>Pezeshki, as attorney-in-fact</w:t>
            </w:r>
          </w:p>
        </w:tc>
        <w:tc>
          <w:tcPr>
            <w:tcW w:w="1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840" w:type="dxa"/>
            <w:vAlign w:val="bottom"/>
            <w:tcBorders>
              <w:top w:val="single" w:sz="8" w:color="auto"/>
              <w:bottom w:val="single" w:sz="8" w:color="auto"/>
            </w:tcBorders>
            <w:vMerge w:val="continue"/>
          </w:tcPr>
          <w:p>
            <w:pPr>
              <w:spacing w:after="0"/>
              <w:rPr>
                <w:sz w:val="6"/>
                <w:szCs w:val="6"/>
                <w:color w:val="auto"/>
              </w:rPr>
            </w:pPr>
          </w:p>
        </w:tc>
        <w:tc>
          <w:tcPr>
            <w:tcW w:w="1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40" w:hanging="3"/>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3"/>
      </w:cols>
      <w:pgMar w:left="497" w:top="13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13" Type="http://schemas.openxmlformats.org/officeDocument/2006/relationships/hyperlink" Target="http://www.sec.gov/cgi-bin/browse-edgar?action=getcompany&amp;CIK=0001329161" TargetMode="External"/><Relationship Id="rId14" Type="http://schemas.openxmlformats.org/officeDocument/2006/relationships/hyperlink" Target="http://www.sec.gov/cgi-bin/browse-edgar?action=getcompany&amp;CIK=0001810182" TargetMode="External"/><Relationship Id="rId18" Type="http://schemas.openxmlformats.org/officeDocument/2006/relationships/hyperlink" Target="http://www.sec.gov/cgi-bin/browse-edgar?action=getcompany&amp;CIK=0001504130" TargetMode="External"/><Relationship Id="rId19" Type="http://schemas.openxmlformats.org/officeDocument/2006/relationships/hyperlink" Target="http://www.sec.gov/cgi-bin/browse-edgar?action=getcompany&amp;CIK=0001770835" TargetMode="External"/><Relationship Id="rId20" Type="http://schemas.openxmlformats.org/officeDocument/2006/relationships/hyperlink" Target="http://www.sec.gov/cgi-bin/browse-edgar?action=getcompany&amp;CIK=0001634632" TargetMode="External"/><Relationship Id="rId21" Type="http://schemas.openxmlformats.org/officeDocument/2006/relationships/hyperlink" Target="http://www.sec.gov/cgi-bin/browse-edgar?action=getcompany&amp;CIK=0001770834" TargetMode="External"/><Relationship Id="rId22" Type="http://schemas.openxmlformats.org/officeDocument/2006/relationships/hyperlink" Target="http://www.sec.gov/cgi-bin/browse-edgar?action=getcompany&amp;CIK=0001729409" TargetMode="External"/><Relationship Id="rId23" Type="http://schemas.openxmlformats.org/officeDocument/2006/relationships/hyperlink" Target="http://www.sec.gov/cgi-bin/browse-edgar?action=getcompany&amp;CIK=00017294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2020-07-21T20:31:28Z</dcterms:created>
  <dcterms:modified xsi:type="dcterms:W3CDTF">2020-07-21T20:31:28Z</dcterms:modified>
</cp:coreProperties>
</file>