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20" w:lineRule="auto"/>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13"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001-39386</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tbl>
      <w:tblPr>
        <w:tblLayout w:type="fixed"/>
        <w:tblInd w:w="1580" w:type="dxa"/>
        <w:tblCellMar>
          <w:top w:w="0" w:type="dxa"/>
          <w:left w:w="0" w:type="dxa"/>
          <w:bottom w:w="0" w:type="dxa"/>
          <w:right w:w="0" w:type="dxa"/>
        </w:tblCellMar>
      </w:tblPr>
      <w:tr>
        <w:trPr>
          <w:trHeight w:val="207"/>
        </w:trPr>
        <w:tc>
          <w:tcPr>
            <w:tcW w:w="43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61"/>
              <w:spacing w:after="0"/>
              <w:rPr>
                <w:sz w:val="20"/>
                <w:szCs w:val="20"/>
                <w:color w:val="auto"/>
              </w:rPr>
            </w:pPr>
            <w:r>
              <w:rPr>
                <w:rFonts w:ascii="Arial" w:cs="Arial" w:eastAsia="Arial" w:hAnsi="Arial"/>
                <w:sz w:val="18"/>
                <w:szCs w:val="18"/>
                <w:b w:val="1"/>
                <w:bCs w:val="1"/>
                <w:color w:val="auto"/>
              </w:rPr>
              <w:t>85-0642577</w:t>
            </w:r>
          </w:p>
        </w:tc>
        <w:tc>
          <w:tcPr>
            <w:tcW w:w="0" w:type="dxa"/>
            <w:vAlign w:val="bottom"/>
          </w:tcPr>
          <w:p>
            <w:pPr>
              <w:spacing w:after="0"/>
              <w:rPr>
                <w:sz w:val="1"/>
                <w:szCs w:val="1"/>
                <w:color w:val="auto"/>
              </w:rPr>
            </w:pPr>
          </w:p>
        </w:tc>
      </w:tr>
      <w:tr>
        <w:trPr>
          <w:trHeight w:val="144"/>
        </w:trPr>
        <w:tc>
          <w:tcPr>
            <w:tcW w:w="4380" w:type="dxa"/>
            <w:vAlign w:val="bottom"/>
          </w:tcPr>
          <w:p>
            <w:pPr>
              <w:jc w:val="center"/>
              <w:ind w:right="181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71"/>
        </w:trPr>
        <w:tc>
          <w:tcPr>
            <w:tcW w:w="43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03"/>
        </w:trPr>
        <w:tc>
          <w:tcPr>
            <w:tcW w:w="4380" w:type="dxa"/>
            <w:vAlign w:val="bottom"/>
          </w:tcPr>
          <w:p>
            <w:pPr>
              <w:jc w:val="center"/>
              <w:ind w:right="1819"/>
              <w:spacing w:after="0" w:line="202" w:lineRule="exact"/>
              <w:rPr>
                <w:sz w:val="20"/>
                <w:szCs w:val="20"/>
                <w:color w:val="auto"/>
              </w:rPr>
            </w:pPr>
            <w:r>
              <w:rPr>
                <w:rFonts w:ascii="Arial" w:cs="Arial" w:eastAsia="Arial" w:hAnsi="Arial"/>
                <w:sz w:val="18"/>
                <w:szCs w:val="18"/>
                <w:b w:val="1"/>
                <w:bCs w:val="1"/>
                <w:color w:val="auto"/>
                <w:w w:val="90"/>
              </w:rPr>
              <w:t>323 Allerton Avenue</w:t>
            </w:r>
          </w:p>
        </w:tc>
        <w:tc>
          <w:tcPr>
            <w:tcW w:w="304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198"/>
        </w:trPr>
        <w:tc>
          <w:tcPr>
            <w:tcW w:w="4380" w:type="dxa"/>
            <w:vAlign w:val="bottom"/>
          </w:tcPr>
          <w:p>
            <w:pPr>
              <w:jc w:val="center"/>
              <w:ind w:right="1839"/>
              <w:spacing w:after="0" w:line="198" w:lineRule="exact"/>
              <w:rPr>
                <w:sz w:val="20"/>
                <w:szCs w:val="20"/>
                <w:color w:val="auto"/>
              </w:rPr>
            </w:pPr>
            <w:r>
              <w:rPr>
                <w:rFonts w:ascii="Arial" w:cs="Arial" w:eastAsia="Arial" w:hAnsi="Arial"/>
                <w:sz w:val="18"/>
                <w:szCs w:val="18"/>
                <w:b w:val="1"/>
                <w:bCs w:val="1"/>
                <w:color w:val="auto"/>
                <w:w w:val="90"/>
              </w:rPr>
              <w:t>South San Francisco, California</w:t>
            </w:r>
          </w:p>
        </w:tc>
        <w:tc>
          <w:tcPr>
            <w:tcW w:w="3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3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5"/>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rPr>
              <w:t>ALXO</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right="40" w:firstLine="3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40" w:firstLine="3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40" w:firstLine="3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34" w:lineRule="exact"/>
        <w:rPr>
          <w:sz w:val="24"/>
          <w:szCs w:val="24"/>
          <w:color w:val="auto"/>
        </w:rPr>
      </w:pPr>
    </w:p>
    <w:p>
      <w:pPr>
        <w:ind w:right="280" w:firstLine="3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300" w:right="342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2, 2022, the Registrant had 40,747,065 shares of common stock outstanding,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5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276" w:lineRule="exact"/>
        <w:rPr>
          <w:sz w:val="20"/>
          <w:szCs w:val="20"/>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03" w:lineRule="exact"/>
        <w:rPr>
          <w:rFonts w:ascii="Arial" w:cs="Arial" w:eastAsia="Arial" w:hAnsi="Arial"/>
          <w:sz w:val="18"/>
          <w:szCs w:val="18"/>
          <w:color w:val="auto"/>
        </w:rPr>
      </w:pPr>
    </w:p>
    <w:p>
      <w:pPr>
        <w:ind w:left="1260" w:right="6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03" w:lineRule="exact"/>
        <w:rPr>
          <w:rFonts w:ascii="Arial" w:cs="Arial" w:eastAsia="Arial" w:hAnsi="Arial"/>
          <w:sz w:val="18"/>
          <w:szCs w:val="18"/>
          <w:color w:val="auto"/>
        </w:rPr>
      </w:pPr>
    </w:p>
    <w:p>
      <w:pPr>
        <w:ind w:left="1260" w:right="80" w:hanging="368"/>
        <w:spacing w:after="0" w:line="248"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7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03" w:lineRule="exact"/>
        <w:rPr>
          <w:rFonts w:ascii="Arial" w:cs="Arial" w:eastAsia="Arial" w:hAnsi="Arial"/>
          <w:sz w:val="18"/>
          <w:szCs w:val="18"/>
          <w:color w:val="auto"/>
        </w:rPr>
      </w:pPr>
    </w:p>
    <w:p>
      <w:pPr>
        <w:ind w:left="1260" w:right="18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03" w:lineRule="exact"/>
        <w:rPr>
          <w:rFonts w:ascii="Arial" w:cs="Arial" w:eastAsia="Arial" w:hAnsi="Arial"/>
          <w:sz w:val="18"/>
          <w:szCs w:val="18"/>
          <w:color w:val="auto"/>
        </w:rPr>
      </w:pPr>
    </w:p>
    <w:p>
      <w:pPr>
        <w:ind w:left="1260" w:right="52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62" w:lineRule="exact"/>
        <w:rPr>
          <w:rFonts w:ascii="Arial" w:cs="Arial" w:eastAsia="Arial" w:hAnsi="Arial"/>
          <w:sz w:val="18"/>
          <w:szCs w:val="18"/>
          <w:color w:val="auto"/>
        </w:rPr>
      </w:pPr>
    </w:p>
    <w:p>
      <w:pPr>
        <w:ind w:left="1260" w:right="68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clinical trials of our product candidates, and for the manufacture of our product candidates;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15" w:lineRule="exact"/>
        <w:rPr>
          <w:rFonts w:ascii="Arial" w:cs="Arial" w:eastAsia="Arial" w:hAnsi="Arial"/>
          <w:sz w:val="17"/>
          <w:szCs w:val="17"/>
          <w:color w:val="auto"/>
        </w:rPr>
      </w:pPr>
    </w:p>
    <w:p>
      <w:pPr>
        <w:ind w:left="1260" w:right="56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15" w:lineRule="exact"/>
        <w:rPr>
          <w:rFonts w:ascii="Arial" w:cs="Arial" w:eastAsia="Arial" w:hAnsi="Arial"/>
          <w:sz w:val="17"/>
          <w:szCs w:val="17"/>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ongoing COVID-19 pandemic or geopolitical risks on our business;</w:t>
      </w:r>
    </w:p>
    <w:p>
      <w:pPr>
        <w:spacing w:after="0" w:line="103" w:lineRule="exact"/>
        <w:rPr>
          <w:rFonts w:ascii="Arial" w:cs="Arial" w:eastAsia="Arial" w:hAnsi="Arial"/>
          <w:sz w:val="18"/>
          <w:szCs w:val="18"/>
          <w:color w:val="auto"/>
        </w:rPr>
      </w:pPr>
    </w:p>
    <w:p>
      <w:pPr>
        <w:ind w:left="1260" w:right="38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1260" w:hanging="368"/>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 and short-term and long-term investments.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spacing w:after="0" w:line="7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20" w:type="dxa"/>
            <w:vAlign w:val="bottom"/>
            <w:gridSpan w:val="12"/>
            <w:vMerge w:val="restart"/>
          </w:tcPr>
          <w:p>
            <w:pPr>
              <w:jc w:val="center"/>
              <w:ind w:right="2960"/>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3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20" w:type="dxa"/>
            <w:vAlign w:val="bottom"/>
            <w:gridSpan w:val="12"/>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80" w:type="dxa"/>
            <w:vAlign w:val="bottom"/>
          </w:tcPr>
          <w:p>
            <w:pPr>
              <w:ind w:left="140"/>
              <w:spacing w:after="0" w:line="169" w:lineRule="exact"/>
              <w:rPr>
                <w:sz w:val="20"/>
                <w:szCs w:val="20"/>
                <w:color w:val="auto"/>
              </w:rPr>
            </w:pPr>
            <w:r>
              <w:rPr>
                <w:rFonts w:ascii="Arial" w:cs="Arial" w:eastAsia="Arial" w:hAnsi="Arial"/>
                <w:sz w:val="18"/>
                <w:szCs w:val="18"/>
                <w:color w:val="auto"/>
              </w:rPr>
              <w:t>Item 1</w:t>
            </w:r>
          </w:p>
        </w:tc>
        <w:tc>
          <w:tcPr>
            <w:tcW w:w="3420" w:type="dxa"/>
            <w:vAlign w:val="bottom"/>
            <w:gridSpan w:val="12"/>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2400" w:type="dxa"/>
            <w:vAlign w:val="bottom"/>
            <w:tcBorders>
              <w:top w:val="single" w:sz="8" w:color="0000FF"/>
            </w:tcBorders>
            <w:gridSpan w:val="10"/>
          </w:tcPr>
          <w:p>
            <w:pPr>
              <w:spacing w:after="0" w:line="169"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w:t>
              </w:r>
            </w:hyperlink>
          </w:p>
        </w:tc>
        <w:tc>
          <w:tcPr>
            <w:tcW w:w="6740" w:type="dxa"/>
            <w:vAlign w:val="bottom"/>
            <w:gridSpan w:val="13"/>
          </w:tcPr>
          <w:p>
            <w:pPr>
              <w:ind w:left="60"/>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Sheets</w:t>
              </w:r>
            </w:hyperlink>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20" w:type="dxa"/>
            <w:vAlign w:val="bottom"/>
            <w:gridSpan w:val="12"/>
            <w:vMerge w:val="restart"/>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Operations</w:t>
              </w:r>
            </w:hyperlink>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2920" w:type="dxa"/>
            <w:vAlign w:val="bottom"/>
            <w:gridSpan w:val="11"/>
          </w:tcPr>
          <w:p>
            <w:pPr>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w:t>
              </w:r>
            </w:hyperlink>
          </w:p>
        </w:tc>
        <w:tc>
          <w:tcPr>
            <w:tcW w:w="6220" w:type="dxa"/>
            <w:vAlign w:val="bottom"/>
            <w:gridSpan w:val="1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140" w:type="dxa"/>
            <w:vAlign w:val="bottom"/>
            <w:gridSpan w:val="23"/>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Comprehensive Loss</w:t>
              </w:r>
            </w:hyperlink>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4380" w:type="dxa"/>
            <w:vAlign w:val="bottom"/>
            <w:gridSpan w:val="19"/>
          </w:tcPr>
          <w:p>
            <w:pPr>
              <w:spacing w:after="0" w:line="169"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Stockholders' Equity</w:t>
              </w:r>
            </w:hyperlink>
          </w:p>
        </w:tc>
        <w:tc>
          <w:tcPr>
            <w:tcW w:w="1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2"/>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w:t>
              </w:r>
            </w:hyperlink>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140" w:type="dxa"/>
            <w:vAlign w:val="bottom"/>
            <w:gridSpan w:val="23"/>
          </w:tcPr>
          <w:p>
            <w:pPr>
              <w:spacing w:after="0" w:line="169"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140" w:type="dxa"/>
            <w:vAlign w:val="bottom"/>
            <w:gridSpan w:val="8"/>
            <w:vMerge w:val="restart"/>
          </w:tcPr>
          <w:p>
            <w:pPr>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Condition and Results of Operations</w:t>
              </w:r>
            </w:hyperlink>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4000" w:type="dxa"/>
            <w:vAlign w:val="bottom"/>
            <w:gridSpan w:val="15"/>
          </w:tcPr>
          <w:p>
            <w:pPr>
              <w:spacing w:after="0" w:line="169" w:lineRule="exact"/>
              <w:rPr>
                <w:rFonts w:ascii="Arial" w:cs="Arial" w:eastAsia="Arial" w:hAnsi="Arial"/>
                <w:sz w:val="18"/>
                <w:szCs w:val="18"/>
                <w:color w:val="0000FF"/>
                <w:w w:val="95"/>
              </w:rPr>
            </w:pPr>
            <w:hyperlink w:anchor="page19">
              <w:r>
                <w:rPr>
                  <w:rFonts w:ascii="Arial" w:cs="Arial" w:eastAsia="Arial" w:hAnsi="Arial"/>
                  <w:sz w:val="18"/>
                  <w:szCs w:val="18"/>
                  <w:color w:val="0000FF"/>
                  <w:w w:val="95"/>
                </w:rPr>
                <w:t>Management’s Discussion and Analysis of Financial</w:t>
              </w:r>
            </w:hyperlink>
          </w:p>
        </w:tc>
        <w:tc>
          <w:tcPr>
            <w:tcW w:w="5140" w:type="dxa"/>
            <w:vAlign w:val="bottom"/>
            <w:gridSpan w:val="8"/>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6440" w:type="dxa"/>
            <w:vAlign w:val="bottom"/>
            <w:gridSpan w:val="22"/>
          </w:tcPr>
          <w:p>
            <w:pPr>
              <w:spacing w:after="0" w:line="169" w:lineRule="exact"/>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2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20" w:lineRule="exact"/>
              <w:rPr>
                <w:sz w:val="1"/>
                <w:szCs w:val="1"/>
                <w:color w:val="auto"/>
              </w:rPr>
            </w:pPr>
          </w:p>
        </w:tc>
        <w:tc>
          <w:tcPr>
            <w:tcW w:w="3640" w:type="dxa"/>
            <w:vAlign w:val="bottom"/>
            <w:gridSpan w:val="3"/>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4300" w:type="dxa"/>
            <w:vAlign w:val="bottom"/>
            <w:gridSpan w:val="16"/>
          </w:tcPr>
          <w:p>
            <w:pPr>
              <w:spacing w:after="0" w:line="169" w:lineRule="exact"/>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4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364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1"/>
          </w:tcPr>
          <w:p>
            <w:pPr>
              <w:jc w:val="center"/>
              <w:ind w:right="3440"/>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80" w:type="dxa"/>
            <w:vAlign w:val="bottom"/>
          </w:tcPr>
          <w:p>
            <w:pPr>
              <w:ind w:left="140"/>
              <w:spacing w:after="0" w:line="169" w:lineRule="exact"/>
              <w:rPr>
                <w:sz w:val="20"/>
                <w:szCs w:val="20"/>
                <w:color w:val="auto"/>
              </w:rPr>
            </w:pPr>
            <w:r>
              <w:rPr>
                <w:rFonts w:ascii="Arial" w:cs="Arial" w:eastAsia="Arial" w:hAnsi="Arial"/>
                <w:sz w:val="18"/>
                <w:szCs w:val="18"/>
                <w:color w:val="auto"/>
              </w:rPr>
              <w:t>Item 1</w:t>
            </w:r>
          </w:p>
        </w:tc>
        <w:tc>
          <w:tcPr>
            <w:tcW w:w="3640" w:type="dxa"/>
            <w:vAlign w:val="bottom"/>
            <w:gridSpan w:val="13"/>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700" w:type="dxa"/>
            <w:vAlign w:val="bottom"/>
            <w:tcBorders>
              <w:top w:val="single" w:sz="8" w:color="0000FF"/>
            </w:tcBorders>
            <w:gridSpan w:val="4"/>
          </w:tcPr>
          <w:p>
            <w:pPr>
              <w:spacing w:after="0"/>
              <w:rPr>
                <w:sz w:val="14"/>
                <w:szCs w:val="14"/>
                <w:color w:val="auto"/>
              </w:rPr>
            </w:pPr>
          </w:p>
        </w:tc>
        <w:tc>
          <w:tcPr>
            <w:tcW w:w="1160" w:type="dxa"/>
            <w:vAlign w:val="bottom"/>
            <w:tcBorders>
              <w:top w:val="single" w:sz="8" w:color="0000FF"/>
            </w:tcBorders>
            <w:gridSpan w:val="3"/>
          </w:tcPr>
          <w:p>
            <w:pPr>
              <w:spacing w:after="0"/>
              <w:rPr>
                <w:sz w:val="14"/>
                <w:szCs w:val="14"/>
                <w:color w:val="auto"/>
              </w:rPr>
            </w:pPr>
          </w:p>
        </w:tc>
        <w:tc>
          <w:tcPr>
            <w:tcW w:w="364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1380" w:type="dxa"/>
            <w:vAlign w:val="bottom"/>
          </w:tcPr>
          <w:p>
            <w:pPr>
              <w:ind w:left="140"/>
              <w:spacing w:after="0" w:line="169"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7"/>
              </w:rPr>
            </w:pPr>
            <w:hyperlink w:anchor="page28">
              <w:r>
                <w:rPr>
                  <w:rFonts w:ascii="Arial" w:cs="Arial" w:eastAsia="Arial" w:hAnsi="Arial"/>
                  <w:sz w:val="18"/>
                  <w:szCs w:val="18"/>
                  <w:color w:val="0000FF"/>
                  <w:w w:val="87"/>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3"/>
          </w:tcPr>
          <w:p>
            <w:pPr>
              <w:spacing w:after="0"/>
              <w:rPr>
                <w:sz w:val="14"/>
                <w:szCs w:val="14"/>
                <w:color w:val="auto"/>
              </w:rPr>
            </w:pPr>
          </w:p>
        </w:tc>
        <w:tc>
          <w:tcPr>
            <w:tcW w:w="1040" w:type="dxa"/>
            <w:vAlign w:val="bottom"/>
            <w:gridSpan w:val="3"/>
          </w:tcPr>
          <w:p>
            <w:pPr>
              <w:spacing w:after="0"/>
              <w:rPr>
                <w:sz w:val="14"/>
                <w:szCs w:val="14"/>
                <w:color w:val="auto"/>
              </w:rPr>
            </w:pPr>
          </w:p>
        </w:tc>
        <w:tc>
          <w:tcPr>
            <w:tcW w:w="1980" w:type="dxa"/>
            <w:vAlign w:val="bottom"/>
            <w:gridSpan w:val="8"/>
          </w:tcPr>
          <w:p>
            <w:pPr>
              <w:spacing w:after="0"/>
              <w:rPr>
                <w:sz w:val="14"/>
                <w:szCs w:val="14"/>
                <w:color w:val="auto"/>
              </w:rPr>
            </w:pPr>
          </w:p>
        </w:tc>
        <w:tc>
          <w:tcPr>
            <w:tcW w:w="4800" w:type="dxa"/>
            <w:vAlign w:val="bottom"/>
            <w:gridSpan w:val="6"/>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1380" w:type="dxa"/>
            <w:vAlign w:val="bottom"/>
          </w:tcPr>
          <w:p>
            <w:pPr>
              <w:ind w:left="140"/>
              <w:spacing w:after="0" w:line="169" w:lineRule="exact"/>
              <w:rPr>
                <w:sz w:val="20"/>
                <w:szCs w:val="20"/>
                <w:color w:val="auto"/>
              </w:rPr>
            </w:pPr>
            <w:r>
              <w:rPr>
                <w:rFonts w:ascii="Arial" w:cs="Arial" w:eastAsia="Arial" w:hAnsi="Arial"/>
                <w:sz w:val="18"/>
                <w:szCs w:val="18"/>
                <w:color w:val="auto"/>
              </w:rPr>
              <w:t>Item 2</w:t>
            </w:r>
          </w:p>
        </w:tc>
        <w:tc>
          <w:tcPr>
            <w:tcW w:w="920" w:type="dxa"/>
            <w:vAlign w:val="bottom"/>
            <w:gridSpan w:val="3"/>
          </w:tcPr>
          <w:p>
            <w:pPr>
              <w:spacing w:after="0" w:line="169" w:lineRule="exact"/>
              <w:rPr>
                <w:rFonts w:ascii="Arial" w:cs="Arial" w:eastAsia="Arial" w:hAnsi="Arial"/>
                <w:sz w:val="18"/>
                <w:szCs w:val="18"/>
                <w:color w:val="0000FF"/>
                <w:w w:val="87"/>
              </w:rPr>
            </w:pPr>
            <w:hyperlink w:anchor="page74">
              <w:r>
                <w:rPr>
                  <w:rFonts w:ascii="Arial" w:cs="Arial" w:eastAsia="Arial" w:hAnsi="Arial"/>
                  <w:sz w:val="18"/>
                  <w:szCs w:val="18"/>
                  <w:color w:val="0000FF"/>
                  <w:w w:val="87"/>
                </w:rPr>
                <w:t>Unregistered</w:t>
              </w:r>
            </w:hyperlink>
          </w:p>
        </w:tc>
        <w:tc>
          <w:tcPr>
            <w:tcW w:w="8220" w:type="dxa"/>
            <w:vAlign w:val="bottom"/>
            <w:gridSpan w:val="20"/>
          </w:tcPr>
          <w:p>
            <w:pPr>
              <w:ind w:left="40"/>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Sales of Equity Securities and Use of Proceeds</w:t>
              </w:r>
            </w:hyperlink>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800" w:type="dxa"/>
            <w:vAlign w:val="bottom"/>
            <w:gridSpan w:val="6"/>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4340" w:type="dxa"/>
            <w:vAlign w:val="bottom"/>
            <w:gridSpan w:val="17"/>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Defaults Upon Senior Securities</w:t>
              </w:r>
            </w:hyperlink>
          </w:p>
        </w:tc>
        <w:tc>
          <w:tcPr>
            <w:tcW w:w="4800" w:type="dxa"/>
            <w:vAlign w:val="bottom"/>
            <w:gridSpan w:val="6"/>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780" w:type="dxa"/>
            <w:vAlign w:val="bottom"/>
            <w:gridSpan w:val="14"/>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2360" w:type="dxa"/>
            <w:vAlign w:val="bottom"/>
            <w:gridSpan w:val="9"/>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Mine Safety Disclosures</w:t>
              </w:r>
            </w:hyperlink>
          </w:p>
        </w:tc>
        <w:tc>
          <w:tcPr>
            <w:tcW w:w="6780" w:type="dxa"/>
            <w:vAlign w:val="bottom"/>
            <w:gridSpan w:val="14"/>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5</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380" w:type="dxa"/>
            <w:vAlign w:val="bottom"/>
            <w:gridSpan w:val="16"/>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1760" w:type="dxa"/>
            <w:vAlign w:val="bottom"/>
            <w:gridSpan w:val="7"/>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Other Information</w:t>
              </w:r>
            </w:hyperlink>
          </w:p>
        </w:tc>
        <w:tc>
          <w:tcPr>
            <w:tcW w:w="7380" w:type="dxa"/>
            <w:vAlign w:val="bottom"/>
            <w:gridSpan w:val="16"/>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40" w:type="dxa"/>
            <w:vAlign w:val="bottom"/>
            <w:gridSpan w:val="18"/>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1300" w:type="dxa"/>
            <w:vAlign w:val="bottom"/>
            <w:gridSpan w:val="5"/>
          </w:tcPr>
          <w:p>
            <w:pPr>
              <w:spacing w:after="0" w:line="169" w:lineRule="exact"/>
              <w:rPr>
                <w:rFonts w:ascii="Arial" w:cs="Arial" w:eastAsia="Arial" w:hAnsi="Arial"/>
                <w:sz w:val="18"/>
                <w:szCs w:val="18"/>
                <w:color w:val="0000FF"/>
              </w:rPr>
            </w:pPr>
            <w:hyperlink w:anchor="page75">
              <w:r>
                <w:rPr>
                  <w:rFonts w:ascii="Arial" w:cs="Arial" w:eastAsia="Arial" w:hAnsi="Arial"/>
                  <w:sz w:val="18"/>
                  <w:szCs w:val="18"/>
                  <w:color w:val="0000FF"/>
                </w:rPr>
                <w:t>Exhibits</w:t>
              </w:r>
            </w:hyperlink>
          </w:p>
        </w:tc>
        <w:tc>
          <w:tcPr>
            <w:tcW w:w="7840" w:type="dxa"/>
            <w:vAlign w:val="bottom"/>
            <w:gridSpan w:val="18"/>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4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9140" w:type="dxa"/>
            <w:vAlign w:val="bottom"/>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SIGNATURES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729"/>
        </w:trPr>
        <w:tc>
          <w:tcPr>
            <w:tcW w:w="13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ALX ONCOLOGY HOLDINGS INC.</w:t>
      </w:r>
    </w:p>
    <w:p>
      <w:pPr>
        <w:jc w:val="center"/>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5"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1"/>
        </w:trPr>
        <w:tc>
          <w:tcPr>
            <w:tcW w:w="7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66,378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363,667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246,988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3,481</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316,847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367,019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3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10,860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16,681</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12,267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346,018</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8,680</w:t>
            </w:r>
          </w:p>
        </w:tc>
        <w:tc>
          <w:tcPr>
            <w:tcW w:w="30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Payable and accrued liabilities due to related party</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2,525</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12,747</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23,952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5,747</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29,699</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$0.001 par value; 1,000,000,000 shares authorized</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340"/>
              <w:spacing w:after="0" w:line="176" w:lineRule="exact"/>
              <w:rPr>
                <w:sz w:val="20"/>
                <w:szCs w:val="20"/>
                <w:color w:val="auto"/>
              </w:rPr>
            </w:pPr>
            <w:r>
              <w:rPr>
                <w:rFonts w:ascii="Arial" w:cs="Arial" w:eastAsia="Arial" w:hAnsi="Arial"/>
                <w:sz w:val="18"/>
                <w:szCs w:val="18"/>
                <w:color w:val="auto"/>
              </w:rPr>
              <w:t>as of June 30, 2022 and December 31, 2021; 40,745,252 and</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340"/>
              <w:spacing w:after="0" w:line="176" w:lineRule="exact"/>
              <w:rPr>
                <w:sz w:val="20"/>
                <w:szCs w:val="20"/>
                <w:color w:val="auto"/>
              </w:rPr>
            </w:pPr>
            <w:r>
              <w:rPr>
                <w:rFonts w:ascii="Arial" w:cs="Arial" w:eastAsia="Arial" w:hAnsi="Arial"/>
                <w:sz w:val="18"/>
                <w:szCs w:val="18"/>
                <w:color w:val="auto"/>
              </w:rPr>
              <w:t>40,587,067 shares issued and outstanding as of June 30, 2022 and</w:t>
            </w:r>
          </w:p>
        </w:tc>
        <w:tc>
          <w:tcPr>
            <w:tcW w:w="3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40"/>
              <w:spacing w:after="0"/>
              <w:rPr>
                <w:sz w:val="20"/>
                <w:szCs w:val="20"/>
                <w:color w:val="auto"/>
              </w:rPr>
            </w:pPr>
            <w:r>
              <w:rPr>
                <w:rFonts w:ascii="Arial" w:cs="Arial" w:eastAsia="Arial" w:hAnsi="Arial"/>
                <w:sz w:val="18"/>
                <w:szCs w:val="18"/>
                <w:color w:val="auto"/>
              </w:rPr>
              <w:t>December 31, 2021, respectively</w:t>
            </w:r>
          </w:p>
        </w:tc>
        <w:tc>
          <w:tcPr>
            <w:tcW w:w="3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576,972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564,993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7"/>
                <w:szCs w:val="17"/>
                <w:color w:val="auto"/>
              </w:rPr>
            </w:pPr>
          </w:p>
        </w:tc>
        <w:tc>
          <w:tcPr>
            <w:tcW w:w="1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(1,256 )</w:t>
            </w:r>
          </w:p>
        </w:tc>
        <w:tc>
          <w:tcPr>
            <w:tcW w:w="20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(259,438 )</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(201,985 )</w:t>
            </w:r>
          </w:p>
        </w:tc>
        <w:tc>
          <w:tcPr>
            <w:tcW w:w="0" w:type="dxa"/>
            <w:vAlign w:val="bottom"/>
          </w:tcPr>
          <w:p>
            <w:pPr>
              <w:spacing w:after="0"/>
              <w:rPr>
                <w:sz w:val="1"/>
                <w:szCs w:val="1"/>
                <w:color w:val="auto"/>
              </w:rPr>
            </w:pPr>
          </w:p>
        </w:tc>
      </w:tr>
      <w:tr>
        <w:trPr>
          <w:trHeight w:val="196"/>
        </w:trPr>
        <w:tc>
          <w:tcPr>
            <w:tcW w:w="75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316,319</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363,049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346,018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380,183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-3270885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-3270885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-2748280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-2748280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-1410970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-1410970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-296545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5"/>
          </w:tcPr>
          <w:p>
            <w:pPr>
              <w:jc w:val="right"/>
              <w:ind w:right="100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3020" w:type="dxa"/>
            <w:vAlign w:val="bottom"/>
            <w:gridSpan w:val="5"/>
          </w:tcPr>
          <w:p>
            <w:pPr>
              <w:jc w:val="right"/>
              <w:ind w:right="94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4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26,748</w:t>
            </w:r>
          </w:p>
        </w:tc>
        <w:tc>
          <w:tcPr>
            <w:tcW w:w="260" w:type="dxa"/>
            <w:vAlign w:val="bottom"/>
          </w:tcPr>
          <w:p>
            <w:pPr>
              <w:spacing w:after="0"/>
              <w:rPr>
                <w:sz w:val="17"/>
                <w:szCs w:val="17"/>
                <w:color w:val="auto"/>
              </w:rPr>
            </w:pP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11,213</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43,821</w:t>
            </w:r>
          </w:p>
        </w:tc>
        <w:tc>
          <w:tcPr>
            <w:tcW w:w="280" w:type="dxa"/>
            <w:vAlign w:val="bottom"/>
          </w:tcPr>
          <w:p>
            <w:pPr>
              <w:spacing w:after="0"/>
              <w:rPr>
                <w:sz w:val="17"/>
                <w:szCs w:val="17"/>
                <w:color w:val="auto"/>
              </w:rPr>
            </w:pP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7,041</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5,086</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14,715</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33,789</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16,299</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58,536</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(33,789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(16,299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(58,536</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(30,507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3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876</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1,101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(7 )</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(18 )</w:t>
            </w:r>
          </w:p>
        </w:tc>
        <w:tc>
          <w:tcPr>
            <w:tcW w:w="4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(32,920 )</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(16,274 )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(57,453 )</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(30,459 )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(0.81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FF0FC"/>
          </w:tcPr>
          <w:p>
            <w:pPr>
              <w:jc w:val="right"/>
              <w:ind w:right="23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(0.40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(1.41</w:t>
            </w:r>
          </w:p>
        </w:tc>
        <w:tc>
          <w:tcPr>
            <w:tcW w:w="280" w:type="dxa"/>
            <w:vAlign w:val="bottom"/>
            <w:tcBorders>
              <w:bottom w:val="single" w:sz="8" w:color="CFF0FC"/>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23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438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shares of common stock used to</w:t>
            </w:r>
          </w:p>
        </w:tc>
        <w:tc>
          <w:tcPr>
            <w:tcW w:w="3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40,687,751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40,247,110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40,652,224</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40,151,802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56" w:lineRule="exact"/>
              <w:rPr>
                <w:sz w:val="20"/>
                <w:szCs w:val="20"/>
                <w:color w:val="auto"/>
              </w:rPr>
            </w:pPr>
            <w:r>
              <w:rPr>
                <w:rFonts w:ascii="Arial" w:cs="Arial" w:eastAsia="Arial" w:hAnsi="Arial"/>
                <w:sz w:val="18"/>
                <w:szCs w:val="18"/>
                <w:color w:val="auto"/>
              </w:rPr>
              <w:t>compute net loss per shares, basic and diluted</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-1085215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-1085215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-1085215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-1085215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-553720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-553720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-553720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-264795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-248285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-264795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-248285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-264795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-248285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820" w:type="dxa"/>
            <w:vAlign w:val="bottom"/>
            <w:gridSpan w:val="5"/>
          </w:tcPr>
          <w:p>
            <w:pPr>
              <w:jc w:val="right"/>
              <w:ind w:right="821"/>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(32,920</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(16,274</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(57,453</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(30,459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loss on available-for-sale investments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(650 )</w:t>
            </w: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(1,256 )</w:t>
            </w:r>
          </w:p>
        </w:tc>
        <w:tc>
          <w:tcPr>
            <w:tcW w:w="4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
        </w:trPr>
        <w:tc>
          <w:tcPr>
            <w:tcW w:w="48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(33,570 )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(16,274 )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(58,709 )</w:t>
            </w:r>
          </w:p>
        </w:tc>
        <w:tc>
          <w:tcPr>
            <w:tcW w:w="42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(30,459 )</w:t>
            </w: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-159385</wp:posOffset>
            </wp:positionV>
            <wp:extent cx="7747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-159385</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gridSpan w:val="5"/>
            <w:vMerge w:val="restart"/>
          </w:tcPr>
          <w:p>
            <w:pPr>
              <w:jc w:val="center"/>
              <w:ind w:left="228"/>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40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26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Borders>
              <w:bottom w:val="single" w:sz="8" w:color="auto"/>
            </w:tcBorders>
            <w:gridSpan w:val="5"/>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40,587,067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564,993</w:t>
            </w:r>
          </w:p>
        </w:tc>
        <w:tc>
          <w:tcPr>
            <w:tcW w:w="340" w:type="dxa"/>
            <w:vAlign w:val="bottom"/>
            <w:gridSpan w:val="3"/>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ind w:right="11"/>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(201,985</w:t>
            </w:r>
          </w:p>
        </w:tc>
        <w:tc>
          <w:tcPr>
            <w:tcW w:w="200" w:type="dxa"/>
            <w:vAlign w:val="bottom"/>
            <w:tcBorders>
              <w:right w:val="single" w:sz="8" w:color="CFF0FC"/>
            </w:tcBorders>
            <w:shd w:val="clear" w:color="auto" w:fill="CFF0FC"/>
          </w:tcPr>
          <w:p>
            <w:pPr>
              <w:jc w:val="right"/>
              <w:ind w:right="130"/>
              <w:spacing w:after="0"/>
              <w:rPr>
                <w:sz w:val="20"/>
                <w:szCs w:val="20"/>
                <w:color w:val="auto"/>
              </w:rPr>
            </w:pPr>
            <w:r>
              <w:rPr>
                <w:rFonts w:ascii="Arial" w:cs="Arial" w:eastAsia="Arial" w:hAnsi="Arial"/>
                <w:sz w:val="1"/>
                <w:szCs w:val="1"/>
                <w:color w:val="auto"/>
                <w:w w:val="4294967281"/>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363,049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6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300"/>
              <w:spacing w:after="0"/>
              <w:rPr>
                <w:sz w:val="20"/>
                <w:szCs w:val="20"/>
                <w:color w:val="auto"/>
              </w:rPr>
            </w:pPr>
            <w:r>
              <w:rPr>
                <w:rFonts w:ascii="Arial" w:cs="Arial" w:eastAsia="Arial" w:hAnsi="Arial"/>
                <w:sz w:val="14"/>
                <w:szCs w:val="14"/>
                <w:color w:val="auto"/>
              </w:rPr>
              <w:t>equity incentive plans</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69,565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5,501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6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Unrealized loss on available-for-sale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300"/>
              <w:spacing w:after="0"/>
              <w:rPr>
                <w:sz w:val="20"/>
                <w:szCs w:val="20"/>
                <w:color w:val="auto"/>
              </w:rPr>
            </w:pPr>
            <w:r>
              <w:rPr>
                <w:rFonts w:ascii="Arial" w:cs="Arial" w:eastAsia="Arial" w:hAnsi="Arial"/>
                <w:sz w:val="14"/>
                <w:szCs w:val="14"/>
                <w:color w:val="auto"/>
              </w:rPr>
              <w:t>investments</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(606 )</w:t>
            </w:r>
          </w:p>
        </w:tc>
        <w:tc>
          <w:tcPr>
            <w:tcW w:w="100" w:type="dxa"/>
            <w:vAlign w:val="bottom"/>
          </w:tcPr>
          <w:p>
            <w:pPr>
              <w:spacing w:after="0"/>
              <w:rPr>
                <w:sz w:val="15"/>
                <w:szCs w:val="15"/>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(606 )</w:t>
            </w:r>
          </w:p>
        </w:tc>
        <w:tc>
          <w:tcPr>
            <w:tcW w:w="0" w:type="dxa"/>
            <w:vAlign w:val="bottom"/>
          </w:tcPr>
          <w:p>
            <w:pPr>
              <w:spacing w:after="0"/>
              <w:rPr>
                <w:sz w:val="1"/>
                <w:szCs w:val="1"/>
                <w:color w:val="auto"/>
              </w:rPr>
            </w:pPr>
          </w:p>
        </w:tc>
      </w:tr>
      <w:tr>
        <w:trPr>
          <w:trHeight w:val="175"/>
        </w:trPr>
        <w:tc>
          <w:tcPr>
            <w:tcW w:w="30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tcBorders>
              <w:right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4"/>
                <w:szCs w:val="14"/>
                <w:color w:val="auto"/>
              </w:rPr>
              <w:t>(24,533 )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(24,533 )</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40,656,632</w:t>
            </w:r>
          </w:p>
        </w:tc>
        <w:tc>
          <w:tcPr>
            <w:tcW w:w="240" w:type="dxa"/>
            <w:vAlign w:val="bottom"/>
            <w:gridSpan w:val="2"/>
          </w:tcPr>
          <w:p>
            <w:pPr>
              <w:spacing w:after="0"/>
              <w:rPr>
                <w:sz w:val="14"/>
                <w:szCs w:val="14"/>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22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570,679</w:t>
            </w:r>
          </w:p>
        </w:tc>
        <w:tc>
          <w:tcPr>
            <w:tcW w:w="200" w:type="dxa"/>
            <w:vAlign w:val="bottom"/>
            <w:gridSpan w:val="2"/>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(606 )</w:t>
            </w:r>
          </w:p>
        </w:tc>
        <w:tc>
          <w:tcPr>
            <w:tcW w:w="10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(226,518 )</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343,596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60" w:type="dxa"/>
            <w:vAlign w:val="bottom"/>
            <w:gridSpan w:val="2"/>
            <w:shd w:val="clear" w:color="auto" w:fill="CFF0FC"/>
          </w:tcPr>
          <w:p>
            <w:pPr>
              <w:ind w:left="200"/>
              <w:spacing w:after="0" w:line="137" w:lineRule="exact"/>
              <w:rPr>
                <w:sz w:val="20"/>
                <w:szCs w:val="20"/>
                <w:color w:val="auto"/>
              </w:rPr>
            </w:pPr>
            <w:r>
              <w:rPr>
                <w:rFonts w:ascii="Arial" w:cs="Arial" w:eastAsia="Arial" w:hAnsi="Arial"/>
                <w:sz w:val="14"/>
                <w:szCs w:val="14"/>
                <w:color w:val="auto"/>
              </w:rPr>
              <w:t>Issuance of common stock under</w:t>
            </w: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6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equity incentive plans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44,618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6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300"/>
              <w:spacing w:after="0"/>
              <w:rPr>
                <w:sz w:val="20"/>
                <w:szCs w:val="20"/>
                <w:color w:val="auto"/>
              </w:rPr>
            </w:pPr>
            <w:r>
              <w:rPr>
                <w:rFonts w:ascii="Arial" w:cs="Arial" w:eastAsia="Arial" w:hAnsi="Arial"/>
                <w:sz w:val="14"/>
                <w:szCs w:val="14"/>
                <w:color w:val="auto"/>
              </w:rPr>
              <w:t>employee stock purchase plan</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44,002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6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Unrealized loss on available-for-sale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300"/>
              <w:spacing w:after="0"/>
              <w:rPr>
                <w:sz w:val="20"/>
                <w:szCs w:val="20"/>
                <w:color w:val="auto"/>
              </w:rPr>
            </w:pPr>
            <w:r>
              <w:rPr>
                <w:rFonts w:ascii="Arial" w:cs="Arial" w:eastAsia="Arial" w:hAnsi="Arial"/>
                <w:sz w:val="14"/>
                <w:szCs w:val="14"/>
                <w:color w:val="auto"/>
              </w:rPr>
              <w:t>investments</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(650 )</w:t>
            </w:r>
          </w:p>
        </w:tc>
        <w:tc>
          <w:tcPr>
            <w:tcW w:w="100" w:type="dxa"/>
            <w:vAlign w:val="bottom"/>
          </w:tcPr>
          <w:p>
            <w:pPr>
              <w:spacing w:after="0"/>
              <w:rPr>
                <w:sz w:val="15"/>
                <w:szCs w:val="15"/>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(650 )</w:t>
            </w:r>
          </w:p>
        </w:tc>
        <w:tc>
          <w:tcPr>
            <w:tcW w:w="0" w:type="dxa"/>
            <w:vAlign w:val="bottom"/>
          </w:tcPr>
          <w:p>
            <w:pPr>
              <w:spacing w:after="0"/>
              <w:rPr>
                <w:sz w:val="1"/>
                <w:szCs w:val="1"/>
                <w:color w:val="auto"/>
              </w:rPr>
            </w:pPr>
          </w:p>
        </w:tc>
      </w:tr>
      <w:tr>
        <w:trPr>
          <w:trHeight w:val="176"/>
        </w:trPr>
        <w:tc>
          <w:tcPr>
            <w:tcW w:w="30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tcBorders>
              <w:right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4"/>
                <w:szCs w:val="14"/>
                <w:color w:val="auto"/>
              </w:rPr>
              <w:t>(32,920 )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(32,920 )</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40,745,252</w:t>
            </w:r>
          </w:p>
        </w:tc>
        <w:tc>
          <w:tcPr>
            <w:tcW w:w="240" w:type="dxa"/>
            <w:vAlign w:val="bottom"/>
            <w:gridSpan w:val="2"/>
          </w:tcPr>
          <w:p>
            <w:pPr>
              <w:spacing w:after="0"/>
              <w:rPr>
                <w:sz w:val="14"/>
                <w:szCs w:val="14"/>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22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576,972</w:t>
            </w:r>
          </w:p>
        </w:tc>
        <w:tc>
          <w:tcPr>
            <w:tcW w:w="200" w:type="dxa"/>
            <w:vAlign w:val="bottom"/>
            <w:gridSpan w:val="2"/>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(1,256 )</w:t>
            </w:r>
          </w:p>
        </w:tc>
        <w:tc>
          <w:tcPr>
            <w:tcW w:w="10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(259,438 )</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316,319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gridSpan w:val="5"/>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44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2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5"/>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39,844,522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548,327</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60" w:type="dxa"/>
            <w:vAlign w:val="bottom"/>
            <w:tcBorders>
              <w:right w:val="single" w:sz="8" w:color="CFF0FC"/>
            </w:tcBorders>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(118,522</w:t>
            </w:r>
          </w:p>
        </w:tc>
        <w:tc>
          <w:tcPr>
            <w:tcW w:w="200" w:type="dxa"/>
            <w:vAlign w:val="bottom"/>
            <w:tcBorders>
              <w:right w:val="single" w:sz="8" w:color="CFF0FC"/>
            </w:tcBorders>
            <w:shd w:val="clear" w:color="auto" w:fill="CFF0FC"/>
          </w:tcPr>
          <w:p>
            <w:pPr>
              <w:jc w:val="right"/>
              <w:ind w:right="90"/>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429,845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6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300"/>
              <w:spacing w:after="0"/>
              <w:rPr>
                <w:sz w:val="20"/>
                <w:szCs w:val="20"/>
                <w:color w:val="auto"/>
              </w:rPr>
            </w:pPr>
            <w:r>
              <w:rPr>
                <w:rFonts w:ascii="Arial" w:cs="Arial" w:eastAsia="Arial" w:hAnsi="Arial"/>
                <w:sz w:val="14"/>
                <w:szCs w:val="14"/>
                <w:color w:val="auto"/>
              </w:rPr>
              <w:t>equity incentive plans</w:t>
            </w:r>
          </w:p>
        </w:tc>
        <w:tc>
          <w:tcPr>
            <w:tcW w:w="960" w:type="dxa"/>
            <w:vAlign w:val="bottom"/>
          </w:tcPr>
          <w:p>
            <w:pPr>
              <w:jc w:val="right"/>
              <w:spacing w:after="0"/>
              <w:rPr>
                <w:sz w:val="20"/>
                <w:szCs w:val="20"/>
                <w:color w:val="auto"/>
              </w:rPr>
            </w:pPr>
            <w:r>
              <w:rPr>
                <w:rFonts w:ascii="Arial" w:cs="Arial" w:eastAsia="Arial" w:hAnsi="Arial"/>
                <w:sz w:val="14"/>
                <w:szCs w:val="14"/>
                <w:color w:val="auto"/>
              </w:rPr>
              <w:t>364,047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4"/>
                <w:szCs w:val="14"/>
                <w:color w:val="auto"/>
              </w:rPr>
              <w:t>(14,185 )</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(14,185 )</w:t>
            </w:r>
          </w:p>
        </w:tc>
        <w:tc>
          <w:tcPr>
            <w:tcW w:w="0" w:type="dxa"/>
            <w:vAlign w:val="bottom"/>
          </w:tcPr>
          <w:p>
            <w:pPr>
              <w:spacing w:after="0"/>
              <w:rPr>
                <w:sz w:val="1"/>
                <w:szCs w:val="1"/>
                <w:color w:val="auto"/>
              </w:rPr>
            </w:pPr>
          </w:p>
        </w:tc>
      </w:tr>
      <w:tr>
        <w:trPr>
          <w:trHeight w:val="169"/>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40,208,569</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551,151</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right w:val="single" w:sz="8" w:color="CFF0FC"/>
            </w:tcBorders>
            <w:shd w:val="clear" w:color="auto" w:fill="CFF0FC"/>
          </w:tcPr>
          <w:p>
            <w:pPr>
              <w:ind w:left="1000"/>
              <w:spacing w:after="0"/>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(132,707</w:t>
            </w:r>
          </w:p>
        </w:tc>
        <w:tc>
          <w:tcPr>
            <w:tcW w:w="200" w:type="dxa"/>
            <w:vAlign w:val="bottom"/>
            <w:tcBorders>
              <w:bottom w:val="single" w:sz="8" w:color="CFF0FC"/>
              <w:right w:val="single" w:sz="8" w:color="CFF0FC"/>
            </w:tcBorders>
            <w:shd w:val="clear" w:color="auto" w:fill="CFF0FC"/>
          </w:tcPr>
          <w:p>
            <w:pPr>
              <w:jc w:val="right"/>
              <w:ind w:right="90"/>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418,484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60" w:type="dxa"/>
            <w:vAlign w:val="bottom"/>
            <w:gridSpan w:val="2"/>
          </w:tcPr>
          <w:p>
            <w:pPr>
              <w:ind w:left="200"/>
              <w:spacing w:after="0" w:line="137" w:lineRule="exact"/>
              <w:rPr>
                <w:sz w:val="20"/>
                <w:szCs w:val="20"/>
                <w:color w:val="auto"/>
              </w:rPr>
            </w:pPr>
            <w:r>
              <w:rPr>
                <w:rFonts w:ascii="Arial" w:cs="Arial" w:eastAsia="Arial" w:hAnsi="Arial"/>
                <w:sz w:val="14"/>
                <w:szCs w:val="14"/>
                <w:color w:val="auto"/>
              </w:rPr>
              <w:t>Issuance of common stock under</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300"/>
              <w:spacing w:after="0"/>
              <w:rPr>
                <w:sz w:val="20"/>
                <w:szCs w:val="20"/>
                <w:color w:val="auto"/>
              </w:rPr>
            </w:pPr>
            <w:r>
              <w:rPr>
                <w:rFonts w:ascii="Arial" w:cs="Arial" w:eastAsia="Arial" w:hAnsi="Arial"/>
                <w:sz w:val="14"/>
                <w:szCs w:val="14"/>
                <w:color w:val="auto"/>
              </w:rPr>
              <w:t>equity incentive plans</w:t>
            </w:r>
          </w:p>
        </w:tc>
        <w:tc>
          <w:tcPr>
            <w:tcW w:w="960" w:type="dxa"/>
            <w:vAlign w:val="bottom"/>
          </w:tcPr>
          <w:p>
            <w:pPr>
              <w:jc w:val="right"/>
              <w:spacing w:after="0"/>
              <w:rPr>
                <w:sz w:val="20"/>
                <w:szCs w:val="20"/>
                <w:color w:val="auto"/>
              </w:rPr>
            </w:pPr>
            <w:r>
              <w:rPr>
                <w:rFonts w:ascii="Arial" w:cs="Arial" w:eastAsia="Arial" w:hAnsi="Arial"/>
                <w:sz w:val="14"/>
                <w:szCs w:val="14"/>
                <w:color w:val="auto"/>
              </w:rPr>
              <w:t>114,488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60" w:type="dxa"/>
            <w:vAlign w:val="bottom"/>
            <w:gridSpan w:val="2"/>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6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employee stock purchase plan</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gridSpan w:val="2"/>
          </w:tcPr>
          <w:p>
            <w:pPr>
              <w:ind w:left="20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tcBorders>
              <w:right w:val="single" w:sz="8" w:color="CFF0FC"/>
            </w:tcBorders>
            <w:shd w:val="clear" w:color="auto" w:fill="CFF0FC"/>
          </w:tcPr>
          <w:p>
            <w:pPr>
              <w:ind w:left="1000"/>
              <w:spacing w:after="0"/>
              <w:rPr>
                <w:sz w:val="20"/>
                <w:szCs w:val="20"/>
                <w:color w:val="auto"/>
              </w:rPr>
            </w:pPr>
            <w:r>
              <w:rPr>
                <w:rFonts w:ascii="Arial" w:cs="Arial" w:eastAsia="Arial" w:hAnsi="Arial"/>
                <w:sz w:val="14"/>
                <w:szCs w:val="14"/>
                <w:color w:val="auto"/>
                <w:w w:val="85"/>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4"/>
                <w:szCs w:val="14"/>
                <w:color w:val="auto"/>
              </w:rPr>
              <w:t>(16,274 )</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(16,274 )</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40,325,270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553,955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90"/>
              <w:spacing w:after="0"/>
              <w:rPr>
                <w:sz w:val="20"/>
                <w:szCs w:val="20"/>
                <w:color w:val="auto"/>
              </w:rPr>
            </w:pPr>
            <w:r>
              <w:rPr>
                <w:rFonts w:ascii="Arial" w:cs="Arial" w:eastAsia="Arial" w:hAnsi="Arial"/>
                <w:sz w:val="14"/>
                <w:szCs w:val="14"/>
                <w:color w:val="auto"/>
              </w:rPr>
              <w:t>(148,981 )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405,014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-3056890</wp:posOffset>
            </wp:positionV>
            <wp:extent cx="768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-3056890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-3056890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-3056890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-3056890</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-3056890</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-2087880</wp:posOffset>
            </wp:positionV>
            <wp:extent cx="768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-2087880</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-2087880</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-2087880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-2087880</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-2087880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-784860</wp:posOffset>
            </wp:positionV>
            <wp:extent cx="7747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-784860</wp:posOffset>
            </wp:positionV>
            <wp:extent cx="768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-784860</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-784860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-784860</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-784860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-142240</wp:posOffset>
            </wp:positionV>
            <wp:extent cx="7747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-142240</wp:posOffset>
            </wp:positionV>
            <wp:extent cx="768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-142240</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-142240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-142240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(57,453 )</w:t>
            </w: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(30,459 )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lease costs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11,337</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amortization of premiums and accretion of discounts on investments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(196 )</w:t>
            </w:r>
          </w:p>
        </w:tc>
        <w:tc>
          <w:tcPr>
            <w:tcW w:w="6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(531 )</w:t>
            </w: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7"/>
                <w:szCs w:val="17"/>
                <w:color w:val="auto"/>
              </w:rPr>
            </w:pPr>
          </w:p>
        </w:tc>
        <w:tc>
          <w:tcPr>
            <w:tcW w:w="14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(318 )</w:t>
            </w:r>
          </w:p>
        </w:tc>
        <w:tc>
          <w:tcPr>
            <w:tcW w:w="6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(9,038 )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5,116</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Payable and accrued liabilities due to related party</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894</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2,761</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7"/>
                <w:szCs w:val="17"/>
                <w:color w:val="auto"/>
              </w:rPr>
            </w:pPr>
          </w:p>
        </w:tc>
        <w:tc>
          <w:tcPr>
            <w:tcW w:w="14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(572 )</w:t>
            </w: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(37,672</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(25,757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investments</w:t>
            </w: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(279,207 )</w:t>
            </w:r>
          </w:p>
        </w:tc>
        <w:tc>
          <w:tcPr>
            <w:tcW w:w="6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Sales and maturities of investments</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(846 )</w:t>
            </w:r>
          </w:p>
        </w:tc>
        <w:tc>
          <w:tcPr>
            <w:tcW w:w="6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7"/>
                <w:szCs w:val="17"/>
                <w:color w:val="auto"/>
              </w:rPr>
            </w:pPr>
          </w:p>
        </w:tc>
        <w:tc>
          <w:tcPr>
            <w:tcW w:w="148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(260,053 )</w:t>
            </w:r>
          </w:p>
        </w:tc>
        <w:tc>
          <w:tcPr>
            <w:tcW w:w="64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 under equity incentive plan</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under employee stock purchase plan</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finance leases</w:t>
            </w:r>
          </w:p>
        </w:tc>
        <w:tc>
          <w:tcPr>
            <w:tcW w:w="340" w:type="dxa"/>
            <w:vAlign w:val="bottom"/>
          </w:tcPr>
          <w:p>
            <w:pPr>
              <w:spacing w:after="0"/>
              <w:rPr>
                <w:sz w:val="17"/>
                <w:szCs w:val="17"/>
                <w:color w:val="auto"/>
              </w:rPr>
            </w:pPr>
          </w:p>
        </w:tc>
        <w:tc>
          <w:tcPr>
            <w:tcW w:w="14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(140 )</w:t>
            </w:r>
          </w:p>
        </w:tc>
        <w:tc>
          <w:tcPr>
            <w:tcW w:w="6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502</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7"/>
                <w:szCs w:val="17"/>
                <w:color w:val="auto"/>
              </w:rPr>
            </w:pPr>
          </w:p>
        </w:tc>
        <w:tc>
          <w:tcPr>
            <w:tcW w:w="148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(297,223 )</w:t>
            </w:r>
          </w:p>
        </w:tc>
        <w:tc>
          <w:tcPr>
            <w:tcW w:w="64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(24,255 )</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363,667</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434,219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66,444</w:t>
            </w:r>
          </w:p>
        </w:tc>
        <w:tc>
          <w:tcPr>
            <w:tcW w:w="280" w:type="dxa"/>
            <w:vAlign w:val="bottom"/>
          </w:tcPr>
          <w:p>
            <w:pPr>
              <w:spacing w:after="0"/>
              <w:rPr>
                <w:sz w:val="17"/>
                <w:szCs w:val="17"/>
                <w:color w:val="auto"/>
              </w:rPr>
            </w:pPr>
          </w:p>
        </w:tc>
        <w:tc>
          <w:tcPr>
            <w:tcW w:w="6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Purchase of property and equipment in accounts payable and</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accrued expenses</w:t>
            </w:r>
          </w:p>
        </w:tc>
        <w:tc>
          <w:tcPr>
            <w:tcW w:w="340" w:type="dxa"/>
            <w:vAlign w:val="bottom"/>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 acquired under operating leases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4,684</w:t>
            </w:r>
          </w:p>
        </w:tc>
        <w:tc>
          <w:tcPr>
            <w:tcW w:w="280" w:type="dxa"/>
            <w:vAlign w:val="bottom"/>
          </w:tcPr>
          <w:p>
            <w:pPr>
              <w:spacing w:after="0"/>
              <w:rPr>
                <w:sz w:val="17"/>
                <w:szCs w:val="17"/>
                <w:color w:val="auto"/>
              </w:rPr>
            </w:pP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Right-of-use asset acquired under finance leases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66,378</w:t>
            </w:r>
          </w:p>
        </w:tc>
        <w:tc>
          <w:tcPr>
            <w:tcW w:w="280" w:type="dxa"/>
            <w:vAlign w:val="bottom"/>
          </w:tcPr>
          <w:p>
            <w:pPr>
              <w:spacing w:after="0"/>
              <w:rPr>
                <w:sz w:val="17"/>
                <w:szCs w:val="17"/>
                <w:color w:val="auto"/>
              </w:rPr>
            </w:pP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409,964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 (included in other assets)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Total cash and cash equivalents and restricted cash</w:t>
            </w: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66,444</w:t>
            </w:r>
          </w:p>
        </w:tc>
        <w:tc>
          <w:tcPr>
            <w:tcW w:w="280" w:type="dxa"/>
            <w:vAlign w:val="bottom"/>
            <w:tcBorders>
              <w:top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409,964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-2653665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-1856740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-1856740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-1590675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-1590675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-159385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spacing w:after="0" w:line="80"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The Company owns subsidiaries, consisting of ALX Oncology Limited, incorporated in Ireland; ALX Oncology Inc., incorporated in the United States, Alexo International Holdings Ltd, incorporated in Malta; ScalmiBio, Inc., incorporated in the United States,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47"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As of June 30, 2022,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7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165" w:lineRule="exact"/>
        <w:rPr>
          <w:sz w:val="20"/>
          <w:szCs w:val="20"/>
          <w:color w:val="auto"/>
        </w:rPr>
      </w:pPr>
    </w:p>
    <w:p>
      <w:pPr>
        <w:ind w:left="520" w:right="7560" w:hanging="512"/>
        <w:spacing w:after="0" w:line="362" w:lineRule="auto"/>
        <w:tabs>
          <w:tab w:leader="none" w:pos="26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Preparation</w:t>
      </w:r>
    </w:p>
    <w:p>
      <w:pPr>
        <w:spacing w:after="0" w:line="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or GAAP, and applicable rules and regulations of the Securities and Exchange Commission, or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2021 filed with the SEC on February 28, 2022.</w:t>
      </w:r>
    </w:p>
    <w:p>
      <w:pPr>
        <w:spacing w:after="0" w:line="6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condensed consolidated balance sheet as of June 30, 2022 included herein was derived from the audited financial statements as of that date, but does not include all disclosures including notes required by GAAP.</w:t>
      </w:r>
    </w:p>
    <w:p>
      <w:pPr>
        <w:spacing w:after="0" w:line="63" w:lineRule="exact"/>
        <w:rPr>
          <w:sz w:val="20"/>
          <w:szCs w:val="20"/>
          <w:color w:val="auto"/>
        </w:rPr>
      </w:pPr>
    </w:p>
    <w:p>
      <w:pPr>
        <w:ind w:right="420" w:firstLine="509"/>
        <w:spacing w:after="0" w:line="324" w:lineRule="auto"/>
        <w:rPr>
          <w:sz w:val="20"/>
          <w:szCs w:val="20"/>
          <w:color w:val="auto"/>
        </w:rPr>
      </w:pPr>
      <w:r>
        <w:rPr>
          <w:rFonts w:ascii="Arial" w:cs="Arial" w:eastAsia="Arial" w:hAnsi="Arial"/>
          <w:sz w:val="16"/>
          <w:szCs w:val="16"/>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2022.</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amounts in the prior period have been reclassified to conform to the current period presentation.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40" w:firstLine="509"/>
        <w:spacing w:after="0" w:line="276"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There have been no new or material changes to the significant accounting policies discussed in the Company’s Annual Report on Form 10-K for the year ended December 31, 2021 other than the below policy on Investments.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Investments consist of money market funds, U.S. Treasury securities, corporate debt securities, commercial paper, and asset-backed securities.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at date of purchase are considered long-term investments.</w:t>
      </w:r>
    </w:p>
    <w:p>
      <w:pPr>
        <w:spacing w:after="0" w:line="81" w:lineRule="exact"/>
        <w:rPr>
          <w:sz w:val="20"/>
          <w:szCs w:val="20"/>
          <w:color w:val="auto"/>
        </w:rPr>
      </w:pPr>
    </w:p>
    <w:p>
      <w:pPr>
        <w:ind w:right="200" w:firstLine="509"/>
        <w:spacing w:after="0" w:line="253" w:lineRule="auto"/>
        <w:rPr>
          <w:sz w:val="20"/>
          <w:szCs w:val="20"/>
          <w:color w:val="auto"/>
        </w:rPr>
      </w:pPr>
      <w:r>
        <w:rPr>
          <w:rFonts w:ascii="Arial" w:cs="Arial" w:eastAsia="Arial" w:hAnsi="Arial"/>
          <w:sz w:val="17"/>
          <w:szCs w:val="17"/>
          <w:color w:val="auto"/>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(expense), net in the condensed consolidated statements of operations, and an allowance for credit loss is recorded on the condensed consolidated balance sheets. In circumstances when the decline in fair value is non-credit related, the difference is reported in accumulated other comprehensive loss, net of tax as a separate component of consolidated stockholders’ equity.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08"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104" w:lineRule="exact"/>
        <w:rPr>
          <w:sz w:val="20"/>
          <w:szCs w:val="20"/>
          <w:color w:val="auto"/>
        </w:rPr>
      </w:pPr>
    </w:p>
    <w:p>
      <w:pPr>
        <w:ind w:left="520" w:right="20"/>
        <w:spacing w:after="0" w:line="248"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15"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Assets and liabilities measured at fair value are classified in their entirety based on the lowest level of input that is significant to the fair value measurement. The Company classifies money market funds and U.S. treasury securities as Level 1 within the fair value hierarchy as the fair value is based on quoted prices. The Company classifies its investments in corporate debt securities, commercial paper, and asset-backed securities as Level 2 within the fair value hierarchy as the fair value is estimated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1" w:name="page12"/>
    <w:bookmarkEnd w:id="11"/>
    <w:p>
      <w:pPr>
        <w:ind w:right="720" w:firstLine="509"/>
        <w:spacing w:after="0" w:line="291" w:lineRule="auto"/>
        <w:rPr>
          <w:sz w:val="20"/>
          <w:szCs w:val="20"/>
          <w:color w:val="auto"/>
        </w:rPr>
      </w:pPr>
      <w:r>
        <w:rPr>
          <w:rFonts w:ascii="Arial" w:cs="Arial" w:eastAsia="Arial" w:hAnsi="Arial"/>
          <w:sz w:val="17"/>
          <w:szCs w:val="17"/>
          <w:color w:val="auto"/>
        </w:rPr>
        <w:t>The following table presents the Company's investments, which consist of cash equivalents and investments classified as available-for-sale investments, that are measured at fair value on a recurring basis as of June 30, 2022 and December 31, 2021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0"/>
              <w:spacing w:after="0" w:line="156" w:lineRule="exact"/>
              <w:rPr>
                <w:sz w:val="20"/>
                <w:szCs w:val="20"/>
                <w:color w:val="auto"/>
              </w:rPr>
            </w:pPr>
            <w:r>
              <w:rPr>
                <w:rFonts w:ascii="Arial" w:cs="Arial" w:eastAsia="Arial" w:hAnsi="Arial"/>
                <w:sz w:val="18"/>
                <w:szCs w:val="18"/>
                <w:b w:val="1"/>
                <w:bCs w:val="1"/>
                <w:color w:val="auto"/>
                <w:w w:val="95"/>
              </w:rPr>
              <w:t>Fair Value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w w:val="94"/>
              </w:rPr>
              <w:t>Unrealized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3"/>
              </w:rPr>
              <w:t>Hierarchy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w w:val="99"/>
              </w:rPr>
              <w:t>Unrealized 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Level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Money market funds</w:t>
            </w:r>
          </w:p>
        </w:tc>
        <w:tc>
          <w:tcPr>
            <w:tcW w:w="1280" w:type="dxa"/>
            <w:vAlign w:val="bottom"/>
            <w:tcBorders>
              <w:top w:val="single" w:sz="8" w:color="auto"/>
            </w:tcBorders>
            <w:gridSpan w:val="2"/>
            <w:shd w:val="clear" w:color="auto" w:fill="CFF0FC"/>
          </w:tcPr>
          <w:p>
            <w:pPr>
              <w:jc w:val="center"/>
              <w:ind w:right="20"/>
              <w:spacing w:after="0" w:line="196" w:lineRule="exact"/>
              <w:rPr>
                <w:sz w:val="20"/>
                <w:szCs w:val="20"/>
                <w:color w:val="auto"/>
              </w:rPr>
            </w:pPr>
            <w:r>
              <w:rPr>
                <w:rFonts w:ascii="Arial" w:cs="Arial" w:eastAsia="Arial" w:hAnsi="Arial"/>
                <w:sz w:val="18"/>
                <w:szCs w:val="18"/>
                <w:color w:val="auto"/>
                <w:w w:val="92"/>
              </w:rPr>
              <w:t>Level 1</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55,205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FF0FC"/>
          </w:tcPr>
          <w:p>
            <w:pPr>
              <w:ind w:left="102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55,205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2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2"/>
              </w:rPr>
              <w:t>Level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96,129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ind w:left="10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(676 )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95,453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128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2"/>
              </w:rPr>
              <w:t>Level 2</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68,661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ind w:left="10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(495 )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12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74,359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ind w:left="10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Asset-backed securities</w:t>
            </w:r>
          </w:p>
        </w:tc>
        <w:tc>
          <w:tcPr>
            <w:tcW w:w="128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2"/>
              </w:rPr>
              <w:t>Level 2</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9,053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ind w:left="10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(43 )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28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2"/>
              </w:rPr>
              <w:t>Level 1</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ind w:left="10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12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ind w:left="10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(42 )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314,309</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FF0FC"/>
          </w:tcPr>
          <w:p>
            <w:pPr>
              <w:ind w:left="102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(1,256</w:t>
            </w:r>
          </w:p>
        </w:tc>
        <w:tc>
          <w:tcPr>
            <w:tcW w:w="260" w:type="dxa"/>
            <w:vAlign w:val="bottom"/>
            <w:tcBorders>
              <w:bottom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313,053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3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3"/>
              </w:rPr>
              <w:t>December 31, 2021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00"/>
              <w:spacing w:after="0" w:line="156" w:lineRule="exact"/>
              <w:rPr>
                <w:sz w:val="20"/>
                <w:szCs w:val="20"/>
                <w:color w:val="auto"/>
              </w:rPr>
            </w:pPr>
            <w:r>
              <w:rPr>
                <w:rFonts w:ascii="Arial" w:cs="Arial" w:eastAsia="Arial" w:hAnsi="Arial"/>
                <w:sz w:val="18"/>
                <w:szCs w:val="18"/>
                <w:b w:val="1"/>
                <w:bCs w:val="1"/>
                <w:color w:val="auto"/>
                <w:w w:val="92"/>
              </w:rPr>
              <w:t>Fair Value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7"/>
              </w:rPr>
              <w:t>Amortized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93"/>
              </w:rPr>
              <w:t>Hierarchy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vMerge w:val="restart"/>
          </w:tcPr>
          <w:p>
            <w:pPr>
              <w:jc w:val="right"/>
              <w:ind w:right="260"/>
              <w:spacing w:after="0"/>
              <w:rPr>
                <w:sz w:val="20"/>
                <w:szCs w:val="20"/>
                <w:color w:val="auto"/>
              </w:rPr>
            </w:pPr>
            <w:r>
              <w:rPr>
                <w:rFonts w:ascii="Arial" w:cs="Arial" w:eastAsia="Arial" w:hAnsi="Arial"/>
                <w:sz w:val="18"/>
                <w:szCs w:val="18"/>
                <w:b w:val="1"/>
                <w:bCs w:val="1"/>
                <w:color w:val="auto"/>
                <w:w w:val="90"/>
              </w:rPr>
              <w:t>Unrealized 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Level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8"/>
                <w:szCs w:val="18"/>
                <w:color w:val="auto"/>
              </w:rPr>
            </w:pPr>
          </w:p>
        </w:tc>
        <w:tc>
          <w:tcPr>
            <w:tcW w:w="16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Level 1</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gridSpan w:val="2"/>
            <w:shd w:val="clear" w:color="auto" w:fill="CFF0FC"/>
          </w:tcPr>
          <w:p>
            <w:pPr>
              <w:ind w:left="92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-848360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-831215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-848360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-831215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-848360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-831215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fair value of cash equivalents and available-for-sale investments by classification included in the condensed consolidated balance sheets was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r>
      <w:tr>
        <w:trPr>
          <w:trHeight w:val="221"/>
        </w:trPr>
        <w:tc>
          <w:tcPr>
            <w:tcW w:w="6660" w:type="dxa"/>
            <w:vAlign w:val="bottom"/>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6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FF0FC"/>
          </w:tcPr>
          <w:p>
            <w:pPr>
              <w:jc w:val="right"/>
              <w:ind w:right="12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55,205</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246,988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4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10,860</w:t>
            </w:r>
          </w:p>
        </w:tc>
        <w:tc>
          <w:tcPr>
            <w:tcW w:w="3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400" w:type="dxa"/>
            <w:vAlign w:val="bottom"/>
          </w:tcPr>
          <w:p>
            <w:pPr>
              <w:jc w:val="right"/>
              <w:ind w:right="12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313,053</w:t>
            </w:r>
          </w:p>
        </w:tc>
        <w:tc>
          <w:tcPr>
            <w:tcW w:w="6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357,181</w:t>
            </w:r>
          </w:p>
        </w:tc>
        <w:tc>
          <w:tcPr>
            <w:tcW w:w="10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-159385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Cash and cash equivalents in the above table excludes bank account cash of $11.2 million and $6.5 million as of June 30, 2022 and December 31, 2021, respectively.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cash equivalents and available-for-sale investments by contractual maturity was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r>
      <w:tr>
        <w:trPr>
          <w:trHeight w:val="221"/>
        </w:trPr>
        <w:tc>
          <w:tcPr>
            <w:tcW w:w="6660" w:type="dxa"/>
            <w:vAlign w:val="bottom"/>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6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Maturing in one year or less</w:t>
            </w:r>
          </w:p>
        </w:tc>
        <w:tc>
          <w:tcPr>
            <w:tcW w:w="1400" w:type="dxa"/>
            <w:vAlign w:val="bottom"/>
            <w:shd w:val="clear" w:color="auto" w:fill="CFF0FC"/>
          </w:tcPr>
          <w:p>
            <w:pPr>
              <w:jc w:val="right"/>
              <w:ind w:right="12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302,193</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Maturing after one year through five years</w:t>
            </w:r>
          </w:p>
        </w:tc>
        <w:tc>
          <w:tcPr>
            <w:tcW w:w="1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10,860</w:t>
            </w: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6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FF0FC"/>
          </w:tcPr>
          <w:p>
            <w:pPr>
              <w:jc w:val="right"/>
              <w:ind w:right="12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313,053</w:t>
            </w:r>
          </w:p>
        </w:tc>
        <w:tc>
          <w:tcPr>
            <w:tcW w:w="3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spacing w:after="0" w:line="7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There were no transfers of financial instruments between the fair value measurement levels during the three months and six months ended June 30, 2022 and 2021 and there were no financial instruments classified as Level 3 as of June 30, 2022.</w:t>
      </w:r>
    </w:p>
    <w:p>
      <w:pPr>
        <w:spacing w:after="0" w:line="6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As of June 30, 2022, accrued interest receivable related to the Company's investments was $0.9 million and was included in prepaid expenses and other current assets on the condensed consolidated balance sheet.</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As of June 30, 2022,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June 30, 2022, no allowance for credit losses for the Company's investments was recorded. During the three months and six months ended June 30, 2022, the Company did not recognize any impairment losses related to investments.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ind w:left="520" w:right="8120" w:hanging="512"/>
        <w:spacing w:after="0" w:line="383" w:lineRule="auto"/>
        <w:tabs>
          <w:tab w:leader="none" w:pos="26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 Net</w:t>
      </w:r>
    </w:p>
    <w:p>
      <w:pPr>
        <w:spacing w:after="0" w:line="1"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June 30, 2022 and December 31, 2021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r>
      <w:tr>
        <w:trPr>
          <w:trHeight w:val="221"/>
        </w:trPr>
        <w:tc>
          <w:tcPr>
            <w:tcW w:w="756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1140" w:type="dxa"/>
            <w:vAlign w:val="bottom"/>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Computer hardware and software</w:t>
            </w:r>
          </w:p>
        </w:tc>
        <w:tc>
          <w:tcPr>
            <w:tcW w:w="11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1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5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Property and equipment, gross</w:t>
            </w:r>
          </w:p>
        </w:tc>
        <w:tc>
          <w:tcPr>
            <w:tcW w:w="1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1,835</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960</w:t>
            </w:r>
          </w:p>
        </w:tc>
        <w:tc>
          <w:tcPr>
            <w:tcW w:w="100" w:type="dxa"/>
            <w:vAlign w:val="bottom"/>
            <w:tcBorders>
              <w:top w:val="single" w:sz="8" w:color="CFF0FC"/>
            </w:tcBorders>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(205 )</w:t>
            </w: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(63 )</w:t>
            </w:r>
          </w:p>
        </w:tc>
      </w:tr>
      <w:tr>
        <w:trPr>
          <w:trHeight w:val="196"/>
        </w:trPr>
        <w:tc>
          <w:tcPr>
            <w:tcW w:w="75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Property and equipment, net</w:t>
            </w:r>
          </w:p>
        </w:tc>
        <w:tc>
          <w:tcPr>
            <w:tcW w:w="1140" w:type="dxa"/>
            <w:vAlign w:val="bottom"/>
            <w:tcBorders>
              <w:top w:val="single" w:sz="8" w:color="auto"/>
              <w:bottom w:val="single" w:sz="8" w:color="auto"/>
            </w:tcBorders>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1,630</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897</w:t>
            </w:r>
          </w:p>
        </w:tc>
        <w:tc>
          <w:tcPr>
            <w:tcW w:w="100" w:type="dxa"/>
            <w:vAlign w:val="bottom"/>
            <w:tcBorders>
              <w:top w:val="single" w:sz="8" w:color="CFF0FC"/>
            </w:tcBorders>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-424815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-159385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Depreciation and amortization expense was $0.1 million for the three months and six months ended June 30, 2022, and nominal for the three months and six months ended June 30, 2021.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other assets as of June 30, 2022 and December 31, 2021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7"/>
                <w:szCs w:val="17"/>
                <w:color w:val="auto"/>
              </w:rPr>
            </w:pPr>
          </w:p>
        </w:tc>
      </w:tr>
      <w:tr>
        <w:trPr>
          <w:trHeight w:val="221"/>
        </w:trPr>
        <w:tc>
          <w:tcPr>
            <w:tcW w:w="7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prepaid clinical expenses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7,012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6,694</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Long-term prepaid contract manufacturing costs</w:t>
            </w: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2,854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2,854</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1,829</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Finance lease right-of-use assets</w:t>
            </w: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522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Deposits</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76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16,681</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0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following table presents the components of accrued expenses and other current liabilities as of June 30, 2022 and December 31, 2021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r>
      <w:tr>
        <w:trPr>
          <w:trHeight w:val="221"/>
        </w:trPr>
        <w:tc>
          <w:tcPr>
            <w:tcW w:w="7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clinical and nonclinical study costs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4,237</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4,125</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Accrued compensation and related expenses</w:t>
            </w: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3,603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3,294</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contract manufacturing</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current</w:t>
            </w: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Finance lease liabilities, current</w:t>
            </w: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tcPr>
          <w:p>
            <w:pPr>
              <w:spacing w:after="0"/>
              <w:rPr>
                <w:sz w:val="17"/>
                <w:szCs w:val="17"/>
                <w:color w:val="auto"/>
              </w:rPr>
            </w:pP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563</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12,747</w:t>
            </w:r>
          </w:p>
        </w:tc>
        <w:tc>
          <w:tcPr>
            <w:tcW w:w="5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9,901</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-159385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conjunction with the adoption of ASC 842, 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expire in August 2023 with no stated option to extend the term. The Company classified the leases as finance leases.</w:t>
      </w:r>
    </w:p>
    <w:p>
      <w:pPr>
        <w:spacing w:after="0" w:line="80"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is approximately $2.0 million. The Company classified the lease as an operating lease.</w:t>
      </w: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ind w:right="80" w:firstLine="509"/>
        <w:spacing w:after="0" w:line="254" w:lineRule="auto"/>
        <w:rPr>
          <w:sz w:val="20"/>
          <w:szCs w:val="20"/>
          <w:color w:val="auto"/>
        </w:rPr>
      </w:pPr>
      <w:r>
        <w:rPr>
          <w:rFonts w:ascii="Arial" w:cs="Arial" w:eastAsia="Arial" w:hAnsi="Arial"/>
          <w:sz w:val="17"/>
          <w:szCs w:val="17"/>
          <w:color w:val="auto"/>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premise commenced in February 2022 and the second premise commenced in April 2022. The lease provides for an annual base rent of approximately $0.8 million, which increases on an annual basis by 3%. The total lease payments for the life of the lease are approximately $7.0 million. The Company is also responsible for leasehold improvement costs related to the second premise, which are expected to be approximately $2.0 million, of which $1.5 million is to be paid with interest at a rate of 7% per annum as additional payments over the life of the lease. The Company classified the lease as an operating lease. Under the terms of the lease agreement, the Company issued a letter of credit to the landlord in the amount of $0.1 million, which is collateralized by a restricted cash deposit of $0.1 million (see Note 4 "Other assets").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2022, the right-of-use asset, or ROU, recorded for operating leases and finance leases was $6.1 million and $0.5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amounts were included in other assets on the condensed consolidated balance sheets.</w:t>
      </w:r>
    </w:p>
    <w:p>
      <w:pPr>
        <w:spacing w:after="0" w:line="8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following table presents the maturities and balance sheet information of the Company's operating and finance lease liabilities as of June 30, 2022 (in thousands, except lease term and discount rate):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231"/>
              <w:spacing w:after="0"/>
              <w:rPr>
                <w:sz w:val="20"/>
                <w:szCs w:val="20"/>
                <w:color w:val="auto"/>
              </w:rPr>
            </w:pPr>
            <w:r>
              <w:rPr>
                <w:rFonts w:ascii="Arial" w:cs="Arial" w:eastAsia="Arial" w:hAnsi="Arial"/>
                <w:sz w:val="18"/>
                <w:szCs w:val="18"/>
                <w:b w:val="1"/>
                <w:bCs w:val="1"/>
                <w:color w:val="auto"/>
              </w:rPr>
              <w:t>June 30, 2022</w:t>
            </w:r>
          </w:p>
        </w:tc>
        <w:tc>
          <w:tcPr>
            <w:tcW w:w="160" w:type="dxa"/>
            <w:vAlign w:val="bottom"/>
            <w:gridSpan w:val="2"/>
          </w:tcPr>
          <w:p>
            <w:pPr>
              <w:spacing w:after="0"/>
              <w:rPr>
                <w:sz w:val="19"/>
                <w:szCs w:val="19"/>
                <w:color w:val="auto"/>
              </w:rPr>
            </w:pPr>
          </w:p>
        </w:tc>
      </w:tr>
      <w:tr>
        <w:trPr>
          <w:trHeight w:val="183"/>
        </w:trPr>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Operating Leases</w:t>
            </w:r>
          </w:p>
        </w:tc>
        <w:tc>
          <w:tcPr>
            <w:tcW w:w="240" w:type="dxa"/>
            <w:vAlign w:val="bottom"/>
          </w:tcPr>
          <w:p>
            <w:pPr>
              <w:spacing w:after="0"/>
              <w:rPr>
                <w:sz w:val="15"/>
                <w:szCs w:val="15"/>
                <w:color w:val="auto"/>
              </w:rPr>
            </w:pPr>
          </w:p>
        </w:tc>
        <w:tc>
          <w:tcPr>
            <w:tcW w:w="16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 (remaining 6 months)</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1,311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8,572</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7"/>
                <w:szCs w:val="17"/>
                <w:color w:val="auto"/>
              </w:rPr>
            </w:pPr>
          </w:p>
        </w:tc>
        <w:tc>
          <w:tcPr>
            <w:tcW w:w="1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(2,227 )</w:t>
            </w:r>
          </w:p>
        </w:tc>
        <w:tc>
          <w:tcPr>
            <w:tcW w:w="240" w:type="dxa"/>
            <w:vAlign w:val="bottom"/>
          </w:tcPr>
          <w:p>
            <w:pPr>
              <w:spacing w:after="0"/>
              <w:rPr>
                <w:sz w:val="17"/>
                <w:szCs w:val="17"/>
                <w:color w:val="auto"/>
              </w:rPr>
            </w:pP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60" w:type="dxa"/>
            <w:vAlign w:val="bottom"/>
          </w:tcPr>
          <w:p>
            <w:pPr>
              <w:spacing w:after="0"/>
              <w:rPr>
                <w:sz w:val="17"/>
                <w:szCs w:val="17"/>
                <w:color w:val="auto"/>
              </w:rPr>
            </w:pPr>
          </w:p>
        </w:tc>
      </w:tr>
      <w:tr>
        <w:trPr>
          <w:trHeight w:val="236"/>
        </w:trPr>
        <w:tc>
          <w:tcPr>
            <w:tcW w:w="74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6,345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499</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183"/>
        </w:trPr>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Lease liabilities: current </w:t>
            </w:r>
            <w:r>
              <w:rPr>
                <w:rFonts w:ascii="Arial" w:cs="Arial" w:eastAsia="Arial" w:hAnsi="Arial"/>
                <w:sz w:val="23"/>
                <w:szCs w:val="23"/>
                <w:color w:val="auto"/>
                <w:vertAlign w:val="superscript"/>
              </w:rPr>
              <w:t>(i)</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Lease liabilities: non-current </w:t>
            </w:r>
            <w:r>
              <w:rPr>
                <w:rFonts w:ascii="Arial" w:cs="Arial" w:eastAsia="Arial" w:hAnsi="Arial"/>
                <w:sz w:val="23"/>
                <w:szCs w:val="23"/>
                <w:color w:val="auto"/>
                <w:vertAlign w:val="superscript"/>
              </w:rPr>
              <w:t>(ii)</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5,677</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74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6,345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499</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183"/>
        </w:trPr>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8.3 %</w:t>
            </w:r>
          </w:p>
        </w:tc>
        <w:tc>
          <w:tcPr>
            <w:tcW w:w="2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-977265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-960120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-977265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-960120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-428625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-411480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-428625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 w:lineRule="exact"/>
        <w:rPr>
          <w:sz w:val="20"/>
          <w:szCs w:val="20"/>
          <w:color w:val="auto"/>
        </w:rPr>
      </w:pPr>
    </w:p>
    <w:p>
      <w:pPr>
        <w:ind w:left="760" w:right="700" w:hanging="378"/>
        <w:spacing w:after="0" w:line="291"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Current lease liabilities are presented within accrued expenses and other current liabilities and payable and accrued liabilities due to related party on the condensed consolidated balance sheets and includes a nominal amount due to Tallac Therapeutics, Inc. for an operating lease.</w:t>
      </w:r>
    </w:p>
    <w:p>
      <w:pPr>
        <w:spacing w:after="0" w:line="40" w:lineRule="exact"/>
        <w:rPr>
          <w:rFonts w:ascii="Arial" w:cs="Arial" w:eastAsia="Arial" w:hAnsi="Arial"/>
          <w:sz w:val="15"/>
          <w:szCs w:val="15"/>
          <w:color w:val="auto"/>
        </w:rPr>
      </w:pPr>
    </w:p>
    <w:p>
      <w:pPr>
        <w:ind w:left="760" w:hanging="378"/>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Non-current lease liabilities are presented within other non-current liabilities on the condensed consolidated balance sheets.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lease costs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25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21"/>
        </w:trPr>
        <w:tc>
          <w:tcPr>
            <w:tcW w:w="50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0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7"/>
                <w:szCs w:val="17"/>
                <w:color w:val="auto"/>
              </w:rPr>
            </w:pPr>
          </w:p>
        </w:tc>
        <w:tc>
          <w:tcPr>
            <w:tcW w:w="1260" w:type="dxa"/>
            <w:vAlign w:val="bottom"/>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880" w:type="dxa"/>
            <w:vAlign w:val="bottom"/>
            <w:tcBorders>
              <w:top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w:t>
            </w: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520</w:t>
            </w:r>
          </w:p>
        </w:tc>
        <w:tc>
          <w:tcPr>
            <w:tcW w:w="26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Variable lease cost and other, net </w:t>
            </w:r>
            <w:r>
              <w:rPr>
                <w:rFonts w:ascii="Arial" w:cs="Arial" w:eastAsia="Arial" w:hAnsi="Arial"/>
                <w:sz w:val="23"/>
                <w:szCs w:val="23"/>
                <w:color w:val="auto"/>
                <w:vertAlign w:val="superscript"/>
              </w:rPr>
              <w:t>(i)</w:t>
            </w:r>
          </w:p>
        </w:tc>
        <w:tc>
          <w:tcPr>
            <w:tcW w:w="8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right-of-use assets</w:t>
            </w: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Interest</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36"/>
        </w:trPr>
        <w:tc>
          <w:tcPr>
            <w:tcW w:w="50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costs</w:t>
            </w:r>
          </w:p>
        </w:tc>
        <w:tc>
          <w:tcPr>
            <w:tcW w:w="880" w:type="dxa"/>
            <w:vAlign w:val="bottom"/>
            <w:tcBorders>
              <w:bottom w:val="single" w:sz="8" w:color="auto"/>
            </w:tcBorders>
            <w:shd w:val="clear" w:color="auto" w:fill="CFF0FC"/>
          </w:tcPr>
          <w:p>
            <w:pPr>
              <w:jc w:val="right"/>
              <w:ind w:right="69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515</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10"/>
              <w:spacing w:after="0" w:line="182"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975</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left="760" w:right="260" w:hanging="378"/>
        <w:spacing w:after="0" w:line="239"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variable lease cost and other, net is comprised primarily of common area maintenance charges for the operating lease, which is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presents the supplemental cash flow disclosures for cash paid for leases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Six Months Ended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0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10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cash flows from finance leases</w:t>
            </w:r>
          </w:p>
        </w:tc>
        <w:tc>
          <w:tcPr>
            <w:tcW w:w="42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20" w:type="dxa"/>
            <w:vAlign w:val="bottom"/>
            <w:gridSpan w:val="2"/>
            <w:shd w:val="clear" w:color="auto" w:fill="CFF0FC"/>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Financing cash flows from finance leases</w:t>
            </w: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0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 acquired under leases</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340"/>
              <w:spacing w:after="0" w:line="202" w:lineRule="exact"/>
              <w:rPr>
                <w:sz w:val="20"/>
                <w:szCs w:val="20"/>
                <w:color w:val="auto"/>
              </w:rPr>
            </w:pPr>
            <w:r>
              <w:rPr>
                <w:rFonts w:ascii="Arial" w:cs="Arial" w:eastAsia="Arial" w:hAnsi="Arial"/>
                <w:sz w:val="18"/>
                <w:szCs w:val="18"/>
                <w:color w:val="auto"/>
              </w:rPr>
              <w:t>Operating leases</w:t>
            </w: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4,684</w:t>
            </w:r>
          </w:p>
        </w:tc>
        <w:tc>
          <w:tcPr>
            <w:tcW w:w="10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1,812</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Finance leases</w:t>
            </w:r>
          </w:p>
        </w:tc>
        <w:tc>
          <w:tcPr>
            <w:tcW w:w="42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08" w:lineRule="exact"/>
        <w:rPr>
          <w:sz w:val="20"/>
          <w:szCs w:val="20"/>
          <w:color w:val="auto"/>
        </w:rPr>
      </w:pPr>
    </w:p>
    <w:p>
      <w:pPr>
        <w:jc w:val="both"/>
        <w:ind w:right="120" w:firstLine="509"/>
        <w:spacing w:after="0" w:line="270" w:lineRule="auto"/>
        <w:rPr>
          <w:sz w:val="20"/>
          <w:szCs w:val="20"/>
          <w:color w:val="auto"/>
        </w:rPr>
      </w:pPr>
      <w:r>
        <w:rPr>
          <w:rFonts w:ascii="Arial" w:cs="Arial" w:eastAsia="Arial" w:hAnsi="Arial"/>
          <w:sz w:val="17"/>
          <w:szCs w:val="17"/>
          <w:color w:val="auto"/>
        </w:rPr>
        <w:t>On July 21, 2020, the Company’s amended and restated certificate of incorporation became effective, authorizing 1,000,000,000 shares of common stock, $0.001 par value per share, and 100,000,000 shares of undesignated preferred stock, $0.001 par value per share. As of June 30, 2022 and December 31, 2021, the Company had 40,745,252 and 40,587,067 shares of common stock outstanding, respectively.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520"/>
              <w:spacing w:after="0"/>
              <w:rPr>
                <w:sz w:val="20"/>
                <w:szCs w:val="20"/>
                <w:color w:val="auto"/>
              </w:rPr>
            </w:pPr>
            <w:r>
              <w:rPr>
                <w:rFonts w:ascii="Arial" w:cs="Arial" w:eastAsia="Arial" w:hAnsi="Arial"/>
                <w:sz w:val="18"/>
                <w:szCs w:val="18"/>
                <w:color w:val="auto"/>
              </w:rPr>
              <w:t>Common stock reserved for future issuance as of June 30, 2022 consists of the following:</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9"/>
        </w:trPr>
        <w:tc>
          <w:tcPr>
            <w:tcW w:w="8680" w:type="dxa"/>
            <w:vAlign w:val="bottom"/>
          </w:tcPr>
          <w:p>
            <w:pPr>
              <w:spacing w:after="0"/>
              <w:rPr>
                <w:sz w:val="24"/>
                <w:szCs w:val="24"/>
                <w:color w:val="auto"/>
              </w:rPr>
            </w:pPr>
          </w:p>
        </w:tc>
        <w:tc>
          <w:tcPr>
            <w:tcW w:w="2460" w:type="dxa"/>
            <w:vAlign w:val="bottom"/>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r>
      <w:tr>
        <w:trPr>
          <w:trHeight w:val="221"/>
        </w:trPr>
        <w:tc>
          <w:tcPr>
            <w:tcW w:w="8680" w:type="dxa"/>
            <w:vAlign w:val="bottom"/>
          </w:tcPr>
          <w:p>
            <w:pPr>
              <w:spacing w:after="0"/>
              <w:rPr>
                <w:sz w:val="19"/>
                <w:szCs w:val="19"/>
                <w:color w:val="auto"/>
              </w:rPr>
            </w:pPr>
          </w:p>
        </w:tc>
        <w:tc>
          <w:tcPr>
            <w:tcW w:w="24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196"/>
        </w:trPr>
        <w:tc>
          <w:tcPr>
            <w:tcW w:w="8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issued and outstanding</w:t>
            </w:r>
          </w:p>
        </w:tc>
        <w:tc>
          <w:tcPr>
            <w:tcW w:w="2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5,231,363</w:t>
            </w:r>
          </w:p>
        </w:tc>
        <w:tc>
          <w:tcPr>
            <w:tcW w:w="100" w:type="dxa"/>
            <w:vAlign w:val="bottom"/>
            <w:shd w:val="clear" w:color="auto" w:fill="CFF0FC"/>
          </w:tcPr>
          <w:p>
            <w:pPr>
              <w:spacing w:after="0"/>
              <w:rPr>
                <w:sz w:val="17"/>
                <w:szCs w:val="17"/>
                <w:color w:val="auto"/>
              </w:rPr>
            </w:pPr>
          </w:p>
        </w:tc>
      </w:tr>
      <w:tr>
        <w:trPr>
          <w:trHeight w:val="203"/>
        </w:trPr>
        <w:tc>
          <w:tcPr>
            <w:tcW w:w="8680" w:type="dxa"/>
            <w:vAlign w:val="bottom"/>
          </w:tcPr>
          <w:p>
            <w:pPr>
              <w:ind w:left="20"/>
              <w:spacing w:after="0" w:line="202" w:lineRule="exact"/>
              <w:rPr>
                <w:sz w:val="20"/>
                <w:szCs w:val="20"/>
                <w:color w:val="auto"/>
              </w:rPr>
            </w:pPr>
            <w:r>
              <w:rPr>
                <w:rFonts w:ascii="Arial" w:cs="Arial" w:eastAsia="Arial" w:hAnsi="Arial"/>
                <w:sz w:val="18"/>
                <w:szCs w:val="18"/>
                <w:color w:val="auto"/>
              </w:rPr>
              <w:t>Stock options authorized for future issuance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4,335,987</w:t>
            </w:r>
          </w:p>
        </w:tc>
        <w:tc>
          <w:tcPr>
            <w:tcW w:w="100" w:type="dxa"/>
            <w:vAlign w:val="bottom"/>
          </w:tcPr>
          <w:p>
            <w:pPr>
              <w:spacing w:after="0"/>
              <w:rPr>
                <w:sz w:val="17"/>
                <w:szCs w:val="17"/>
                <w:color w:val="auto"/>
              </w:rPr>
            </w:pPr>
          </w:p>
        </w:tc>
      </w:tr>
      <w:tr>
        <w:trPr>
          <w:trHeight w:val="203"/>
        </w:trPr>
        <w:tc>
          <w:tcPr>
            <w:tcW w:w="8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Stock Purchase Plan shares authorized for future issuance</w:t>
            </w:r>
          </w:p>
        </w:tc>
        <w:tc>
          <w:tcPr>
            <w:tcW w:w="2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1,152,691</w:t>
            </w:r>
          </w:p>
        </w:tc>
        <w:tc>
          <w:tcPr>
            <w:tcW w:w="100" w:type="dxa"/>
            <w:vAlign w:val="bottom"/>
            <w:shd w:val="clear" w:color="auto" w:fill="CFF0FC"/>
          </w:tcPr>
          <w:p>
            <w:pPr>
              <w:spacing w:after="0"/>
              <w:rPr>
                <w:sz w:val="17"/>
                <w:szCs w:val="17"/>
                <w:color w:val="auto"/>
              </w:rPr>
            </w:pPr>
          </w:p>
        </w:tc>
      </w:tr>
      <w:tr>
        <w:trPr>
          <w:trHeight w:val="203"/>
        </w:trPr>
        <w:tc>
          <w:tcPr>
            <w:tcW w:w="868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issued and outstanding</w:t>
            </w:r>
          </w:p>
        </w:tc>
        <w:tc>
          <w:tcPr>
            <w:tcW w:w="2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493,562</w:t>
            </w:r>
          </w:p>
        </w:tc>
        <w:tc>
          <w:tcPr>
            <w:tcW w:w="100" w:type="dxa"/>
            <w:vAlign w:val="bottom"/>
          </w:tcPr>
          <w:p>
            <w:pPr>
              <w:spacing w:after="0"/>
              <w:rPr>
                <w:sz w:val="17"/>
                <w:szCs w:val="17"/>
                <w:color w:val="auto"/>
              </w:rPr>
            </w:pPr>
          </w:p>
        </w:tc>
      </w:tr>
      <w:tr>
        <w:trPr>
          <w:trHeight w:val="236"/>
        </w:trPr>
        <w:tc>
          <w:tcPr>
            <w:tcW w:w="8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11,213,603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and Restated 2020 Equity Incentive Plan</w:t>
      </w:r>
    </w:p>
    <w:p>
      <w:pPr>
        <w:spacing w:after="0" w:line="10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spacing w:after="0" w:line="7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On January 1, 2022, the number of shares available under the 2020 Plan was increased by 1,623,483 shares. As of June 30, 2022, the number of shares of common stock available for issuance under the 2020 Plan was 4,335,987.</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Under the Company’s 2020 Employee Stock Purchase Plan, or the ESPP, eligible employees are entitled to purchase shares of common stock with accumulated payroll deductions.</w:t>
      </w:r>
    </w:p>
    <w:p>
      <w:pPr>
        <w:spacing w:after="0" w:line="6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On January 1, 2022, the number of shares available under the ESPP was increased by 405,871 shares. As of June 30, 2022, the number of shares of common stock available for issuance under the ESPP was 1,152,691.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Total stock-based compensation expense recognized in the condensed consolidated statements of operations was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29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2"/>
              </w:rPr>
              <w:t>Six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40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0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17"/>
                <w:szCs w:val="17"/>
                <w:color w:val="auto"/>
              </w:rPr>
            </w:pPr>
          </w:p>
        </w:tc>
        <w:tc>
          <w:tcPr>
            <w:tcW w:w="1440" w:type="dxa"/>
            <w:vAlign w:val="bottom"/>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7"/>
                <w:szCs w:val="17"/>
                <w:color w:val="auto"/>
              </w:rPr>
            </w:pPr>
          </w:p>
        </w:tc>
        <w:tc>
          <w:tcPr>
            <w:tcW w:w="1380" w:type="dxa"/>
            <w:vAlign w:val="bottom"/>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2,690</w:t>
            </w:r>
          </w:p>
        </w:tc>
        <w:tc>
          <w:tcPr>
            <w:tcW w:w="3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715</w:t>
            </w:r>
          </w:p>
        </w:tc>
        <w:tc>
          <w:tcPr>
            <w:tcW w:w="26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4,765</w:t>
            </w:r>
          </w:p>
        </w:tc>
        <w:tc>
          <w:tcPr>
            <w:tcW w:w="2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17"/>
                <w:szCs w:val="17"/>
                <w:color w:val="auto"/>
              </w:rPr>
            </w:pPr>
          </w:p>
        </w:tc>
      </w:tr>
      <w:tr>
        <w:trPr>
          <w:trHeight w:val="202"/>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3,146</w:t>
            </w:r>
          </w:p>
        </w:tc>
        <w:tc>
          <w:tcPr>
            <w:tcW w:w="3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1,522</w:t>
            </w:r>
          </w:p>
        </w:tc>
        <w:tc>
          <w:tcPr>
            <w:tcW w:w="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6,572</w:t>
            </w:r>
          </w:p>
        </w:tc>
        <w:tc>
          <w:tcPr>
            <w:tcW w:w="2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2,743</w:t>
            </w:r>
          </w:p>
        </w:tc>
        <w:tc>
          <w:tcPr>
            <w:tcW w:w="100" w:type="dxa"/>
            <w:vAlign w:val="bottom"/>
          </w:tcPr>
          <w:p>
            <w:pPr>
              <w:spacing w:after="0"/>
              <w:rPr>
                <w:sz w:val="17"/>
                <w:szCs w:val="17"/>
                <w:color w:val="auto"/>
              </w:rPr>
            </w:pPr>
          </w:p>
        </w:tc>
      </w:tr>
      <w:tr>
        <w:trPr>
          <w:trHeight w:val="236"/>
        </w:trPr>
        <w:tc>
          <w:tcPr>
            <w:tcW w:w="40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5,836</w:t>
            </w:r>
          </w:p>
        </w:tc>
        <w:tc>
          <w:tcPr>
            <w:tcW w:w="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2,237</w:t>
            </w:r>
          </w:p>
        </w:tc>
        <w:tc>
          <w:tcPr>
            <w:tcW w:w="2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11,337</w:t>
            </w:r>
          </w:p>
        </w:tc>
        <w:tc>
          <w:tcPr>
            <w:tcW w:w="2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3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99"/>
        </w:trPr>
        <w:tc>
          <w:tcPr>
            <w:tcW w:w="4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15</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0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-359410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-342265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-359410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-342265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-359410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-342265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96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Restricted Stock Units</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340" w:type="dxa"/>
            <w:vAlign w:val="bottom"/>
            <w:gridSpan w:val="5"/>
          </w:tcPr>
          <w:p>
            <w:pPr>
              <w:ind w:left="520"/>
              <w:spacing w:after="0"/>
              <w:rPr>
                <w:sz w:val="20"/>
                <w:szCs w:val="20"/>
                <w:color w:val="auto"/>
              </w:rPr>
            </w:pPr>
            <w:r>
              <w:rPr>
                <w:rFonts w:ascii="Arial" w:cs="Arial" w:eastAsia="Arial" w:hAnsi="Arial"/>
                <w:sz w:val="18"/>
                <w:szCs w:val="18"/>
                <w:color w:val="auto"/>
                <w:w w:val="93"/>
              </w:rPr>
              <w:t>The following table provides a summary of restricted stock unit activity under the 2020 Plan:</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80" w:type="dxa"/>
            <w:vAlign w:val="bottom"/>
          </w:tcPr>
          <w:p>
            <w:pPr>
              <w:spacing w:after="0"/>
              <w:rPr>
                <w:sz w:val="22"/>
                <w:szCs w:val="22"/>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5"/>
              </w:rPr>
              <w:t>Aggregate Intrinsic</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18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6"/>
              </w:rPr>
              <w:t>Number of RSUs</w:t>
            </w:r>
          </w:p>
        </w:tc>
        <w:tc>
          <w:tcPr>
            <w:tcW w:w="22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3"/>
              </w:rPr>
              <w:t>Grant Date</w:t>
            </w:r>
          </w:p>
        </w:tc>
        <w:tc>
          <w:tcPr>
            <w:tcW w:w="26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30"/>
              <w:spacing w:after="0" w:line="176" w:lineRule="exact"/>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Restricted stock units as of December 31, 2021</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15,075</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58.56</w:t>
            </w:r>
          </w:p>
        </w:tc>
        <w:tc>
          <w:tcPr>
            <w:tcW w:w="26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504,200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15.20</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(1,888 )</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58.56</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Canceled/forfeited</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(23,825 )</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16.16</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Restricted stock units as of June 30, 2022</w:t>
            </w:r>
          </w:p>
        </w:tc>
        <w:tc>
          <w:tcPr>
            <w:tcW w:w="1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493,562</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16.31</w:t>
            </w:r>
          </w:p>
        </w:tc>
        <w:tc>
          <w:tcPr>
            <w:tcW w:w="19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1.9</w:t>
            </w:r>
          </w:p>
        </w:tc>
        <w:tc>
          <w:tcPr>
            <w:tcW w:w="460" w:type="dxa"/>
            <w:vAlign w:val="bottom"/>
            <w:tcBorders>
              <w:bottom w:val="single" w:sz="8" w:color="CFF0FC"/>
            </w:tcBorders>
            <w:gridSpan w:val="2"/>
            <w:shd w:val="clear" w:color="auto" w:fill="CFF0FC"/>
          </w:tcPr>
          <w:p>
            <w:pPr>
              <w:ind w:left="300"/>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-25400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7980" w:firstLine="8"/>
        <w:spacing w:after="0" w:line="362" w:lineRule="auto"/>
        <w:tabs>
          <w:tab w:leader="none" w:pos="2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RELATED-PARTY TRANSACTIONS </w:t>
      </w:r>
      <w:r>
        <w:rPr>
          <w:rFonts w:ascii="Arial" w:cs="Arial" w:eastAsia="Arial" w:hAnsi="Arial"/>
          <w:sz w:val="18"/>
          <w:szCs w:val="18"/>
          <w:i w:val="1"/>
          <w:iCs w:val="1"/>
          <w:color w:val="auto"/>
        </w:rPr>
        <w:t>Tallac Service Agreement</w:t>
      </w:r>
    </w:p>
    <w:p>
      <w:pPr>
        <w:spacing w:after="0" w:line="1"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The Company entered into a research and development services agreement, or the Tallac Services Agreement, with Tallac Therapeutics, Inc., or Tallac, effective as of July 1, 2020.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condensed consolidated statements of operations. During the three months ended June 30, 2022 and 2021, the Company recorded $0.1 million for both years as R&amp;D costs in relation to the Tallac Services Agreement. During the six months ended June 30, 2022 and 2021, the Company recorded $0.3 million and $0.5 million, respectively, as R&amp;D costs in relation to the Tallac Services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Collaboration Agreement</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March 4, 2021, the Company entered into a collaboration agreement with Tallac, or the Tallac Collaboration Agreement, to jointly develop, manufacture, and commercialize a novel cancer immunotherapy.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w:t>
      </w:r>
    </w:p>
    <w:p>
      <w:pPr>
        <w:spacing w:after="0" w:line="8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Company accounts for R&amp;D costs in accordance with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three months ended June 30, 2022 and 2021, the Company recorded $2.5 million and $0.6 million, respectively, as R&amp;D costs in relation to the Tallac Collaboration Agreement. During the six months ended June 30, 2022 and 2021, the Company recorded $3.7 million and $0.6 million, respectively, as R&amp;D costs in relation to the Tallac Collaboration Agreement.</w:t>
      </w:r>
    </w:p>
    <w:p>
      <w:pPr>
        <w:spacing w:after="0" w:line="55" w:lineRule="exact"/>
        <w:rPr>
          <w:sz w:val="20"/>
          <w:szCs w:val="20"/>
          <w:color w:val="auto"/>
        </w:rPr>
      </w:pPr>
    </w:p>
    <w:p>
      <w:pPr>
        <w:ind w:right="460" w:firstLine="509"/>
        <w:spacing w:after="0" w:line="243" w:lineRule="auto"/>
        <w:rPr>
          <w:sz w:val="20"/>
          <w:szCs w:val="20"/>
          <w:color w:val="auto"/>
        </w:rPr>
      </w:pPr>
      <w:r>
        <w:rPr>
          <w:rFonts w:ascii="Arial" w:cs="Arial" w:eastAsia="Arial" w:hAnsi="Arial"/>
          <w:sz w:val="18"/>
          <w:szCs w:val="18"/>
          <w:color w:val="auto"/>
        </w:rPr>
        <w:t>The Tallac Collaboration Agreement includes the right to set off clause, as such, the Company records the amount due to or reimbursable from Tallac on a net basis. As of June 30, 2022 and December 31, 2021, the Company had accrued expenses of $2.5 million and $1.4 million, respectively, related to the Tallac Collaboration Agreement which was presented within the payable and accrued liabilities due to related party on the condensed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sub-lease agreement with Tallac</w:t>
      </w:r>
    </w:p>
    <w:p>
      <w:pPr>
        <w:spacing w:after="0" w:line="104"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The Company leases office space in Burlingame, California under a single operating sub-lease agreement with Tallac. Refer to Note 5 Leases for additional discussion.</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820" w:type="dxa"/>
            <w:vAlign w:val="bottom"/>
            <w:gridSpan w:val="5"/>
          </w:tcPr>
          <w:p>
            <w:pPr>
              <w:jc w:val="right"/>
              <w:ind w:right="82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(32,920 )</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(16,274 )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(57,453 )</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(30,459 )</w:t>
            </w: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0" w:type="dxa"/>
            <w:vAlign w:val="bottom"/>
          </w:tcPr>
          <w:p>
            <w:pPr>
              <w:ind w:left="200"/>
              <w:spacing w:after="0" w:line="162" w:lineRule="exact"/>
              <w:rPr>
                <w:sz w:val="20"/>
                <w:szCs w:val="20"/>
                <w:color w:val="auto"/>
              </w:rPr>
            </w:pPr>
            <w:r>
              <w:rPr>
                <w:rFonts w:ascii="Arial" w:cs="Arial" w:eastAsia="Arial" w:hAnsi="Arial"/>
                <w:sz w:val="18"/>
                <w:szCs w:val="18"/>
                <w:color w:val="auto"/>
                <w:w w:val="92"/>
              </w:rPr>
              <w:t>Weighted-average shares of common stock outstanding, basic</w:t>
            </w: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40,687,751</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40,247,110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40,652,224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40,151,802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and diluted</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(0.40</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-25400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outstanding potentially dilutive securities were excluded from the computation of diluted net loss per share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 because including them would have been anti-dilutive: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19"/>
                <w:szCs w:val="19"/>
                <w:color w:val="auto"/>
              </w:rPr>
            </w:pPr>
          </w:p>
        </w:tc>
        <w:tc>
          <w:tcPr>
            <w:tcW w:w="2300" w:type="dxa"/>
            <w:vAlign w:val="bottom"/>
            <w:tcBorders>
              <w:bottom w:val="single" w:sz="8" w:color="auto"/>
            </w:tcBorders>
            <w:gridSpan w:val="3"/>
          </w:tcPr>
          <w:p>
            <w:pPr>
              <w:ind w:left="144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00" w:type="dxa"/>
            <w:vAlign w:val="bottom"/>
          </w:tcPr>
          <w:p>
            <w:pPr>
              <w:spacing w:after="0"/>
              <w:rPr>
                <w:sz w:val="17"/>
                <w:szCs w:val="17"/>
                <w:color w:val="auto"/>
              </w:rPr>
            </w:pPr>
          </w:p>
        </w:tc>
        <w:tc>
          <w:tcPr>
            <w:tcW w:w="16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issued and outstanding</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5,231,363</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4,417,249</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issued and outstanding</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493,562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Stock Purchase Plan estimated shares issuable</w:t>
            </w:r>
          </w:p>
        </w:tc>
        <w:tc>
          <w:tcPr>
            <w:tcW w:w="2300" w:type="dxa"/>
            <w:vAlign w:val="bottom"/>
            <w:gridSpan w:val="3"/>
            <w:shd w:val="clear" w:color="auto" w:fill="CFF0FC"/>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3,994</w:t>
            </w:r>
          </w:p>
        </w:tc>
        <w:tc>
          <w:tcPr>
            <w:tcW w:w="100" w:type="dxa"/>
            <w:vAlign w:val="bottom"/>
            <w:shd w:val="clear" w:color="auto" w:fill="CFF0FC"/>
          </w:tcPr>
          <w:p>
            <w:pPr>
              <w:spacing w:after="0"/>
              <w:rPr>
                <w:sz w:val="17"/>
                <w:szCs w:val="17"/>
                <w:color w:val="auto"/>
              </w:rPr>
            </w:pPr>
          </w:p>
        </w:tc>
      </w:tr>
      <w:tr>
        <w:trPr>
          <w:trHeight w:val="196"/>
        </w:trPr>
        <w:tc>
          <w:tcPr>
            <w:tcW w:w="76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5,724,925</w:t>
            </w:r>
          </w:p>
        </w:tc>
        <w:tc>
          <w:tcPr>
            <w:tcW w:w="28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4,421,243</w:t>
            </w:r>
          </w:p>
        </w:tc>
        <w:tc>
          <w:tcPr>
            <w:tcW w:w="100" w:type="dxa"/>
            <w:vAlign w:val="bottom"/>
            <w:tcBorders>
              <w:top w:val="single" w:sz="8" w:color="CFF0FC"/>
            </w:tcBorders>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-159385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right="7440" w:hanging="512"/>
        <w:spacing w:after="0" w:line="362" w:lineRule="auto"/>
        <w:tabs>
          <w:tab w:leader="none" w:pos="35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Guarantees and Indemnifications</w:t>
      </w:r>
    </w:p>
    <w:p>
      <w:pPr>
        <w:spacing w:after="0" w:line="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June 30, 2022.</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June 30, 2022, the Company had no pending or threatened litigation.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Contractual Obligations and Other Commitments</w:t>
      </w:r>
    </w:p>
    <w:p>
      <w:pPr>
        <w:spacing w:after="0" w:line="104" w:lineRule="exact"/>
        <w:rPr>
          <w:sz w:val="20"/>
          <w:szCs w:val="20"/>
          <w:color w:val="auto"/>
        </w:rPr>
      </w:pPr>
    </w:p>
    <w:p>
      <w:pPr>
        <w:ind w:right="100" w:firstLine="509"/>
        <w:spacing w:after="0" w:line="267" w:lineRule="auto"/>
        <w:rPr>
          <w:sz w:val="20"/>
          <w:szCs w:val="20"/>
          <w:color w:val="auto"/>
        </w:rPr>
      </w:pPr>
      <w:r>
        <w:rPr>
          <w:rFonts w:ascii="Arial" w:cs="Arial" w:eastAsia="Arial" w:hAnsi="Arial"/>
          <w:sz w:val="16"/>
          <w:szCs w:val="16"/>
          <w:color w:val="auto"/>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is cancellable upon notice and is non-exclusive. Statements of work under the MSA commit the Company to certain future purchase obligations of approximately $46.5 million as of June 30, 2022. In addition, the Company has commitments with two other drug product manufacturers that commit the Company to certain future purchase obligations of approximately $2.6 million as of June 30, 2022. The Company expects to make payments for these commitments through 2026 based on non-cancellable commitments and forecasts that include estimates of future market demand, quantity discounts and manufacturing efficiencies that may impact timing of purchases.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 w:name="page18"/>
    <w:bookmarkEnd w:id="17"/>
    <w:p>
      <w:pPr>
        <w:ind w:firstLine="509"/>
        <w:spacing w:after="0" w:line="243" w:lineRule="auto"/>
        <w:rPr>
          <w:sz w:val="20"/>
          <w:szCs w:val="20"/>
          <w:color w:val="auto"/>
        </w:rPr>
      </w:pPr>
      <w:r>
        <w:rPr>
          <w:rFonts w:ascii="Arial" w:cs="Arial" w:eastAsia="Arial" w:hAnsi="Arial"/>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Company evaluated subsequent events and transactions that occurred after the balance sheet date up to the date financial statements were issued.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identify any subsequent events that would have required adjustment or disclosure in the financial statements.</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a pipeline of product candidates based on expertise in protein engineering and oncology led by the CD47 blocker, evorpacept (evorpacept is the recommended United States Adopted Name (USAN); this product is also known as ALX148), currently in multiple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enhance the immune activation of broadly used anti-cancer agents through combination treatment strategies. As of June 30, 2022, we had dosed over 260 subjects with evorpacept across a range of hematologic and solid malignancies in combination with a number of leading anti-cancer agents. We plan to initiate additional studies in combination with leading anti-cancer agents.</w:t>
      </w:r>
    </w:p>
    <w:p>
      <w:pPr>
        <w:spacing w:after="0" w:line="76"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In solid tumors, we are conducting two ongoing randomized Phase 2 trials (ASPEN-03 and ASPEN-04) of evorpacept for the treatment of first-line advanced head and neck squamous cell carcinoma, or HNSCC, with the first subject enrolled in the first trial in May 2021 and the first subject enrolled in the second trial in July 2021. The Food and Drug Administration, or the FDA, granted Fast Track designation for evorpacept in combination with pembrolizumab, platinum, and fluorouracil for the first-line treatment of adult patients with metastatic or unresectable, recurrent HNSCC in February 2020. In July 2022, the FDA granted Fast Track designation for evorpacept in combination with pembrolizumab for first-line treatment of adult patients with metastatic or unresectable, recurrent HNSCC whose tumors express PD-L1. We are also conducting a randomized Phase 2/3 trial (ASPEN-06) of evorpacept for the treatment of second and third line advanced HER2-overexpressing gastric/gastroesophageal junction, or GEJ, cancer and dosed the first patient in March 2022.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 in January 2020. In January 2022, the FDA’s Office of Orphan Products Development granted Orphan Drug Designation to evorpacept for the treatment of patients with gastric/GEJ cancer. We recently announced we will initiate a new clinical study (ASPEN-07) to investigate evorpacept in combination with an antibody-drug conjugate or ADC, PADCEV® (enfortumab vedotin-ejfv), for the second-line treatment of locally advanced or metastatic urothelial cancer, or UC, in the fourth quarter of 2022. Our collaborator, Zymeworks, is conducting an ongoing Phase 1 trial for the treatment of advanced HER2-expressing breast cancer and other solid tumors and enrolled the first subject in October 2021.</w:t>
      </w:r>
    </w:p>
    <w:p>
      <w:pPr>
        <w:spacing w:after="0" w:line="6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hematologic malignancies, we have initiated two Phase 1 trials of evorpacept for the treatment of myelodysplastic syndromes, or MDS (ASPEN-02), and acute myeloid leukemia, or AML (ASPEN-05), with the first patient dosed in each trial in October 2020 and October 2021, respectively. In June 2022, we paused enrollment into the ASPEN-05 AML trial based on the desire to leverage upcoming dose optimization data from the ASPEN-02 MDS study to inform dose optimization in ASPEN-05. In June 2022, the FDA's Office of Orphan Drug Products Development granted Orphan Drug Designation to evorpacept for the treatment of patients with AML.</w:t>
      </w:r>
    </w:p>
    <w:p>
      <w:pPr>
        <w:spacing w:after="0" w:line="81"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In 2021, an investigator-sponsored trial (IST) of evorpacept was initiated in combination with rituximab and lenalidomide for the treatment of patients with indolent and aggressive non-Hodgkin lymphoma, or NHL, at MD Anderson Cancer Center.</w:t>
      </w:r>
    </w:p>
    <w:p>
      <w:pPr>
        <w:spacing w:after="0" w:line="63"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w:t>
      </w:r>
    </w:p>
    <w:p>
      <w:pPr>
        <w:spacing w:after="0" w:line="3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 An investigational new drug, or IND, for ALTA-002 is planned for 2023. Additionally, with our acquisition of ScalmiBio, Inc. (ScalmiBio), we are planning to expand our pipeline of drug candidates to antibody drug conjugates based on expertise in protein engineering and oncology.</w:t>
      </w:r>
    </w:p>
    <w:p>
      <w:pPr>
        <w:spacing w:after="0" w:line="81"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9" w:name="page20"/>
    <w:bookmarkEnd w:id="19"/>
    <w:p>
      <w:pPr>
        <w:jc w:val="both"/>
        <w:ind w:right="140" w:firstLine="509"/>
        <w:spacing w:after="0" w:line="248" w:lineRule="auto"/>
        <w:rPr>
          <w:sz w:val="20"/>
          <w:szCs w:val="20"/>
          <w:color w:val="auto"/>
        </w:rPr>
      </w:pPr>
      <w:r>
        <w:rPr>
          <w:rFonts w:ascii="Arial" w:cs="Arial" w:eastAsia="Arial" w:hAnsi="Arial"/>
          <w:sz w:val="18"/>
          <w:szCs w:val="18"/>
          <w:color w:val="auto"/>
        </w:rPr>
        <w:t>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7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 From inception through June 30, 2022, we have raised an aggregate of $545.3 million to fund our operations, of which $175.1 million were net proceeds from sales of our convertible preferred stock, $5.8 million were net proceeds from borrowings under a term loan, $169.5 million were net proceeds from our initial public offering and $194.9 million were net proceeds from our follow-on offering.</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March 2022, we filed a universal shelf registration statement (Shelf Registration Statement), which provides for aggregate offerings of up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$450.0 million of the Company’s securities. In May 2022, we filed an amendment to the Shelf Registration Statement, which was declared effective by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(SEC) on May 31, 2022. We believe that our Shelf Registration Statement will provide us with the flexibility to raise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additional capital to finance our operations as needed. In December 2021, we entered into a sales agreement (Sales Agreement) with Cantor Fitzgerald &amp;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 and Credit Suisse Securities (USA) LLC, under which we may, subject to the effectiveness of the Shelf Registration Statement, offer and sell our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common stock, having aggregate gross proceeds of up to $150.0 million, from time to time through them as our sales agent in an at-the-market offering. No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securities have been sold pursuant to the Shelf Registration Statement or Sales Agreement.</w:t>
      </w:r>
    </w:p>
    <w:p>
      <w:pPr>
        <w:spacing w:after="0" w:line="88" w:lineRule="exact"/>
        <w:rPr>
          <w:sz w:val="20"/>
          <w:szCs w:val="20"/>
          <w:color w:val="auto"/>
        </w:rPr>
      </w:pPr>
    </w:p>
    <w:p>
      <w:pPr>
        <w:jc w:val="both"/>
        <w:ind w:right="60" w:firstLine="509"/>
        <w:spacing w:after="0" w:line="284" w:lineRule="auto"/>
        <w:rPr>
          <w:sz w:val="20"/>
          <w:szCs w:val="20"/>
          <w:color w:val="auto"/>
        </w:rPr>
      </w:pPr>
      <w:r>
        <w:rPr>
          <w:rFonts w:ascii="Arial" w:cs="Arial" w:eastAsia="Arial" w:hAnsi="Arial"/>
          <w:sz w:val="16"/>
          <w:szCs w:val="16"/>
          <w:color w:val="auto"/>
        </w:rPr>
        <w:t>We have incurred net losses in each year since inception. Our net losses were $32.9 million and $16.3 million for the three months ended June 30, 2022 and 2021, respectively, and $57.5 million and $30.5 million for the six months ended June 30, 2022 and 2021, respectively. As of June 30, 2022, we had an accumulated deficit of $259.4 million. Substantially all of our operating losses are a result of expenses incurred in connection with our research and development programs, primarily evorpacept, and from general and administrative expenses associated with our operations.</w:t>
      </w:r>
    </w:p>
    <w:p>
      <w:pPr>
        <w:spacing w:after="0" w:line="47"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63"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evorpacept through multiple clinical trials in multiple indications;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pursue regulatory approval of evorpacept in hematological malignancies and solid tumors;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 including our collaborations with Tallac Therapeutics, Zymeworks and our recent acquisition of ScalmiBio;</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111" w:lineRule="exact"/>
        <w:rPr>
          <w:rFonts w:ascii="Arial" w:cs="Arial" w:eastAsia="Arial" w:hAnsi="Arial"/>
          <w:sz w:val="17"/>
          <w:szCs w:val="17"/>
          <w:color w:val="auto"/>
        </w:rPr>
      </w:pPr>
    </w:p>
    <w:p>
      <w:pPr>
        <w:ind w:right="8340"/>
        <w:spacing w:after="0" w:line="362" w:lineRule="auto"/>
        <w:rPr>
          <w:rFonts w:ascii="Arial" w:cs="Arial" w:eastAsia="Arial" w:hAnsi="Arial"/>
          <w:sz w:val="17"/>
          <w:szCs w:val="17"/>
          <w:color w:val="auto"/>
        </w:rPr>
      </w:pPr>
      <w:r>
        <w:rPr>
          <w:rFonts w:ascii="Arial" w:cs="Arial" w:eastAsia="Arial" w:hAnsi="Arial"/>
          <w:sz w:val="18"/>
          <w:szCs w:val="18"/>
          <w:b w:val="1"/>
          <w:bCs w:val="1"/>
          <w:color w:val="auto"/>
        </w:rPr>
        <w:t xml:space="preserve">Components of Results of Operations </w:t>
      </w:r>
      <w:r>
        <w:rPr>
          <w:rFonts w:ascii="Arial" w:cs="Arial" w:eastAsia="Arial" w:hAnsi="Arial"/>
          <w:sz w:val="18"/>
          <w:szCs w:val="18"/>
          <w:b w:val="1"/>
          <w:bCs w:val="1"/>
          <w:i w:val="1"/>
          <w:iCs w:val="1"/>
          <w:color w:val="auto"/>
        </w:rPr>
        <w:t>Operating Expenses</w:t>
      </w:r>
    </w:p>
    <w:p>
      <w:pPr>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Research and development expenses consist primarily of costs incurred for the development of our lead product candidate, evorpacept, which include:</w:t>
      </w:r>
    </w:p>
    <w:p>
      <w:pPr>
        <w:spacing w:after="0" w:line="63" w:lineRule="exact"/>
        <w:rPr>
          <w:sz w:val="20"/>
          <w:szCs w:val="20"/>
          <w:color w:val="auto"/>
        </w:rPr>
      </w:pPr>
    </w:p>
    <w:p>
      <w:pPr>
        <w:ind w:left="1020" w:right="1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collaboration agreements and under agreements with contract research organizations, or CROs;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expenses for employees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laboratory, vendor expenses and third-party drugs related to the execution of preclinical studies and clinical trials;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milestone payments related to our ScalmiBio acquisition.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ind w:right="40" w:firstLine="509"/>
        <w:spacing w:after="0" w:line="279"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51"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8 to our condensed consolidated financial statements appearing elsewhere in this Quarterly Report on Form 10-Q.</w:t>
      </w:r>
    </w:p>
    <w:p>
      <w:pPr>
        <w:spacing w:after="0" w:line="76"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3"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0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spacing w:after="0" w:line="80"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We anticipate that our general and administrative expenses will continue to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left="5540" w:right="1620" w:hanging="5016"/>
        <w:spacing w:after="0" w:line="261" w:lineRule="auto"/>
        <w:rPr>
          <w:sz w:val="20"/>
          <w:szCs w:val="20"/>
          <w:color w:val="auto"/>
        </w:rPr>
      </w:pPr>
      <w:r>
        <w:rPr>
          <w:rFonts w:ascii="Arial" w:cs="Arial" w:eastAsia="Arial" w:hAnsi="Arial"/>
          <w:sz w:val="18"/>
          <w:szCs w:val="18"/>
          <w:color w:val="auto"/>
        </w:rPr>
        <w:t>Our interest income consists primarily of interest income on cash, cash equivalents and short-term and long-term investments.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other income (expense), net, consists primarily of interest expense on finance leases.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results of operations for the three months and six months ended June 30, 2022 and 2021 (dollars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3"/>
              </w:rPr>
              <w:t>Three Months Ended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8"/>
          </w:tcPr>
          <w:p>
            <w:pPr>
              <w:ind w:left="10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w w:val="96"/>
              </w:rPr>
              <w:t>Change</w:t>
            </w: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w w:val="85"/>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w w:val="99"/>
              </w:rPr>
              <w:t>Change</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w w:val="84"/>
              </w:rPr>
              <w:t>2022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89"/>
              </w:rPr>
              <w:t>2021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94"/>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26,748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11,213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15,535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139 % $</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43,821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center"/>
              <w:ind w:right="7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21,062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22,759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03"/>
        </w:trPr>
        <w:tc>
          <w:tcPr>
            <w:tcW w:w="292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38 %</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196"/>
        </w:trPr>
        <w:tc>
          <w:tcPr>
            <w:tcW w:w="292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16,299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auto"/>
              </w:rPr>
              <w:t>107 %</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28,029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4"/>
              </w:rPr>
              <w:t>(33,789</w:t>
            </w:r>
          </w:p>
        </w:tc>
        <w:tc>
          <w:tcPr>
            <w:tcW w:w="14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(16,299</w:t>
            </w:r>
          </w:p>
        </w:tc>
        <w:tc>
          <w:tcPr>
            <w:tcW w:w="2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94"/>
              </w:rPr>
              <w:t>(17,490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auto"/>
              </w:rPr>
              <w:t>107 %</w:t>
            </w: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8"/>
              </w:rPr>
              <w:t>(58,536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(30,507</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88"/>
              </w:rPr>
              <w:t>(28,029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3"/>
        </w:trPr>
        <w:tc>
          <w:tcPr>
            <w:tcW w:w="292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w w:val="94"/>
              </w:rPr>
              <w:t>3709 %</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2194 %</w:t>
            </w:r>
          </w:p>
        </w:tc>
        <w:tc>
          <w:tcPr>
            <w:tcW w:w="0" w:type="dxa"/>
            <w:vAlign w:val="bottom"/>
          </w:tcPr>
          <w:p>
            <w:pPr>
              <w:spacing w:after="0"/>
              <w:rPr>
                <w:sz w:val="1"/>
                <w:szCs w:val="1"/>
                <w:color w:val="auto"/>
              </w:rPr>
            </w:pPr>
          </w:p>
        </w:tc>
      </w:tr>
      <w:tr>
        <w:trPr>
          <w:trHeight w:val="203"/>
        </w:trPr>
        <w:tc>
          <w:tcPr>
            <w:tcW w:w="2920" w:type="dxa"/>
            <w:vAlign w:val="bottom"/>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-450 %</w:t>
            </w: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Pr>
          <w:p>
            <w:pPr>
              <w:ind w:left="20"/>
              <w:spacing w:after="0" w:line="18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76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4"/>
              </w:rPr>
              <w:t>(32,920 )</w:t>
            </w:r>
          </w:p>
        </w:tc>
        <w:tc>
          <w:tcPr>
            <w:tcW w:w="10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1040" w:type="dxa"/>
            <w:vAlign w:val="bottom"/>
            <w:gridSpan w:val="3"/>
          </w:tcPr>
          <w:p>
            <w:pPr>
              <w:jc w:val="right"/>
              <w:ind w:right="200"/>
              <w:spacing w:after="0" w:line="182" w:lineRule="exact"/>
              <w:rPr>
                <w:sz w:val="20"/>
                <w:szCs w:val="20"/>
                <w:color w:val="auto"/>
              </w:rPr>
            </w:pPr>
            <w:r>
              <w:rPr>
                <w:rFonts w:ascii="Arial" w:cs="Arial" w:eastAsia="Arial" w:hAnsi="Arial"/>
                <w:sz w:val="18"/>
                <w:szCs w:val="18"/>
                <w:color w:val="auto"/>
              </w:rPr>
              <w:t>(16,274 )</w:t>
            </w:r>
          </w:p>
        </w:tc>
        <w:tc>
          <w:tcPr>
            <w:tcW w:w="84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89"/>
              </w:rPr>
              <w:t>$ (16,646 )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spacing w:after="0" w:line="183" w:lineRule="exact"/>
              <w:rPr>
                <w:sz w:val="20"/>
                <w:szCs w:val="20"/>
                <w:color w:val="auto"/>
              </w:rPr>
            </w:pPr>
            <w:r>
              <w:rPr>
                <w:rFonts w:ascii="Arial" w:cs="Arial" w:eastAsia="Arial" w:hAnsi="Arial"/>
                <w:sz w:val="13"/>
                <w:szCs w:val="13"/>
                <w:color w:val="auto"/>
              </w:rPr>
              <w:t xml:space="preserve">102 % </w:t>
            </w:r>
            <w:r>
              <w:rPr>
                <w:rFonts w:ascii="Arial" w:cs="Arial" w:eastAsia="Arial" w:hAnsi="Arial"/>
                <w:sz w:val="21"/>
                <w:szCs w:val="21"/>
                <w:color w:val="auto"/>
                <w:vertAlign w:val="superscript"/>
              </w:rPr>
              <w:t>$</w:t>
            </w:r>
          </w:p>
        </w:tc>
        <w:tc>
          <w:tcPr>
            <w:tcW w:w="72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4"/>
              </w:rPr>
              <w:t>(57,453 )</w:t>
            </w:r>
          </w:p>
        </w:tc>
        <w:tc>
          <w:tcPr>
            <w:tcW w:w="120" w:type="dxa"/>
            <w:vAlign w:val="bottom"/>
          </w:tcPr>
          <w:p>
            <w:pPr>
              <w:spacing w:after="0"/>
              <w:rPr>
                <w:sz w:val="17"/>
                <w:szCs w:val="17"/>
                <w:color w:val="auto"/>
              </w:rPr>
            </w:pPr>
          </w:p>
        </w:tc>
        <w:tc>
          <w:tcPr>
            <w:tcW w:w="300" w:type="dxa"/>
            <w:vAlign w:val="bottom"/>
            <w:gridSpan w:val="2"/>
          </w:tcPr>
          <w:p>
            <w:pPr>
              <w:jc w:val="center"/>
              <w:ind w:right="70"/>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(30,459 )</w:t>
            </w:r>
          </w:p>
        </w:tc>
        <w:tc>
          <w:tcPr>
            <w:tcW w:w="12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70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85"/>
              </w:rPr>
              <w:t>(26,994 )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9"/>
              </w:rPr>
              <w:t>Research and Development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300" w:type="dxa"/>
            <w:vAlign w:val="bottom"/>
            <w:gridSpan w:val="39"/>
          </w:tcPr>
          <w:p>
            <w:pPr>
              <w:ind w:left="520"/>
              <w:spacing w:after="0"/>
              <w:rPr>
                <w:sz w:val="20"/>
                <w:szCs w:val="20"/>
                <w:color w:val="auto"/>
              </w:rPr>
            </w:pPr>
            <w:r>
              <w:rPr>
                <w:rFonts w:ascii="Arial" w:cs="Arial" w:eastAsia="Arial" w:hAnsi="Arial"/>
                <w:sz w:val="18"/>
                <w:szCs w:val="18"/>
                <w:color w:val="auto"/>
                <w:w w:val="93"/>
              </w:rPr>
              <w:t>The following table summarizes our research and development expenses incurred for the three months and six months ended June 30, 2022 and</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2021 (dollars 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8"/>
          </w:tcPr>
          <w:p>
            <w:pPr>
              <w:jc w:val="right"/>
              <w:ind w:right="48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40" w:type="dxa"/>
            <w:vAlign w:val="bottom"/>
            <w:gridSpan w:val="7"/>
          </w:tcPr>
          <w:p>
            <w:pPr>
              <w:ind w:left="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1020" w:type="dxa"/>
            <w:vAlign w:val="bottom"/>
            <w:gridSpan w:val="5"/>
          </w:tcPr>
          <w:p>
            <w:pPr>
              <w:ind w:left="400"/>
              <w:spacing w:after="0"/>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5"/>
          </w:tcPr>
          <w:p>
            <w:pPr>
              <w:ind w:left="380"/>
              <w:spacing w:after="0"/>
              <w:rPr>
                <w:sz w:val="20"/>
                <w:szCs w:val="20"/>
                <w:color w:val="auto"/>
              </w:rPr>
            </w:pPr>
            <w:r>
              <w:rPr>
                <w:rFonts w:ascii="Arial" w:cs="Arial" w:eastAsia="Arial" w:hAnsi="Arial"/>
                <w:sz w:val="18"/>
                <w:szCs w:val="18"/>
                <w:b w:val="1"/>
                <w:bCs w:val="1"/>
                <w:color w:val="auto"/>
                <w:w w:val="90"/>
              </w:rPr>
              <w:t>Change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Clinical and development costs</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2021</w:t>
            </w:r>
          </w:p>
        </w:tc>
        <w:tc>
          <w:tcPr>
            <w:tcW w:w="4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17,729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7,448</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138</w:t>
            </w:r>
          </w:p>
        </w:tc>
        <w:tc>
          <w:tcPr>
            <w:tcW w:w="2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27,720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14,798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12,922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rPr>
              <w:t>Preclinical costs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75 %</w:t>
            </w: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92 %</w:t>
            </w: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w w:val="99"/>
              </w:rPr>
              <w:t>Stock-based compensation expense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276 %</w:t>
            </w: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rPr>
              <w:t>Other research costs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552</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197 %</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1,730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155"/>
        </w:trPr>
        <w:tc>
          <w:tcPr>
            <w:tcW w:w="2920" w:type="dxa"/>
            <w:vAlign w:val="bottom"/>
          </w:tcPr>
          <w:p>
            <w:pPr>
              <w:ind w:left="200"/>
              <w:spacing w:after="0" w:line="156" w:lineRule="exact"/>
              <w:rPr>
                <w:sz w:val="20"/>
                <w:szCs w:val="20"/>
                <w:color w:val="auto"/>
              </w:rPr>
            </w:pPr>
            <w:r>
              <w:rPr>
                <w:rFonts w:ascii="Arial" w:cs="Arial" w:eastAsia="Arial" w:hAnsi="Arial"/>
                <w:sz w:val="18"/>
                <w:szCs w:val="18"/>
                <w:color w:val="auto"/>
              </w:rPr>
              <w:t>Total research and development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26,748</w:t>
            </w:r>
          </w:p>
        </w:tc>
        <w:tc>
          <w:tcPr>
            <w:tcW w:w="100" w:type="dxa"/>
            <w:vAlign w:val="bottom"/>
          </w:tcPr>
          <w:p>
            <w:pPr>
              <w:spacing w:after="0"/>
              <w:rPr>
                <w:sz w:val="13"/>
                <w:szCs w:val="13"/>
                <w:color w:val="auto"/>
              </w:rPr>
            </w:pPr>
          </w:p>
        </w:tc>
        <w:tc>
          <w:tcPr>
            <w:tcW w:w="3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11,213</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15,535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vMerge w:val="restart"/>
          </w:tcPr>
          <w:p>
            <w:pPr>
              <w:jc w:val="right"/>
              <w:spacing w:after="0" w:line="317" w:lineRule="exact"/>
              <w:rPr>
                <w:sz w:val="20"/>
                <w:szCs w:val="20"/>
                <w:color w:val="auto"/>
              </w:rPr>
            </w:pPr>
            <w:r>
              <w:rPr>
                <w:rFonts w:ascii="Arial" w:cs="Arial" w:eastAsia="Arial" w:hAnsi="Arial"/>
                <w:sz w:val="18"/>
                <w:szCs w:val="18"/>
                <w:color w:val="auto"/>
              </w:rPr>
              <w:t xml:space="preserve">139 % </w:t>
            </w:r>
            <w:r>
              <w:rPr>
                <w:rFonts w:ascii="Arial" w:cs="Arial" w:eastAsia="Arial" w:hAnsi="Arial"/>
                <w:sz w:val="35"/>
                <w:szCs w:val="35"/>
                <w:color w:val="auto"/>
                <w:vertAlign w:val="superscript"/>
              </w:rPr>
              <w:t>$</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43,821</w:t>
            </w:r>
          </w:p>
        </w:tc>
        <w:tc>
          <w:tcPr>
            <w:tcW w:w="120" w:type="dxa"/>
            <w:vAlign w:val="bottom"/>
          </w:tcPr>
          <w:p>
            <w:pPr>
              <w:spacing w:after="0"/>
              <w:rPr>
                <w:sz w:val="13"/>
                <w:szCs w:val="13"/>
                <w:color w:val="auto"/>
              </w:rPr>
            </w:pP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21,062</w:t>
            </w:r>
          </w:p>
        </w:tc>
        <w:tc>
          <w:tcPr>
            <w:tcW w:w="120" w:type="dxa"/>
            <w:vAlign w:val="bottom"/>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22,759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175"/>
        </w:trPr>
        <w:tc>
          <w:tcPr>
            <w:tcW w:w="2920" w:type="dxa"/>
            <w:vAlign w:val="bottom"/>
          </w:tcPr>
          <w:p>
            <w:pPr>
              <w:ind w:left="200"/>
              <w:spacing w:after="0" w:line="156" w:lineRule="exact"/>
              <w:rPr>
                <w:sz w:val="20"/>
                <w:szCs w:val="20"/>
                <w:color w:val="auto"/>
              </w:rPr>
            </w:pPr>
            <w:r>
              <w:rPr>
                <w:rFonts w:ascii="Arial" w:cs="Arial" w:eastAsia="Arial" w:hAnsi="Arial"/>
                <w:sz w:val="18"/>
                <w:szCs w:val="18"/>
                <w:color w:val="auto"/>
              </w:rPr>
              <w:t>expenses</w:t>
            </w:r>
          </w:p>
        </w:tc>
        <w:tc>
          <w:tcPr>
            <w:tcW w:w="2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7"/>
          <w:szCs w:val="17"/>
          <w:color w:val="auto"/>
        </w:rPr>
        <w:t>Research and development expenses increased by $15.5 million during the three months ended June 30, 2022 compared to the three months ended June 30, 2021. The increase was primarily attributable to (i) an increase of $10.3 million in clinical and development costs primarily due to manufacturing of clinical trial materials to support a higher number of active clinical trials and future expected patient enrollment related to the advancement of our lead product candidate, as well as an increase of $1.6 million related to the Tallac Collaboration for work related to the IND filing planned for 2023, (ii) an increase of $0.4 million in preclinical costs primarily related to development of new targets, (iii) an increase of $1.8 million in personnel and related costs due primarily to an increase driven by headcount growth and a portion of a retention bonus payable to ScalmiBio stockholders, (iv) an increase of $2.0 million in stock-based compensation expense due to additional awards granted since June 30, 2021 and (v) an increase of $1.1 million in other research costs due primarily to an increase of $0.5 million in facility costs related to the expansion of our new laboratory space and remaining increase of $0.5 million in VAT fees related to companion drug purchased for use in our clinical trials.</w:t>
      </w:r>
    </w:p>
    <w:p>
      <w:pPr>
        <w:spacing w:after="0" w:line="76" w:lineRule="exact"/>
        <w:rPr>
          <w:sz w:val="20"/>
          <w:szCs w:val="20"/>
          <w:color w:val="auto"/>
        </w:rPr>
      </w:pPr>
    </w:p>
    <w:p>
      <w:pPr>
        <w:ind w:right="160" w:firstLine="509"/>
        <w:spacing w:after="0" w:line="266" w:lineRule="auto"/>
        <w:rPr>
          <w:sz w:val="20"/>
          <w:szCs w:val="20"/>
          <w:color w:val="auto"/>
        </w:rPr>
      </w:pPr>
      <w:r>
        <w:rPr>
          <w:rFonts w:ascii="Arial" w:cs="Arial" w:eastAsia="Arial" w:hAnsi="Arial"/>
          <w:sz w:val="16"/>
          <w:szCs w:val="16"/>
          <w:color w:val="auto"/>
        </w:rPr>
        <w:t>Research and development expenses increased by $22.8 million during the six months ended June 30, 2022 compared to the six months ended June 30, 2021. The increase was primarily attributable to (i) an increase of $12.9 million in clinical and development costs primarily due to manufacturing of clinical trial materials to support a higher number of active clinical trials and future expected patient enrollment related to the advancement of our lead product candidate, as well as an increase of $2.6 million related to the Tallac Collaboration for work related to the IND filing planned for 2023, (ii) an increase of $0.8 million in preclinical costs primarily due to development of new targets and costs related to Tallac Collaboration, (iii) an increase of $3.8 million in personnel and related costs due primarily to an increase driven by headcount growth and a portion of a retention bonus payable to ScalmiBio stockholders, (iv) an increase of $3.5 million in stock-based compensation expense due to additional awards granted since June 30, 2021 and (v) an increase of $1.7 million in other research costs due primarily to an increase of $1.0 million in facility costs related to the expansion of our new laboratory space and remaining increase of $0.6 million in VAT fees related to companion drug purchased for use in our clinical trials.</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general and administrative expenses incurred for the three months and six months ended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 (dollars in thousands):</w:t>
      </w:r>
    </w:p>
    <w:p>
      <w:pPr>
        <w:sectPr>
          <w:pgSz w:w="11900" w:h="16838" w:orient="portrait"/>
          <w:cols w:equalWidth="0" w:num="1">
            <w:col w:w="11300"/>
          </w:cols>
          <w:pgMar w:left="320" w:top="43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Personnel and related costs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Stock-based compensation expense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general and administrative costs</w:t>
      </w:r>
    </w:p>
    <w:p>
      <w:pPr>
        <w:spacing w:after="0" w:line="30" w:lineRule="exact"/>
        <w:rPr>
          <w:sz w:val="20"/>
          <w:szCs w:val="20"/>
          <w:color w:val="auto"/>
        </w:rPr>
      </w:pPr>
    </w:p>
    <w:p>
      <w:pPr>
        <w:ind w:left="200" w:right="260"/>
        <w:spacing w:after="0" w:line="226" w:lineRule="auto"/>
        <w:rPr>
          <w:sz w:val="20"/>
          <w:szCs w:val="20"/>
          <w:color w:val="auto"/>
        </w:rPr>
      </w:pPr>
      <w:r>
        <w:rPr>
          <w:rFonts w:ascii="Arial" w:cs="Arial" w:eastAsia="Arial" w:hAnsi="Arial"/>
          <w:sz w:val="18"/>
          <w:szCs w:val="18"/>
          <w:color w:val="auto"/>
        </w:rPr>
        <w:t>Total general and administrative expenses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9"/>
              </w:rPr>
              <w:t>Six Months Ended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91"/>
              </w:rPr>
              <w:t>June 30,</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3"/>
              </w:rPr>
              <w:t>Change</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ind w:left="260"/>
              <w:spacing w:after="0"/>
              <w:rPr>
                <w:sz w:val="20"/>
                <w:szCs w:val="20"/>
                <w:color w:val="auto"/>
              </w:rPr>
            </w:pPr>
            <w:r>
              <w:rPr>
                <w:rFonts w:ascii="Arial" w:cs="Arial" w:eastAsia="Arial" w:hAnsi="Arial"/>
                <w:sz w:val="18"/>
                <w:szCs w:val="18"/>
                <w:b w:val="1"/>
                <w:bCs w:val="1"/>
                <w:color w:val="auto"/>
                <w:w w:val="96"/>
              </w:rPr>
              <w:t>Change</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80"/>
              <w:spacing w:after="0" w:line="17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line="176" w:lineRule="exact"/>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0"/>
              <w:spacing w:after="0" w:line="17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0"/>
              <w:spacing w:after="0" w:line="176" w:lineRule="exact"/>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0"/>
              <w:spacing w:after="0" w:line="176" w:lineRule="exact"/>
              <w:rPr>
                <w:sz w:val="20"/>
                <w:szCs w:val="20"/>
                <w:color w:val="auto"/>
              </w:rPr>
            </w:pPr>
            <w:r>
              <w:rPr>
                <w:rFonts w:ascii="Arial" w:cs="Arial" w:eastAsia="Arial" w:hAnsi="Arial"/>
                <w:sz w:val="18"/>
                <w:szCs w:val="18"/>
                <w:b w:val="1"/>
                <w:bCs w:val="1"/>
                <w:color w:val="auto"/>
                <w:w w:val="99"/>
              </w:rPr>
              <w:t>2022</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0"/>
              <w:spacing w:after="0" w:line="176" w:lineRule="exact"/>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270"/>
              <w:spacing w:after="0" w:line="17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90"/>
              <w:spacing w:after="0" w:line="176" w:lineRule="exact"/>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1,508</w:t>
            </w:r>
          </w:p>
        </w:tc>
        <w:tc>
          <w:tcPr>
            <w:tcW w:w="240" w:type="dxa"/>
            <w:vAlign w:val="bottom"/>
          </w:tcPr>
          <w:p>
            <w:pPr>
              <w:spacing w:after="0"/>
              <w:rPr>
                <w:sz w:val="15"/>
                <w:szCs w:val="15"/>
                <w:color w:val="auto"/>
              </w:rPr>
            </w:pP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1,209</w:t>
            </w:r>
          </w:p>
        </w:tc>
        <w:tc>
          <w:tcPr>
            <w:tcW w:w="240" w:type="dxa"/>
            <w:vAlign w:val="bottom"/>
          </w:tcPr>
          <w:p>
            <w:pPr>
              <w:spacing w:after="0"/>
              <w:rPr>
                <w:sz w:val="15"/>
                <w:szCs w:val="15"/>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299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220" w:type="dxa"/>
            <w:vAlign w:val="bottom"/>
            <w:vMerge w:val="continue"/>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2,978</w:t>
            </w:r>
          </w:p>
        </w:tc>
        <w:tc>
          <w:tcPr>
            <w:tcW w:w="220" w:type="dxa"/>
            <w:vAlign w:val="bottom"/>
          </w:tcPr>
          <w:p>
            <w:pPr>
              <w:spacing w:after="0"/>
              <w:rPr>
                <w:sz w:val="15"/>
                <w:szCs w:val="15"/>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2,396</w:t>
            </w:r>
          </w:p>
        </w:tc>
        <w:tc>
          <w:tcPr>
            <w:tcW w:w="220" w:type="dxa"/>
            <w:vAlign w:val="bottom"/>
          </w:tcPr>
          <w:p>
            <w:pPr>
              <w:spacing w:after="0"/>
              <w:rPr>
                <w:sz w:val="15"/>
                <w:szCs w:val="15"/>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582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3,146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1,522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107 %</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6,572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17"/>
        </w:trPr>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33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7,041</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5,086</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spacing w:after="0" w:line="317" w:lineRule="exact"/>
              <w:rPr>
                <w:sz w:val="20"/>
                <w:szCs w:val="20"/>
                <w:color w:val="auto"/>
              </w:rPr>
            </w:pPr>
            <w:r>
              <w:rPr>
                <w:rFonts w:ascii="Arial" w:cs="Arial" w:eastAsia="Arial" w:hAnsi="Arial"/>
                <w:sz w:val="18"/>
                <w:szCs w:val="18"/>
                <w:color w:val="auto"/>
              </w:rPr>
              <w:t xml:space="preserve">38 % </w:t>
            </w:r>
            <w:r>
              <w:rPr>
                <w:rFonts w:ascii="Arial" w:cs="Arial" w:eastAsia="Arial" w:hAnsi="Arial"/>
                <w:sz w:val="35"/>
                <w:szCs w:val="35"/>
                <w:color w:val="auto"/>
                <w:vertAlign w:val="superscript"/>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14,715</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9,445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5,270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-783590</wp:posOffset>
            </wp:positionV>
            <wp:extent cx="7145020" cy="278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020" cy="27813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-376555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2780" w:space="320"/>
            <w:col w:w="8200"/>
          </w:cols>
          <w:pgMar w:left="320" w:top="436" w:right="279" w:bottom="1440" w:gutter="0" w:footer="0" w:header="0"/>
          <w:type w:val="continuous"/>
        </w:sectPr>
      </w:pPr>
    </w:p>
    <w:p>
      <w:pPr>
        <w:ind w:right="80" w:firstLine="509"/>
        <w:spacing w:after="0" w:line="294" w:lineRule="auto"/>
        <w:rPr>
          <w:sz w:val="20"/>
          <w:szCs w:val="20"/>
          <w:color w:val="auto"/>
        </w:rPr>
      </w:pPr>
      <w:r>
        <w:rPr>
          <w:rFonts w:ascii="Arial" w:cs="Arial" w:eastAsia="Arial" w:hAnsi="Arial"/>
          <w:sz w:val="16"/>
          <w:szCs w:val="16"/>
          <w:color w:val="auto"/>
        </w:rPr>
        <w:t>General and administrative expenses increased by $2.0 million during the three months ended June 30, 2022 compared to the three months ended June 30, 2021. The increase was primarily attributable to (i) an increase of $1.6 million in stock-based compensation expense due to additional stock option awards granted since June 30, 2021 and (ii) an increase of $0.3 million in personnel and related costs primarily driven by headcount growth.</w:t>
      </w:r>
    </w:p>
    <w:p>
      <w:pPr>
        <w:spacing w:after="0" w:line="39"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General and administrative expenses increased by $5.3 million during the six months ended June 30, 2022 compared to the six months ended June 30, 2021. The increase was primarily attributable to (i) an increase of $3.8 million in stock-based compensation expense due to additional stock option awards granted since June 30, 2021, (ii) an increase of $0.6 million in personnel and related costs primarily driven by headcount growth and (iii) an increase of $0.9 million in other costs primarily driven by an increase in legal patent fees, SEC related filing fees and facility and information technology 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As of June 30, 2022, we had cash, cash equivalents and short-term and long-term investments of $324.2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We have incurred losses and negative cash flows from operations since inception and anticipate that we will continue to incur net losses for the foreseeable future. As of June 30, 2022, we had an accumulated deficit of $259.4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51"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03"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115" w:lineRule="exact"/>
        <w:rPr>
          <w:rFonts w:ascii="Arial" w:cs="Arial" w:eastAsia="Arial" w:hAnsi="Arial"/>
          <w:sz w:val="17"/>
          <w:szCs w:val="17"/>
          <w:color w:val="auto"/>
        </w:rPr>
      </w:pPr>
    </w:p>
    <w:p>
      <w:pPr>
        <w:ind w:left="1020" w:right="740" w:hanging="503"/>
        <w:spacing w:after="0" w:line="24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w:t>
      </w: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type w:val="continuous"/>
        </w:sectPr>
      </w:pPr>
    </w:p>
    <w:bookmarkStart w:id="23" w:name="page24"/>
    <w:bookmarkEnd w:id="23"/>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macroeconomic conditions, such as inflation, economic downturns, disasters, and medical or public health crises;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impact of the ongoing COVID-19 pandemic or geopolitical risks, which may exacerbate the magnitude of the factors discussed above.</w:t>
      </w:r>
    </w:p>
    <w:p>
      <w:pPr>
        <w:spacing w:after="0" w:line="12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7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 July 2020, we completed our initial public offering pursuant to a registration statement on Form S -1.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8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80"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 in our at-the-market equity offering program, or the ATM Offering Program. On March 25, 2022, we filed a Shelf Registration Statement with the SEC. In May 2022, we filed an amendment to the Shelf Registration Statement, which was declared effective by the SEC on May 31, 2022. No sales have been made under the ATM Offering Program as of the date of this report.</w:t>
      </w:r>
    </w:p>
    <w:p>
      <w:pPr>
        <w:spacing w:after="0" w:line="8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believe our existing cash, cash equivalents and short-term and long-term investments will enable us to fund our operating expenses and capital expenditure requirements through the fourth quarter of 2024. We have based these estimates on assumptions in which actuals may materially differ, and we could utilize our available capital resources sooner than we expect.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the net cash flow activity for the six months ended June 30, 2022 and 2021:</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5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7"/>
                <w:szCs w:val="17"/>
                <w:color w:val="auto"/>
              </w:rPr>
            </w:pPr>
          </w:p>
        </w:tc>
      </w:tr>
      <w:tr>
        <w:trPr>
          <w:trHeight w:val="19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(37,672 )</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(25,757 )</w:t>
            </w:r>
          </w:p>
        </w:tc>
      </w:tr>
      <w:tr>
        <w:trPr>
          <w:trHeight w:val="203"/>
        </w:trPr>
        <w:tc>
          <w:tcPr>
            <w:tcW w:w="5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(260,053 )</w:t>
            </w: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502</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1,509</w:t>
            </w:r>
          </w:p>
        </w:tc>
        <w:tc>
          <w:tcPr>
            <w:tcW w:w="80" w:type="dxa"/>
            <w:vAlign w:val="bottom"/>
          </w:tcPr>
          <w:p>
            <w:pPr>
              <w:spacing w:after="0"/>
              <w:rPr>
                <w:sz w:val="17"/>
                <w:szCs w:val="17"/>
                <w:color w:val="auto"/>
              </w:rPr>
            </w:pPr>
          </w:p>
        </w:tc>
      </w:tr>
      <w:tr>
        <w:trPr>
          <w:trHeight w:val="236"/>
        </w:trPr>
        <w:tc>
          <w:tcPr>
            <w:tcW w:w="5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(297,223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(24,255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In the six months ended June 30, 2022, net cash used in operating activities of $37.7 million was attributable to a net loss of $57.5 million, offset by non-cash charges of $12.1 million and a change in our net operating assets and liabilities of $7.7 million. Non-cash charges consisted primarily of stock-based compensation expense of $11.3 million and non-cash lease costs of $0.5 million. The change in operating assets and liabilities was primarily due to</w:t>
      </w:r>
    </w:p>
    <w:p>
      <w:pPr>
        <w:ind w:firstLine="8"/>
        <w:spacing w:after="0" w:line="234"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accounts payable and accrued expenses and other current liabilities of $8.8 million primarily due to timing of invoices and payments, (ii) a decrease in other non-current liabilities of $0.6 million and (iii) a decrease in other assets of $0.3 million.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ind w:right="40" w:firstLine="509"/>
        <w:spacing w:after="0" w:line="268" w:lineRule="auto"/>
        <w:rPr>
          <w:sz w:val="20"/>
          <w:szCs w:val="20"/>
          <w:color w:val="auto"/>
        </w:rPr>
      </w:pPr>
      <w:r>
        <w:rPr>
          <w:rFonts w:ascii="Arial" w:cs="Arial" w:eastAsia="Arial" w:hAnsi="Arial"/>
          <w:sz w:val="16"/>
          <w:szCs w:val="16"/>
          <w:color w:val="auto"/>
        </w:rPr>
        <w:t>In the six months ended June 30, 2021, net cash used in operating activities of $25.8 million was attributable to a net loss of $30.5 million, offset by non-cash charges of $4.3 million and a change in our net operating assets and liabilities of $0.5 million. Non-cash charges consisted primarily of stock-based compensation expense of $4.0 million and non-cash lease costs of $0.2 million. The change in operating assets and liabilities was primarily due to (i) an increase of $5.8 million in accounts payable, (ii) an increase of $2.3 million in other non-current liabilities due to the recognition of lease liabilities as a result of ASC 842 adoption as well as the commencement of new leases, (iii) an increase of $1.2 million in accrued expenses and other current liabilities,</w:t>
      </w:r>
    </w:p>
    <w:p>
      <w:pPr>
        <w:spacing w:after="0" w:line="1" w:lineRule="exact"/>
        <w:rPr>
          <w:sz w:val="20"/>
          <w:szCs w:val="20"/>
          <w:color w:val="auto"/>
        </w:rPr>
      </w:pPr>
    </w:p>
    <w:p>
      <w:pPr>
        <w:ind w:right="160" w:firstLine="8"/>
        <w:spacing w:after="0" w:line="260" w:lineRule="auto"/>
        <w:tabs>
          <w:tab w:leader="none" w:pos="3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$0.7 million increase in payable and accrued liabilities due to related party, (v) a decrease of $9.0 million in other assets of which $5.7 million related to certain clinical activities and $3.3 million related to right-of-use assets due to the recognition of right-of-use assets as a result of ASC 842 adoption as well as the commencement of new leases and (vi) a decrease of $0.5 million in prepaids expenses and other current assets.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In the six months ended June 30, 2022, net cash used in investing activities of $260.1 million was attributable to purchases of short-term and long-term investments of $279.2 million offset by cash received for sales and maturities of investments of $20.0 million and purchases of property and equipment of $0.8 million.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six months ended June 30, 2021, net cash used in investing activities was nominal.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the six months ended June 30, 2022, net cash provided by financing activities was $0.5 million and was attributable to proceeds from the exercise of stock options under equity incentive plans of $0.3 million and proceeds from issuance of common stock pursuant to employee stock purchase plan of $0.3 million offset by principal payments on finance leases of $0.1 million.</w:t>
      </w:r>
    </w:p>
    <w:p>
      <w:pPr>
        <w:spacing w:after="0" w:line="7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In the six months ended June 30, 2021, net cash provided by financing activities was $1.5 million and was attributable to proceeds from the exercise of stock options under equity incentive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0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We have contractual obligations from our operating leases, finance leases, manufacturing and service contracts and other research and development activities. The following table aggregates our material expected contractual obligations and commitments as of June 30, 2022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2022</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2023-2024</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95"/>
              </w:rPr>
              <w:t>2025-2026</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w w:val="99"/>
              </w:rPr>
              <w:t>Thereafter</w:t>
            </w:r>
          </w:p>
        </w:tc>
        <w:tc>
          <w:tcPr>
            <w:tcW w:w="100" w:type="dxa"/>
            <w:vAlign w:val="bottom"/>
          </w:tcPr>
          <w:p>
            <w:pPr>
              <w:spacing w:after="0"/>
              <w:rPr>
                <w:sz w:val="17"/>
                <w:szCs w:val="17"/>
                <w:color w:val="auto"/>
              </w:rPr>
            </w:pPr>
          </w:p>
        </w:tc>
      </w:tr>
      <w:tr>
        <w:trPr>
          <w:trHeight w:val="196"/>
        </w:trPr>
        <w:tc>
          <w:tcPr>
            <w:tcW w:w="370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2"/>
                <w:szCs w:val="22"/>
                <w:color w:val="auto"/>
                <w:vertAlign w:val="superscript"/>
              </w:rPr>
              <w:t>(i)</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8,572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2,519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7"/>
                <w:szCs w:val="17"/>
                <w:color w:val="auto"/>
              </w:rPr>
            </w:pPr>
          </w:p>
        </w:tc>
      </w:tr>
      <w:tr>
        <w:trPr>
          <w:trHeight w:val="202"/>
        </w:trPr>
        <w:tc>
          <w:tcPr>
            <w:tcW w:w="37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Finance lease obligations </w:t>
            </w:r>
            <w:r>
              <w:rPr>
                <w:rFonts w:ascii="Arial" w:cs="Arial" w:eastAsia="Arial" w:hAnsi="Arial"/>
                <w:sz w:val="23"/>
                <w:szCs w:val="23"/>
                <w:color w:val="auto"/>
                <w:vertAlign w:val="superscript"/>
              </w:rPr>
              <w:t>(ii)</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3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Manufacturing and service contracts </w:t>
            </w:r>
            <w:r>
              <w:rPr>
                <w:rFonts w:ascii="Arial" w:cs="Arial" w:eastAsia="Arial" w:hAnsi="Arial"/>
                <w:sz w:val="23"/>
                <w:szCs w:val="23"/>
                <w:color w:val="auto"/>
                <w:vertAlign w:val="superscript"/>
              </w:rPr>
              <w:t>(iii)</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49,150</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17,205</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31,727</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0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58,226</w:t>
            </w:r>
          </w:p>
        </w:tc>
        <w:tc>
          <w:tcPr>
            <w:tcW w:w="5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17,970</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34,534</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2,722</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3,000</w:t>
            </w:r>
          </w:p>
        </w:tc>
        <w:tc>
          <w:tcPr>
            <w:tcW w:w="10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-159385</wp:posOffset>
            </wp:positionV>
            <wp:extent cx="7747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-159385</wp:posOffset>
            </wp:positionV>
            <wp:extent cx="768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-159385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5" w:lineRule="exact"/>
        <w:rPr>
          <w:sz w:val="20"/>
          <w:szCs w:val="20"/>
          <w:color w:val="auto"/>
        </w:rPr>
      </w:pPr>
    </w:p>
    <w:p>
      <w:pPr>
        <w:ind w:left="760" w:right="60" w:hanging="378"/>
        <w:spacing w:after="0" w:line="259" w:lineRule="auto"/>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payments consist of (i) payments due for the office space in Burlingame, California under a single operating sub-lease agreement that expires in 2023, (ii) payments due for the office space in South San Francisco, California under a single operating lease agreement that expires in 2026 and (iii) payments due for the office and laboratory space in Palo Alto, California under a single operating lease agreement that expires in 2030. See Note 5 to our condensed consolidated financial statements appearing elsewhere in this Quarterly Report on Form 10-Q for details of related commitments.</w:t>
      </w:r>
    </w:p>
    <w:p>
      <w:pPr>
        <w:spacing w:after="0" w:line="65" w:lineRule="exact"/>
        <w:rPr>
          <w:rFonts w:ascii="Arial" w:cs="Arial" w:eastAsia="Arial" w:hAnsi="Arial"/>
          <w:sz w:val="15"/>
          <w:szCs w:val="15"/>
          <w:color w:val="auto"/>
        </w:rPr>
      </w:pPr>
    </w:p>
    <w:p>
      <w:pPr>
        <w:ind w:left="760" w:right="180" w:hanging="378"/>
        <w:spacing w:after="0" w:line="258"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Payments due for embedded finance leases related to a pharmaceutical support service contract. See Note 5 to our condensed consolidated financial statements appearing elsewhere in this Quarterly Report on Form 10-Q for details of related commitments.</w:t>
      </w:r>
    </w:p>
    <w:p>
      <w:pPr>
        <w:spacing w:after="0" w:line="63" w:lineRule="exact"/>
        <w:rPr>
          <w:rFonts w:ascii="Arial" w:cs="Arial" w:eastAsia="Arial" w:hAnsi="Arial"/>
          <w:sz w:val="16"/>
          <w:szCs w:val="16"/>
          <w:color w:val="auto"/>
        </w:rPr>
      </w:pPr>
    </w:p>
    <w:p>
      <w:pPr>
        <w:ind w:left="760" w:hanging="378"/>
        <w:spacing w:after="0" w:line="234"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November 2015, we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is cancellable upon notice and is non-exclusive. Statements of work under the MSA commit us to certain future purchase obligations of approximately $46.5 million. In addition, we have commitments with two other drug product manufacturers that commit us to certain future purchase obligations of approximately $2.6 million. We expect to make payments for these commitments through 2026 based on non-cancellable commitments and forecasts that include estimates of future market demand, quantity discounts and manufacturing efficiencies that may impact timing of purchases.</w:t>
      </w:r>
    </w:p>
    <w:p>
      <w:pPr>
        <w:spacing w:after="0" w:line="90"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condensed consolidated financial statements, which have been prepared in accordance with generally accepted accounting principles in the United States, or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76"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Our critical accounting policies are more fully described in the section titled “Management’s Discussion and Analysis of Financial Condition and Results of Operations—Critical Accounting Policies and Significant Judgments and Estimates” in the Company’s Annual Report on Form 10-K for the year ended December 31, 2021. During the six months ended June 30, 2022, there were no material changes to our critical accounting policies from those discussed in the Company’s Annual Report on Form 10-K for the year ended December 31, 2021 filed with the SEC on February 28, 2022.</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See “Note 2. Significant Accounting Policies - Recent Accounting Pronouncements” to our condensed consolidated financial statements included elsewhere in this Quarterly Report on Form 10-Q for more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June 30, 2022, we had cash, cash equivalents and short-term and long-term investments of $324.2 million. We generally hold our cash and cash equivalents in interest-bearing bank accounts and money market funds. We have invested primarily in U.S. Treasury securities, corporate debt securities and commercial paper and all our investments are classified as available-for-sale.</w:t>
      </w:r>
    </w:p>
    <w:p>
      <w:pPr>
        <w:spacing w:after="0" w:line="80"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exceed federally insured limits. The Company invests its cash equivalents in highly rated money market funds. During the periods presented, the Company has not experienced any realized losses on its deposits of cash, cash equivalents or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ind w:firstLine="509"/>
        <w:spacing w:after="0" w:line="254" w:lineRule="auto"/>
        <w:rPr>
          <w:sz w:val="20"/>
          <w:szCs w:val="20"/>
          <w:color w:val="auto"/>
        </w:rPr>
      </w:pPr>
      <w:r>
        <w:rPr>
          <w:rFonts w:ascii="Arial" w:cs="Arial" w:eastAsia="Arial" w:hAnsi="Arial"/>
          <w:sz w:val="17"/>
          <w:szCs w:val="17"/>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June 30, 2022.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73" w:lineRule="exact"/>
        <w:rPr>
          <w:sz w:val="20"/>
          <w:szCs w:val="20"/>
          <w:color w:val="auto"/>
        </w:rPr>
      </w:pPr>
    </w:p>
    <w:p>
      <w:pPr>
        <w:ind w:right="300" w:firstLine="509"/>
        <w:spacing w:after="0" w:line="324"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580" w:firstLine="509"/>
        <w:spacing w:after="0" w:line="24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2022 that materially affected, or are reasonably likely to materially affect, our internal control over financial reporting.</w:t>
      </w: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ind w:right="440" w:firstLine="509"/>
        <w:spacing w:after="0" w:line="248"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260" w:firstLine="50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63" w:lineRule="exact"/>
        <w:rPr>
          <w:sz w:val="20"/>
          <w:szCs w:val="20"/>
          <w:color w:val="auto"/>
        </w:rPr>
      </w:pPr>
    </w:p>
    <w:p>
      <w:pPr>
        <w:ind w:left="1020" w:right="4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such capital may not be available to us or may only be available on terms that are unfavorable to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limited operating history and have no products approved for commercial sale;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evorpacept (also known as ALX 148), which is in clinical development and which has not completed a pivotal trial;</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cause significant adverse events or other undesirable side effects when used alone or in combination with other treatments;</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62"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and other intellectual property for our product candidates and related technology, our business could be materially harmed;</w:t>
      </w:r>
    </w:p>
    <w:p>
      <w:pPr>
        <w:spacing w:after="0" w:line="62"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preclinical research for evorpacept is conducted primarily by a third-party service provider, Tallac Therapeutics, Inc. (formerly known as Tollnine, Inc.), or Tallac Therapeutics, and we rely on Tallac Therapeutics to perform its contractual research obligations on an effective and timely basis;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ongoing COVID-19 pandemic and geopolitical unrest related to Russia's war with Ukraine could adversely impact our business including our ongoing and planned clinical trials and preclinical research; and</w:t>
      </w:r>
    </w:p>
    <w:p>
      <w:pPr>
        <w:spacing w:after="0" w:line="62" w:lineRule="exact"/>
        <w:rPr>
          <w:rFonts w:ascii="Arial" w:cs="Arial" w:eastAsia="Arial" w:hAnsi="Arial"/>
          <w:sz w:val="18"/>
          <w:szCs w:val="18"/>
          <w:color w:val="auto"/>
        </w:rPr>
      </w:pPr>
    </w:p>
    <w:p>
      <w:pPr>
        <w:ind w:left="1020" w:right="60" w:hanging="503"/>
        <w:spacing w:after="0" w:line="24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past, we have identified material weaknesses in our internal control over financial reporting. If remediation measures we implemented are not effective, investors may lose confidence in our financial reports.</w:t>
      </w: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2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$32.9 million and $16.3 million for the three months ended June 30, 2022 and 2021, respectively, and $57.5 million and $30.5 million for the six months ended June 30, 2022 and 2021, respectively. As of June 30, 2022, we had an accumulated deficit of $259.4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6"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66" w:lineRule="exact"/>
        <w:rPr>
          <w:sz w:val="20"/>
          <w:szCs w:val="20"/>
          <w:color w:val="auto"/>
        </w:rPr>
      </w:pPr>
    </w:p>
    <w:p>
      <w:pPr>
        <w:ind w:right="80"/>
        <w:spacing w:after="0" w:line="356"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81"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As of June 30, 2022, we had cash, cash equivalents and investments of $324.2 million. Based on our current operating plan, we believe that our existing cash, cash equivalents and investments, will be sufficient to fund our operations through the fourth quarter of 2024. Our estimate as to how long we expect our existing cash, cash equivalents and investments to be able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p>
    <w:p>
      <w:pPr>
        <w:spacing w:after="0" w:line="67"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9" w:name="page30"/>
    <w:bookmarkEnd w:id="29"/>
    <w:p>
      <w:pPr>
        <w:ind w:firstLine="509"/>
        <w:spacing w:after="0" w:line="272" w:lineRule="auto"/>
        <w:rPr>
          <w:sz w:val="20"/>
          <w:szCs w:val="20"/>
          <w:color w:val="auto"/>
        </w:rPr>
      </w:pPr>
      <w:r>
        <w:rPr>
          <w:rFonts w:ascii="Arial" w:cs="Arial" w:eastAsia="Arial" w:hAnsi="Arial"/>
          <w:sz w:val="16"/>
          <w:szCs w:val="16"/>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60"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7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3"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6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3" w:lineRule="exact"/>
        <w:rPr>
          <w:sz w:val="20"/>
          <w:szCs w:val="20"/>
          <w:color w:val="auto"/>
        </w:rPr>
      </w:pPr>
    </w:p>
    <w:p>
      <w:pPr>
        <w:jc w:val="both"/>
        <w:ind w:right="120" w:firstLine="509"/>
        <w:spacing w:after="0" w:line="284"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7" w:lineRule="exact"/>
        <w:rPr>
          <w:sz w:val="20"/>
          <w:szCs w:val="20"/>
          <w:color w:val="auto"/>
        </w:rPr>
      </w:pPr>
    </w:p>
    <w:p>
      <w:pPr>
        <w:ind w:left="1020" w:right="40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evorpacept, and our other future product candidates;</w:t>
      </w:r>
    </w:p>
    <w:p>
      <w:pPr>
        <w:spacing w:after="0" w:line="62"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evorpacept and our other future product candidates;</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03"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w:t>
      </w:r>
    </w:p>
    <w:p>
      <w:pPr>
        <w:spacing w:after="0" w:line="73" w:lineRule="exact"/>
        <w:rPr>
          <w:rFonts w:ascii="Arial" w:cs="Arial" w:eastAsia="Arial" w:hAnsi="Arial"/>
          <w:sz w:val="18"/>
          <w:szCs w:val="18"/>
          <w:color w:val="auto"/>
        </w:rPr>
      </w:pPr>
    </w:p>
    <w:p>
      <w:pPr>
        <w:ind w:left="1020" w:right="26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ind w:left="1020" w:right="1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acceptance of evorpacept and any future product candidates as viable treatment options by patients, the medical community and third-party payors;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03"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020" w:right="7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p>
    <w:p>
      <w:pPr>
        <w:spacing w:after="0" w:line="56"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MDS, AML, HNSCC, gastric/ GEJ carcinoma, bladder cancer, or breast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5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39"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right="40" w:firstLine="509"/>
        <w:spacing w:after="0" w:line="272" w:lineRule="auto"/>
        <w:rPr>
          <w:sz w:val="20"/>
          <w:szCs w:val="20"/>
          <w:color w:val="auto"/>
        </w:rPr>
      </w:pPr>
      <w:r>
        <w:rPr>
          <w:rFonts w:ascii="Arial" w:cs="Arial" w:eastAsia="Arial" w:hAnsi="Arial"/>
          <w:sz w:val="16"/>
          <w:szCs w:val="16"/>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60"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9"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7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63"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subjects to participate in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noncompliance with clinical trial protocols;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investigational site or trial subjects withdrawing or dropping out of clinical trials at a higher rate than anticipated;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10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3"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inconclusive clinical trial results or interval changes to standards of care for the treatment of specific tumor types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is larger than anticipated, enrollment in these clinical trials is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ongoing COVID-19 pandemic, that impact both trial site operations, subject selection and participation;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third-party contractors failing to comply with regulatory requirements or meet their contractual obligations to us in a timely manner, or at all;</w:t>
      </w:r>
    </w:p>
    <w:p>
      <w:pPr>
        <w:spacing w:after="0" w:line="126" w:lineRule="exact"/>
        <w:rPr>
          <w:rFonts w:ascii="Arial" w:cs="Arial" w:eastAsia="Arial" w:hAnsi="Arial"/>
          <w:sz w:val="16"/>
          <w:szCs w:val="16"/>
          <w:color w:val="auto"/>
        </w:rPr>
      </w:pPr>
    </w:p>
    <w:p>
      <w:pPr>
        <w:ind w:left="1020" w:right="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0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right="160" w:firstLine="509"/>
        <w:spacing w:after="0" w:line="248"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and efficacy sufficient to obtain marketing approval of our product candidates or to market our drugs after any such approval. In December 2020, the FDA verbally informed us, that given our planned initiation of two Phase 2 HNSCC clinical trials that could be potentially registrational, it required completion of a routine non-clinical safety study. The FDA noted that for any drug development program moving swiftly through development, this non-clinical study is required prior to the initiation of a clinical trial that could be considered pivotal. We were allowed to initiate both Phase 2 HNSCC clinical trials with the enrollment capped at a total of 50 subjects treated with evorpacept across both trials (excluding safety lead-in cohorts). In June 2021, the FDA informed us that it had reviewed our standard non-clinical safety study and removed the partial clinical hold and patient cap on our two ongoing Phase 2 studies in patients with HNSCC. No impact was incurred on patient enrollment or study timelines as a result of the partial clinical hold.</w:t>
      </w:r>
    </w:p>
    <w:p>
      <w:pPr>
        <w:spacing w:after="0" w:line="7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63"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6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Enrollment of subjects in our clinical trials may be delayed or limited if our clinical trial sites limit their onsite staff or temporarily close as a result of the ongoing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ongoing COVID-19 pandemic could delay the anticipated readouts from our clinical trials and our regulatory submissions and increase the costs associated with clinical trials.</w:t>
      </w:r>
    </w:p>
    <w:p>
      <w:pPr>
        <w:spacing w:after="0" w:line="8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p>
    <w:p>
      <w:pPr>
        <w:spacing w:after="0" w:line="81"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020" w:right="180" w:hanging="503"/>
        <w:spacing w:after="0" w:line="324"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proximity of clinical trial sites to prospective subjects;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of subjects enrolled in clinical trials dropping out before completion;</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or delay in enrollment of subjects due to a variety of reasons, including outbreaks and public health crises, such as the ongoing COVID-19 pandemic;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inability to appropriately enroll an ethnically and racially diverse patient population representative of the target patient population.</w:t>
      </w:r>
    </w:p>
    <w:p>
      <w:pPr>
        <w:spacing w:after="0" w:line="11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160"/>
        <w:spacing w:after="0" w:line="29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3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7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4" w:lineRule="exact"/>
        <w:rPr>
          <w:sz w:val="20"/>
          <w:szCs w:val="20"/>
          <w:color w:val="auto"/>
        </w:rPr>
      </w:pPr>
    </w:p>
    <w:p>
      <w:pPr>
        <w:ind w:right="120" w:firstLine="509"/>
        <w:spacing w:after="0" w:line="269" w:lineRule="auto"/>
        <w:rPr>
          <w:sz w:val="20"/>
          <w:szCs w:val="20"/>
          <w:color w:val="auto"/>
        </w:rPr>
      </w:pPr>
      <w:r>
        <w:rPr>
          <w:rFonts w:ascii="Arial" w:cs="Arial" w:eastAsia="Arial" w:hAnsi="Arial"/>
          <w:sz w:val="16"/>
          <w:szCs w:val="16"/>
          <w:color w:val="auto"/>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6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60" w:firstLine="509"/>
        <w:spacing w:after="0" w:line="253"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AbbVie (through its licensing agreement with I-Mab), Akesobio, Apexigen, Arch Therapeutics, Bio-Thera Solutions, Boehringer Ingelheim, Bristol Myers Squibb, Conjupro Biotherapeutics, Gilead Sciences (through its acquisition of Forty Seven), I-Mab, ImmuneOncia Therapeutics, ImmunceOnco Biopharma, Innovent, Kahr, Mabwell Therapeutics, Mabworks, Novimmune, OSE Immunotherapeutics, Pfizer (through its acquisition of Trillium Therapeutics), Shattuck Labs, SinoBiological, Sorrento Therapeutics, TG Therapeutics, Waterstone, and Zai Lab,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6"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3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73"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5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10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6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harmed.</w:t>
      </w:r>
    </w:p>
    <w:p>
      <w:pPr>
        <w:spacing w:after="0" w:line="74" w:lineRule="exact"/>
        <w:rPr>
          <w:sz w:val="20"/>
          <w:szCs w:val="20"/>
          <w:color w:val="auto"/>
        </w:rPr>
      </w:pPr>
    </w:p>
    <w:p>
      <w:pPr>
        <w:ind w:right="240" w:firstLine="509"/>
        <w:spacing w:after="0" w:line="259" w:lineRule="auto"/>
        <w:rPr>
          <w:sz w:val="20"/>
          <w:szCs w:val="20"/>
          <w:color w:val="auto"/>
        </w:rPr>
      </w:pPr>
      <w:r>
        <w:rPr>
          <w:rFonts w:ascii="Arial" w:cs="Arial" w:eastAsia="Arial" w:hAnsi="Arial"/>
          <w:sz w:val="17"/>
          <w:szCs w:val="17"/>
          <w:color w:val="auto"/>
        </w:rPr>
        <w:t>We have the ability to independently conduct our preclinical research activities but we rely on a third-party service provider to conduct all of our preclinical research activities for evorpacept. Effective as of July 1, 2020, we transferred all of our preclinical research capabilities and nine of our employees, including our former Chief Scientific Officer,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6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p>
    <w:p>
      <w:pPr>
        <w:spacing w:after="0" w:line="6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there may be disruptions or delays to our evorpacept development pipeline.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8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If our relationship with Tallac Therapeutics terminates, 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hire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67"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jc w:val="both"/>
        <w:ind w:right="120"/>
        <w:spacing w:after="0" w:line="322"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ongoing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61"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6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7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74"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04"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40"/>
        <w:spacing w:after="0" w:line="261" w:lineRule="auto"/>
        <w:rPr>
          <w:sz w:val="20"/>
          <w:szCs w:val="20"/>
          <w:color w:val="auto"/>
        </w:rPr>
      </w:pPr>
      <w:r>
        <w:rPr>
          <w:rFonts w:ascii="Arial" w:cs="Arial" w:eastAsia="Arial" w:hAnsi="Arial"/>
          <w:sz w:val="18"/>
          <w:szCs w:val="18"/>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63" w:lineRule="exact"/>
        <w:rPr>
          <w:sz w:val="20"/>
          <w:szCs w:val="20"/>
          <w:color w:val="auto"/>
        </w:rPr>
      </w:pPr>
    </w:p>
    <w:p>
      <w:pPr>
        <w:ind w:right="40" w:firstLine="554"/>
        <w:spacing w:after="0" w:line="252" w:lineRule="auto"/>
        <w:rPr>
          <w:sz w:val="20"/>
          <w:szCs w:val="20"/>
          <w:color w:val="auto"/>
        </w:rPr>
      </w:pPr>
      <w:r>
        <w:rPr>
          <w:rFonts w:ascii="Arial" w:cs="Arial" w:eastAsia="Arial" w:hAnsi="Arial"/>
          <w:sz w:val="17"/>
          <w:szCs w:val="17"/>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7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5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clinical trials of evorpacept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with zanidatamab would be limited.</w:t>
      </w:r>
    </w:p>
    <w:p>
      <w:pPr>
        <w:spacing w:after="0" w:line="80"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80"/>
        <w:spacing w:after="0" w:line="262"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ongoing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6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8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7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3"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64" w:lineRule="exact"/>
        <w:rPr>
          <w:sz w:val="20"/>
          <w:szCs w:val="20"/>
          <w:color w:val="auto"/>
        </w:rPr>
      </w:pPr>
    </w:p>
    <w:p>
      <w:pPr>
        <w:ind w:left="1020" w:right="5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evorpacept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evorpacept and our other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evorpacept or our other product candidates by the FDA or</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9" w:name="page40"/>
    <w:bookmarkEnd w:id="39"/>
    <w:p>
      <w:pPr>
        <w:ind w:left="1020"/>
        <w:spacing w:after="0"/>
        <w:rPr>
          <w:sz w:val="20"/>
          <w:szCs w:val="20"/>
          <w:color w:val="auto"/>
        </w:rPr>
      </w:pPr>
      <w:r>
        <w:rPr>
          <w:rFonts w:ascii="Arial" w:cs="Arial" w:eastAsia="Arial" w:hAnsi="Arial"/>
          <w:sz w:val="18"/>
          <w:szCs w:val="18"/>
          <w:color w:val="auto"/>
        </w:rPr>
        <w:t>foreign regulatory authorities;</w:t>
      </w:r>
    </w:p>
    <w:p>
      <w:pPr>
        <w:spacing w:after="0" w:line="104"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115" w:lineRule="exact"/>
        <w:rPr>
          <w:rFonts w:ascii="Arial" w:cs="Arial" w:eastAsia="Arial" w:hAnsi="Arial"/>
          <w:sz w:val="17"/>
          <w:szCs w:val="17"/>
          <w:color w:val="auto"/>
        </w:rPr>
      </w:pPr>
    </w:p>
    <w:p>
      <w:pPr>
        <w:ind w:left="1020" w:right="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6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5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6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3"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72" w:lineRule="exact"/>
        <w:rPr>
          <w:sz w:val="20"/>
          <w:szCs w:val="20"/>
          <w:color w:val="auto"/>
        </w:rPr>
      </w:pPr>
    </w:p>
    <w:p>
      <w:pPr>
        <w:ind w:right="180" w:firstLine="509"/>
        <w:spacing w:after="0" w:line="25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0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w:t>
      </w: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right="140"/>
        <w:spacing w:after="0" w:line="243"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80"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55"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3"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including changing the dose and/or schedule of administration, limit the patient population who can use the product or conduct additional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73"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6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ind w:right="20" w:firstLine="509"/>
        <w:spacing w:after="0" w:line="255"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72"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9"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60"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spacing w:after="0" w:line="322"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1"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evorpacept or any product candidates we may seek to develop in the future will never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0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115" w:lineRule="exact"/>
        <w:rPr>
          <w:rFonts w:ascii="Arial" w:cs="Arial" w:eastAsia="Arial" w:hAnsi="Arial"/>
          <w:sz w:val="17"/>
          <w:szCs w:val="17"/>
          <w:color w:val="auto"/>
        </w:rPr>
      </w:pPr>
    </w:p>
    <w:p>
      <w:pPr>
        <w:ind w:left="1020" w:right="180" w:hanging="503"/>
        <w:spacing w:after="0" w:line="248"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580" w:hanging="503"/>
        <w:spacing w:after="0" w:line="324"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6" w:lineRule="exact"/>
        <w:rPr>
          <w:rFonts w:ascii="Arial" w:cs="Arial" w:eastAsia="Arial" w:hAnsi="Arial"/>
          <w:sz w:val="16"/>
          <w:szCs w:val="16"/>
          <w:color w:val="auto"/>
        </w:rPr>
      </w:pPr>
    </w:p>
    <w:p>
      <w:pPr>
        <w:ind w:left="1020" w:right="18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020" w:right="940" w:hanging="503"/>
        <w:spacing w:after="0" w:line="324"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6" w:lineRule="exact"/>
        <w:rPr>
          <w:rFonts w:ascii="Arial" w:cs="Arial" w:eastAsia="Arial" w:hAnsi="Arial"/>
          <w:sz w:val="16"/>
          <w:szCs w:val="16"/>
          <w:color w:val="auto"/>
        </w:rPr>
      </w:pPr>
    </w:p>
    <w:p>
      <w:pPr>
        <w:ind w:left="1020" w:right="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spacing w:after="0" w:line="6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80"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ongoing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right="100"/>
        <w:spacing w:after="0" w:line="261"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FDA granted Fast Track designation for evorpacept in combination with pembrolizumab, platinum, and fluorouracil for the first-line treatment of adult patients with metastatic or unresectable, recurrent HNSCC (February 2020) and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In July 2022, the FDA granted Fast Track designation for evorpacept in combination with pembrolizumab for first-line treatment of adult patients with metastatic or unresectable, recurrent HNSCC whose tumors express PD-L1.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5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and in June 2022, we were granted ODD to evorpacept for the treatment of patients with AML. We may seek ODD for certain additional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6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3"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6"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4" w:name="page45"/>
    <w:bookmarkEnd w:id="44"/>
    <w:p>
      <w:pPr>
        <w:ind w:right="20" w:firstLine="509"/>
        <w:spacing w:after="0" w:line="268"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6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2031, subject to certain exceptions. Under current legislation, the actual reduction in Medicare payments will vary from 1% in 2022 to up to 3% in the final fiscal year of this sequester. Additionally, it is possible that additional governmental action will be taken in response to the ongoing COVID-19 pandemic, resulting in a material adverse effect on our business.</w:t>
      </w:r>
    </w:p>
    <w:p>
      <w:pPr>
        <w:spacing w:after="0" w:line="8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rules implemented during the Trump administration. As a result, the Biden administration and HHS have delayed the implementation or published rules rescinding some of these Trump-era policies.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The implementation of cost containment measures or other healthcare reforms may prevent us from being able to generate revenue, attain profitability, or commercialize our product candidates if approved.</w:t>
      </w:r>
    </w:p>
    <w:p>
      <w:pPr>
        <w:spacing w:after="0" w:line="6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w:t>
      </w:r>
    </w:p>
    <w:p>
      <w:pPr>
        <w:spacing w:after="0" w:line="66"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5" w:name="page46"/>
    <w:bookmarkEnd w:id="45"/>
    <w:p>
      <w:pPr>
        <w:jc w:val="both"/>
        <w:ind w:right="140" w:firstLine="509"/>
        <w:spacing w:after="0" w:line="255"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7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8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80"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63" w:lineRule="exact"/>
        <w:rPr>
          <w:sz w:val="20"/>
          <w:szCs w:val="20"/>
          <w:color w:val="auto"/>
        </w:rPr>
      </w:pPr>
    </w:p>
    <w:p>
      <w:pPr>
        <w:ind w:left="1020" w:right="6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w:t>
      </w:r>
    </w:p>
    <w:p>
      <w:pPr>
        <w:spacing w:after="0" w:line="81" w:lineRule="exact"/>
        <w:rPr>
          <w:rFonts w:ascii="Arial" w:cs="Arial" w:eastAsia="Arial" w:hAnsi="Arial"/>
          <w:sz w:val="18"/>
          <w:szCs w:val="18"/>
          <w:color w:val="auto"/>
        </w:rPr>
      </w:pPr>
    </w:p>
    <w:p>
      <w:pPr>
        <w:ind w:left="1020" w:right="220" w:hanging="503"/>
        <w:spacing w:after="0" w:line="259"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65" w:lineRule="exact"/>
        <w:rPr>
          <w:rFonts w:ascii="Arial" w:cs="Arial" w:eastAsia="Arial" w:hAnsi="Arial"/>
          <w:sz w:val="17"/>
          <w:szCs w:val="17"/>
          <w:color w:val="auto"/>
        </w:rPr>
      </w:pPr>
    </w:p>
    <w:p>
      <w:pPr>
        <w:ind w:left="1020" w:right="120" w:hanging="503"/>
        <w:spacing w:after="0" w:line="271"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w:t>
      </w:r>
    </w:p>
    <w:p>
      <w:pPr>
        <w:ind w:left="1020" w:right="560"/>
        <w:spacing w:after="0" w:line="234" w:lineRule="auto"/>
        <w:rPr>
          <w:sz w:val="20"/>
          <w:szCs w:val="20"/>
          <w:color w:val="auto"/>
        </w:rPr>
      </w:pPr>
      <w:r>
        <w:rPr>
          <w:rFonts w:ascii="Arial" w:cs="Arial" w:eastAsia="Arial" w:hAnsi="Arial"/>
          <w:sz w:val="18"/>
          <w:szCs w:val="18"/>
          <w:color w:val="auto"/>
        </w:rPr>
        <w:t>healthcare beneficiary that a person knows or should know is likely to influence the beneficiary’s decision to order or receive items or services reimbursable by the government from a particular provider or supplier.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6" w:name="page47"/>
    <w:bookmarkEnd w:id="46"/>
    <w:p>
      <w:pPr>
        <w:ind w:left="1040" w:right="40" w:hanging="517"/>
        <w:spacing w:after="0" w:line="241"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1" w:lineRule="exact"/>
        <w:rPr>
          <w:rFonts w:ascii="Arial" w:cs="Arial" w:eastAsia="Arial" w:hAnsi="Arial"/>
          <w:sz w:val="18"/>
          <w:szCs w:val="18"/>
          <w:color w:val="auto"/>
        </w:rPr>
      </w:pPr>
    </w:p>
    <w:p>
      <w:pPr>
        <w:ind w:left="1040" w:right="40" w:hanging="517"/>
        <w:spacing w:after="0" w:line="238"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8"/>
          <w:szCs w:val="18"/>
          <w:i w:val="1"/>
          <w:iCs w:val="1"/>
          <w:color w:val="auto"/>
        </w:rPr>
        <w:t>i.e.</w:t>
      </w:r>
      <w:r>
        <w:rPr>
          <w:rFonts w:ascii="Arial" w:cs="Arial" w:eastAsia="Arial" w:hAnsi="Arial"/>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5" w:lineRule="exact"/>
        <w:rPr>
          <w:rFonts w:ascii="Arial" w:cs="Arial" w:eastAsia="Arial" w:hAnsi="Arial"/>
          <w:sz w:val="18"/>
          <w:szCs w:val="18"/>
          <w:color w:val="auto"/>
        </w:rPr>
      </w:pPr>
    </w:p>
    <w:p>
      <w:pPr>
        <w:ind w:left="1040" w:right="560" w:hanging="517"/>
        <w:spacing w:after="0" w:line="261"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040" w:right="160" w:hanging="517"/>
        <w:spacing w:after="0" w:line="257"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67" w:lineRule="exact"/>
        <w:rPr>
          <w:rFonts w:ascii="Arial" w:cs="Arial" w:eastAsia="Arial" w:hAnsi="Arial"/>
          <w:sz w:val="17"/>
          <w:szCs w:val="17"/>
          <w:color w:val="auto"/>
        </w:rPr>
      </w:pPr>
    </w:p>
    <w:p>
      <w:pPr>
        <w:ind w:left="1040" w:right="200" w:hanging="517"/>
        <w:spacing w:after="0" w:line="257"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67" w:lineRule="exact"/>
        <w:rPr>
          <w:rFonts w:ascii="Arial" w:cs="Arial" w:eastAsia="Arial" w:hAnsi="Arial"/>
          <w:sz w:val="17"/>
          <w:szCs w:val="17"/>
          <w:color w:val="auto"/>
        </w:rPr>
      </w:pPr>
    </w:p>
    <w:p>
      <w:pPr>
        <w:ind w:left="1020" w:right="40" w:hanging="503"/>
        <w:spacing w:after="0" w:line="271"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60" w:lineRule="exact"/>
        <w:rPr>
          <w:rFonts w:ascii="Arial" w:cs="Arial" w:eastAsia="Arial" w:hAnsi="Arial"/>
          <w:sz w:val="16"/>
          <w:szCs w:val="16"/>
          <w:color w:val="auto"/>
        </w:rPr>
      </w:pPr>
    </w:p>
    <w:p>
      <w:pPr>
        <w:ind w:left="1020" w:right="2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63"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ind w:right="180"/>
        <w:spacing w:after="0" w:line="248"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2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72" w:lineRule="exact"/>
        <w:rPr>
          <w:sz w:val="20"/>
          <w:szCs w:val="20"/>
          <w:color w:val="auto"/>
        </w:rPr>
      </w:pPr>
    </w:p>
    <w:p>
      <w:pPr>
        <w:ind w:right="300"/>
        <w:spacing w:after="0" w:line="322"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1" w:lineRule="exact"/>
        <w:rPr>
          <w:sz w:val="20"/>
          <w:szCs w:val="20"/>
          <w:color w:val="auto"/>
        </w:rPr>
      </w:pPr>
    </w:p>
    <w:p>
      <w:pPr>
        <w:ind w:right="60" w:firstLine="509"/>
        <w:spacing w:after="0" w:line="250"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response to the ongoing COVID-19 pandemic and travel restrictions, the FDA has issued industry guidance regarding plans to employ remote interactive evaluations, using risk management methods, to meet user fee commitments and goal dates as well as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 FDA review timelines could be extended due to COVID-19 related reasons. Additional policies or changes to current policies may be implemented in the future.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jc w:val="both"/>
        <w:ind w:right="440"/>
        <w:spacing w:after="0" w:line="248"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72"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6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3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pacing w:after="0" w:line="63"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Swiss Federal Act on Data Protection of June 19, 1992,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76"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74" w:lineRule="exact"/>
        <w:rPr>
          <w:sz w:val="20"/>
          <w:szCs w:val="20"/>
          <w:color w:val="auto"/>
        </w:rPr>
      </w:pPr>
    </w:p>
    <w:p>
      <w:pPr>
        <w:ind w:right="840" w:firstLine="509"/>
        <w:spacing w:after="0" w:line="244" w:lineRule="auto"/>
        <w:rPr>
          <w:sz w:val="20"/>
          <w:szCs w:val="20"/>
          <w:color w:val="auto"/>
        </w:rPr>
      </w:pPr>
      <w:r>
        <w:rPr>
          <w:rFonts w:ascii="Arial" w:cs="Arial" w:eastAsia="Arial" w:hAnsi="Arial"/>
          <w:sz w:val="18"/>
          <w:szCs w:val="18"/>
          <w:color w:val="auto"/>
        </w:rPr>
        <w:t>The GDPR, UK GDPR and FADP also restrict the transfer of personal information outside of the EEA, United Kingdom and Switzerland respectively, unless appropriate safeguards are in place.</w:t>
      </w: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right="140" w:firstLine="509"/>
        <w:spacing w:after="0" w:line="259" w:lineRule="auto"/>
        <w:rPr>
          <w:sz w:val="20"/>
          <w:szCs w:val="20"/>
          <w:color w:val="auto"/>
        </w:rPr>
      </w:pPr>
      <w:r>
        <w:rPr>
          <w:rFonts w:ascii="Arial" w:cs="Arial" w:eastAsia="Arial" w:hAnsi="Arial"/>
          <w:sz w:val="17"/>
          <w:szCs w:val="17"/>
          <w:color w:val="auto"/>
        </w:rPr>
        <w:t>One of the primary safeguards, the Standard Contractual Clauses adopted by the European Commission, have been recently updated. Any existing data transfer arrangement that relies on the previous version of the Standard Contractual Clauses needs to be updated by December 27, 2022, which could increase our costs. With regard to the data transfers outside of the EEA to the United States, in March 2022, the European Union and United States announced a political agreement on a new framework for personal information transfers. Once this framework has been formalized and officially adopted, we may consider relying on it to transfer personal information from the EEA to the United States.</w:t>
      </w:r>
    </w:p>
    <w:p>
      <w:pPr>
        <w:spacing w:after="0" w:line="6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which could increase our costs.</w:t>
      </w:r>
    </w:p>
    <w:p>
      <w:pPr>
        <w:spacing w:after="0" w:line="7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may, therefore, incur liabilities, expenses, costs, and other operational losses under the GDPR, UK GDPR, the FADP and applicable laws and regulations of European Union Member States in connection with any measures we take to comply with them.</w:t>
      </w:r>
    </w:p>
    <w:p>
      <w:pPr>
        <w:spacing w:after="0" w:line="6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73" w:lineRule="exact"/>
        <w:rPr>
          <w:sz w:val="20"/>
          <w:szCs w:val="20"/>
          <w:color w:val="auto"/>
        </w:rPr>
      </w:pPr>
    </w:p>
    <w:p>
      <w:pPr>
        <w:ind w:right="20" w:firstLine="509"/>
        <w:spacing w:after="0" w:line="249" w:lineRule="auto"/>
        <w:rPr>
          <w:sz w:val="20"/>
          <w:szCs w:val="20"/>
          <w:color w:val="auto"/>
        </w:rPr>
      </w:pPr>
      <w:r>
        <w:rPr>
          <w:rFonts w:ascii="Arial" w:cs="Arial" w:eastAsia="Arial" w:hAnsi="Arial"/>
          <w:sz w:val="17"/>
          <w:szCs w:val="17"/>
          <w:color w:val="auto"/>
        </w:rPr>
        <w:t>Additionally, a new privacy law, the California Privacy Rights Act, or the CPRA, was approved by California voters in the election on November 3, 2020. The CPRA modifies the CCPA significantly, potentially resulting in further uncertainty and requiring us to incur additional costs and expenses in an effort to comply. Regulations to the CPRA were to be finalized by July 1, 2022; however, the California Privacy Protection Agency (the agency responsible for promulgating the regulations) announced on February 17, 2022 that it will not publish final regulations until the third or fourth quarter of 2022, adding further uncertainty to our compliance obligations. Other states are beginning to consider and pass similar laws such as Virginia, Colorado, Utah, and Connecticut. On March 2, 2021, Virginia enacted the Virginia Consumer Data Protection Act, or CDPA, which becomes effective on January 1, 2023; on June 8, 2021, Colorado enacted the Colorado Privacy Act, or CPA, which takes effect on July 1, 2023; and on March 24, 2022, Utah enacted the Utah Consumer Privacy Act, or UCPA, which becomes effective on December 31, 2023; and on May 10, 2022, Connecticut enacted a similar law, An Act Concerning Personal Data Privacy and Online Monitoring, or CTDPA, which will take effect on July 1, 2023. The CPA, CDPA, UCPA, and CTDPA share similarities with the CCPA, CPRA, and legislation proposed in other states.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7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opposition or derivation proceedings challenging our patent rights or the patent rights of others.</w:t>
      </w:r>
    </w:p>
    <w:p>
      <w:pPr>
        <w:spacing w:after="0" w:line="55"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63"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7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In Europe, no earlier than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As of May 3, 2022, our portfolio includes one granted patent in Russia, four pending applications in Russia, one granted patent in Eurasia, and one pending application in Eurasia.</w:t>
      </w:r>
    </w:p>
    <w:p>
      <w:pPr>
        <w:spacing w:after="0" w:line="7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8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4" w:lineRule="exact"/>
        <w:rPr>
          <w:sz w:val="20"/>
          <w:szCs w:val="20"/>
          <w:color w:val="auto"/>
        </w:rPr>
      </w:pPr>
    </w:p>
    <w:p>
      <w:pPr>
        <w:ind w:right="20" w:firstLine="509"/>
        <w:spacing w:after="0" w:line="266"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right="400"/>
        <w:spacing w:after="0" w:line="26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72"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61" w:lineRule="exact"/>
        <w:rPr>
          <w:sz w:val="20"/>
          <w:szCs w:val="20"/>
          <w:color w:val="auto"/>
        </w:rPr>
      </w:pPr>
    </w:p>
    <w:p>
      <w:pPr>
        <w:jc w:val="both"/>
        <w:ind w:right="120" w:firstLine="509"/>
        <w:spacing w:after="0" w:line="279"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5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63" w:lineRule="exact"/>
        <w:rPr>
          <w:sz w:val="20"/>
          <w:szCs w:val="20"/>
          <w:color w:val="auto"/>
        </w:rPr>
      </w:pPr>
    </w:p>
    <w:p>
      <w:pPr>
        <w:jc w:val="both"/>
        <w:ind w:right="540" w:firstLine="509"/>
        <w:spacing w:after="0" w:line="248"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8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6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3"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273" w:lineRule="exact"/>
        <w:rPr>
          <w:sz w:val="20"/>
          <w:szCs w:val="20"/>
          <w:color w:val="auto"/>
        </w:rPr>
      </w:pPr>
    </w:p>
    <w:p>
      <w:pPr>
        <w:ind w:right="140" w:firstLine="509"/>
        <w:spacing w:after="0" w:line="266"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3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7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66"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62" w:lineRule="exact"/>
        <w:rPr>
          <w:rFonts w:ascii="Arial" w:cs="Arial" w:eastAsia="Arial" w:hAnsi="Arial"/>
          <w:sz w:val="18"/>
          <w:szCs w:val="18"/>
          <w:color w:val="auto"/>
        </w:rPr>
      </w:pPr>
    </w:p>
    <w:p>
      <w:pPr>
        <w:ind w:left="1020" w:right="100" w:hanging="503"/>
        <w:spacing w:after="0" w:line="270"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5" w:lineRule="exact"/>
        <w:rPr>
          <w:rFonts w:ascii="Arial" w:cs="Arial" w:eastAsia="Arial" w:hAnsi="Arial"/>
          <w:sz w:val="17"/>
          <w:szCs w:val="17"/>
          <w:color w:val="auto"/>
        </w:rPr>
      </w:pPr>
    </w:p>
    <w:p>
      <w:pPr>
        <w:ind w:left="1020" w:right="160" w:hanging="503"/>
        <w:spacing w:after="0" w:line="24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74"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59" w:lineRule="exact"/>
        <w:rPr>
          <w:sz w:val="20"/>
          <w:szCs w:val="20"/>
          <w:color w:val="auto"/>
        </w:rPr>
      </w:pPr>
    </w:p>
    <w:p>
      <w:pPr>
        <w:ind w:right="120" w:firstLine="509"/>
        <w:spacing w:after="0" w:line="251"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ind w:right="56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127"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80" w:lineRule="exact"/>
        <w:rPr>
          <w:sz w:val="20"/>
          <w:szCs w:val="20"/>
          <w:color w:val="auto"/>
        </w:rPr>
      </w:pPr>
    </w:p>
    <w:p>
      <w:pPr>
        <w:ind w:right="100" w:firstLine="509"/>
        <w:spacing w:after="0" w:line="251"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European Patent Office and UHN and The Hospital for Sick Children have appealed the decision. The patent claims under the European patent, if the appeal by UHN and The Hospital for Sick Children is successful, could potentially limit our ability to pursue evorpacept in certain new indications or geographies in the future. However, we believe that we do not infringe claims listed in U.S. patent 10,907,209.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81"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7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04"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9" w:lineRule="exact"/>
        <w:rPr>
          <w:sz w:val="20"/>
          <w:szCs w:val="20"/>
          <w:color w:val="auto"/>
        </w:rPr>
      </w:pPr>
    </w:p>
    <w:p>
      <w:pPr>
        <w:ind w:left="1020" w:right="2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ind w:left="1020" w:right="78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20" w:right="24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3" w:lineRule="exact"/>
        <w:rPr>
          <w:rFonts w:ascii="Arial" w:cs="Arial" w:eastAsia="Arial" w:hAnsi="Arial"/>
          <w:sz w:val="18"/>
          <w:szCs w:val="18"/>
          <w:color w:val="auto"/>
        </w:rPr>
      </w:pPr>
    </w:p>
    <w:p>
      <w:pPr>
        <w:ind w:left="1020" w:right="720" w:hanging="503"/>
        <w:spacing w:after="0" w:line="291"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03" w:lineRule="exact"/>
        <w:rPr>
          <w:rFonts w:ascii="Arial" w:cs="Arial" w:eastAsia="Arial" w:hAnsi="Arial"/>
          <w:sz w:val="18"/>
          <w:szCs w:val="18"/>
          <w:color w:val="auto"/>
        </w:rPr>
      </w:pPr>
    </w:p>
    <w:p>
      <w:pPr>
        <w:ind w:left="1020" w:right="60" w:hanging="503"/>
        <w:spacing w:after="0" w:line="291"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10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27"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47"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ind w:right="40" w:firstLine="509"/>
        <w:spacing w:after="0" w:line="237"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87"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04"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the option or license rights granted under the agreement and other interpretation-related issues;</w:t>
      </w:r>
    </w:p>
    <w:p>
      <w:pPr>
        <w:spacing w:after="0" w:line="103"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03" w:lineRule="exact"/>
        <w:rPr>
          <w:rFonts w:ascii="Arial" w:cs="Arial" w:eastAsia="Arial" w:hAnsi="Arial"/>
          <w:sz w:val="18"/>
          <w:szCs w:val="18"/>
          <w:color w:val="auto"/>
        </w:rPr>
      </w:pPr>
    </w:p>
    <w:p>
      <w:pPr>
        <w:ind w:left="1020" w:right="8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0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As of June 30, 2022, we had 52 employees, including 38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80" w:lineRule="exact"/>
        <w:rPr>
          <w:sz w:val="20"/>
          <w:szCs w:val="20"/>
          <w:color w:val="auto"/>
        </w:rPr>
      </w:pPr>
    </w:p>
    <w:p>
      <w:pPr>
        <w:ind w:left="5540" w:right="4060" w:hanging="5023"/>
        <w:spacing w:after="0" w:line="261" w:lineRule="auto"/>
        <w:tabs>
          <w:tab w:leader="none" w:pos="10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ind w:left="1020" w:right="280" w:hanging="503"/>
        <w:spacing w:after="0" w:line="291"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evorpacept and any other future product candidates, while complying with any contractual obligations to contractors and other third parties we may have;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evorpacept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3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2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3"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47"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9" w:name="page60"/>
    <w:bookmarkEnd w:id="59"/>
    <w:p>
      <w:pPr>
        <w:ind w:firstLine="509"/>
        <w:spacing w:after="0" w:line="252"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3"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67" w:lineRule="exact"/>
        <w:rPr>
          <w:sz w:val="20"/>
          <w:szCs w:val="20"/>
          <w:color w:val="auto"/>
        </w:rPr>
      </w:pPr>
    </w:p>
    <w:p>
      <w:pPr>
        <w:ind w:left="1020" w:right="260" w:hanging="503"/>
        <w:spacing w:after="0" w:line="248"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political and economic instability, such as the geopolitical tensions and regional economic disruptions caused by Russia’s war with Ukraine, and including wars, terrorism and political unrest, boycotts, curtailment of trade and other business restrictions;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such as a fire, an earthquake or a flood, or outbreaks or public health crises, such as the ongoing COVID-19 pandemic or the recent spread of Monkeypox;</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cybersecurity breach or a related breach of our information systems or data;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03" w:lineRule="exact"/>
        <w:rPr>
          <w:rFonts w:ascii="Arial" w:cs="Arial" w:eastAsia="Arial" w:hAnsi="Arial"/>
          <w:sz w:val="18"/>
          <w:szCs w:val="18"/>
          <w:color w:val="auto"/>
        </w:rPr>
      </w:pPr>
    </w:p>
    <w:p>
      <w:pPr>
        <w:ind w:left="1020" w:right="120" w:hanging="503"/>
        <w:spacing w:after="0" w:line="291"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39" w:lineRule="exact"/>
        <w:rPr>
          <w:sz w:val="20"/>
          <w:szCs w:val="20"/>
          <w:color w:val="auto"/>
        </w:rPr>
      </w:pPr>
    </w:p>
    <w:p>
      <w:pPr>
        <w:ind w:left="5540" w:right="1560" w:hanging="5016"/>
        <w:spacing w:after="0" w:line="261" w:lineRule="auto"/>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0" w:name="page61"/>
    <w:bookmarkEnd w:id="60"/>
    <w:p>
      <w:pPr>
        <w:ind w:right="20"/>
        <w:spacing w:after="0" w:line="356"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8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5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3"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73"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80"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83"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39" w:lineRule="exact"/>
        <w:rPr>
          <w:sz w:val="20"/>
          <w:szCs w:val="20"/>
          <w:color w:val="auto"/>
        </w:rPr>
      </w:pPr>
    </w:p>
    <w:p>
      <w:pPr>
        <w:ind w:right="360" w:firstLine="509"/>
        <w:spacing w:after="0" w:line="253" w:lineRule="auto"/>
        <w:rPr>
          <w:sz w:val="20"/>
          <w:szCs w:val="20"/>
          <w:color w:val="auto"/>
        </w:rPr>
      </w:pPr>
      <w:r>
        <w:rPr>
          <w:rFonts w:ascii="Arial" w:cs="Arial" w:eastAsia="Arial" w:hAnsi="Arial"/>
          <w:sz w:val="17"/>
          <w:szCs w:val="17"/>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i w:val="1"/>
          <w:iCs w:val="1"/>
          <w:color w:val="auto"/>
        </w:rPr>
        <w:t>The ongoing COVID-19 pandemic could adversely impact our business including our ongoing and planned clinical trials and preclinical research.</w:t>
      </w:r>
    </w:p>
    <w:p>
      <w:pPr>
        <w:spacing w:after="0" w:line="127"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More than two years after the World Health Organization characterized COVID-19 as a pandemic, the COVID-19 pandemic continues to impact worldwide economic activity and financial markets. The extent to which the ongoing COVID-19 pandemic ultimately impacts our business will depend on future developments, which are highly uncertain and cannot be predicted, such as the duration of the outbreak, including current and subsequent variants of COVID-19, new travel restrictions and social distancing measures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may experience disruptions that could severely impact our business, current and planned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and preclinical research, including:</w:t>
      </w:r>
    </w:p>
    <w:p>
      <w:pPr>
        <w:spacing w:after="0" w:line="116" w:lineRule="exact"/>
        <w:rPr>
          <w:sz w:val="20"/>
          <w:szCs w:val="20"/>
          <w:color w:val="auto"/>
        </w:rPr>
      </w:pPr>
    </w:p>
    <w:p>
      <w:pPr>
        <w:ind w:left="1020" w:right="1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particularly elderly subjects, who are at a higher risk of severe illness or death from COVID-19, in our ongoing clinical trials of evorpacept and our future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subjects;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jc w:val="both"/>
        <w:ind w:left="1020" w:right="80" w:hanging="503"/>
        <w:spacing w:after="0" w:line="270"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55" w:lineRule="exact"/>
        <w:rPr>
          <w:rFonts w:ascii="Arial" w:cs="Arial" w:eastAsia="Arial" w:hAnsi="Arial"/>
          <w:sz w:val="17"/>
          <w:szCs w:val="17"/>
          <w:color w:val="auto"/>
        </w:rPr>
      </w:pPr>
    </w:p>
    <w:p>
      <w:pPr>
        <w:ind w:left="1020" w:right="6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ongoing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receiving approval from regulatory authorities to initiate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the CROs conducting such studies;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03" w:lineRule="exact"/>
        <w:rPr>
          <w:rFonts w:ascii="Arial" w:cs="Arial" w:eastAsia="Arial" w:hAnsi="Arial"/>
          <w:sz w:val="18"/>
          <w:szCs w:val="18"/>
          <w:color w:val="auto"/>
        </w:rPr>
      </w:pPr>
    </w:p>
    <w:p>
      <w:pPr>
        <w:ind w:left="1020" w:right="420" w:hanging="503"/>
        <w:spacing w:after="0" w:line="324"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regulations as part of a response to the ongoing COVID-19 pandemic which may require us to change the ways in which our clinical trials are conducted, which may result in unexpected costs or require us to discontinue the clinical trial altogether;</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104" w:lineRule="exact"/>
        <w:rPr>
          <w:sz w:val="20"/>
          <w:szCs w:val="20"/>
          <w:color w:val="auto"/>
        </w:rPr>
      </w:pPr>
    </w:p>
    <w:p>
      <w:pPr>
        <w:ind w:right="60" w:firstLine="515"/>
        <w:spacing w:after="0" w:line="237" w:lineRule="auto"/>
        <w:rPr>
          <w:sz w:val="20"/>
          <w:szCs w:val="20"/>
          <w:color w:val="auto"/>
        </w:rPr>
      </w:pPr>
      <w:r>
        <w:rPr>
          <w:rFonts w:ascii="Arial" w:cs="Arial" w:eastAsia="Arial" w:hAnsi="Arial"/>
          <w:sz w:val="18"/>
          <w:szCs w:val="18"/>
          <w:color w:val="auto"/>
        </w:rPr>
        <w:t>The ongoing COVID-19 pandemic continues to pose a threat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Currently, our employees are following a hybrid work model that enables work in our South San Francisco office with flexibility to work from home, as needed. We continue to closely monitor the pandemic and may adjust our current policies as appropriate based on relevant public health guidance and local conditions.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2" w:name="page63"/>
    <w:bookmarkEnd w:id="62"/>
    <w:p>
      <w:pPr>
        <w:ind w:firstLine="515"/>
        <w:spacing w:after="0" w:line="251"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ongoing COVID-19 pandemic. If these third parties experience shutdowns or continued business disruptions, our ability to conduct our business in the manner and on the timelines presently planned could be materially and negatively impacted. For example, as a result of the ongoing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ongoing COVID-19 pandemic.</w:t>
      </w:r>
    </w:p>
    <w:p>
      <w:pPr>
        <w:spacing w:after="0" w:line="81"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Further, as a result of the ongoing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cGCPs,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ongoing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6"/>
          <w:szCs w:val="16"/>
          <w:i w:val="1"/>
          <w:iCs w:val="1"/>
          <w:color w:val="auto"/>
        </w:rPr>
        <w:t>e.g.</w:t>
      </w:r>
      <w:r>
        <w:rPr>
          <w:rFonts w:ascii="Arial" w:cs="Arial" w:eastAsia="Arial" w:hAnsi="Arial"/>
          <w:sz w:val="16"/>
          <w:szCs w:val="16"/>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67" w:lineRule="exact"/>
        <w:rPr>
          <w:sz w:val="20"/>
          <w:szCs w:val="20"/>
          <w:color w:val="auto"/>
        </w:rPr>
      </w:pPr>
    </w:p>
    <w:p>
      <w:pPr>
        <w:ind w:right="80" w:firstLine="515"/>
        <w:spacing w:after="0" w:line="248" w:lineRule="auto"/>
        <w:rPr>
          <w:sz w:val="20"/>
          <w:szCs w:val="20"/>
          <w:color w:val="auto"/>
        </w:rPr>
      </w:pPr>
      <w:r>
        <w:rPr>
          <w:rFonts w:ascii="Arial" w:cs="Arial" w:eastAsia="Arial" w:hAnsi="Arial"/>
          <w:sz w:val="18"/>
          <w:szCs w:val="18"/>
          <w:color w:val="auto"/>
        </w:rPr>
        <w:t>The ongoing COVID-19 pandemic continues to rapidly evolve. While the extent of the impact of the ongoing COVID-19 pandemic on our business and financial results is uncertain, a continued and prolonged public health crisis such as the ongoing COVID-19 pandemic could have a material negative impact on our business, financial condition and operating results.</w:t>
      </w:r>
    </w:p>
    <w:p>
      <w:pPr>
        <w:spacing w:after="0" w:line="7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To the extent the ongoing COVID-19 pandemic adversely affects our business and financial results, it may also have the effect of heightening many of the other risks described in this section and in this “Risk Factors” section.</w:t>
      </w:r>
    </w:p>
    <w:p>
      <w:pPr>
        <w:spacing w:after="0" w:line="6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80"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73" w:lineRule="exact"/>
        <w:rPr>
          <w:sz w:val="20"/>
          <w:szCs w:val="20"/>
          <w:color w:val="auto"/>
        </w:rPr>
      </w:pPr>
    </w:p>
    <w:p>
      <w:pPr>
        <w:ind w:right="40" w:firstLine="515"/>
        <w:spacing w:after="0" w:line="251"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3" w:name="page64"/>
    <w:bookmarkEnd w:id="63"/>
    <w:p>
      <w:pPr>
        <w:ind w:firstLine="509"/>
        <w:spacing w:after="0" w:line="252"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may acquire businesses or assets or create joint ventures with third parties that we believe may complement our existing product candidates. For example, on October 4, 2021, we entered into a share purchase agreement with ScalmiBio, Inc., or ScalmiBio, with plans to develop new anti-cancer drug candidates based on ScalmiBio’s platform and to enhance our internal research and development capabilities. In order to realize the benefits of the ScalmiBio acquisition, we will need to make a substantial investment of time and resources to support research and development efforts, including hiring additional skilled research personnel. Additionally, we may not be able to realize the benefit of acquiring such businesses or assets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55" w:lineRule="exact"/>
        <w:rPr>
          <w:sz w:val="20"/>
          <w:szCs w:val="20"/>
          <w:color w:val="auto"/>
        </w:rPr>
      </w:pPr>
    </w:p>
    <w:p>
      <w:pPr>
        <w:ind w:right="300" w:firstLine="509"/>
        <w:spacing w:after="0" w:line="262"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ind w:right="80" w:firstLine="509"/>
        <w:spacing w:after="0" w:line="266" w:lineRule="auto"/>
        <w:rPr>
          <w:sz w:val="20"/>
          <w:szCs w:val="20"/>
          <w:color w:val="auto"/>
        </w:rPr>
      </w:pPr>
      <w:r>
        <w:rPr>
          <w:rFonts w:ascii="Arial" w:cs="Arial" w:eastAsia="Arial" w:hAnsi="Arial"/>
          <w:sz w:val="16"/>
          <w:szCs w:val="16"/>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2021, we had net operating loss carryforwards of approximately $47.1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4" w:name="page65"/>
    <w:bookmarkEnd w:id="64"/>
    <w:p>
      <w:pPr>
        <w:ind w:firstLine="509"/>
        <w:spacing w:after="0" w:line="268" w:lineRule="auto"/>
        <w:rPr>
          <w:sz w:val="20"/>
          <w:szCs w:val="20"/>
          <w:color w:val="auto"/>
        </w:rPr>
      </w:pPr>
      <w:r>
        <w:rPr>
          <w:rFonts w:ascii="Arial" w:cs="Arial" w:eastAsia="Arial" w:hAnsi="Arial"/>
          <w:sz w:val="16"/>
          <w:szCs w:val="16"/>
          <w:color w:val="auto"/>
        </w:rPr>
        <w:t>As of December 31, 2021, we had Irish net operating loss carryforwards of approximately $5.6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04" w:lineRule="exact"/>
        <w:rPr>
          <w:sz w:val="20"/>
          <w:szCs w:val="20"/>
          <w:color w:val="auto"/>
        </w:rPr>
      </w:pPr>
    </w:p>
    <w:p>
      <w:pPr>
        <w:ind w:right="20" w:firstLine="554"/>
        <w:spacing w:after="0" w:line="274" w:lineRule="auto"/>
        <w:rPr>
          <w:sz w:val="20"/>
          <w:szCs w:val="20"/>
          <w:color w:val="auto"/>
        </w:rPr>
      </w:pPr>
      <w:r>
        <w:rPr>
          <w:rFonts w:ascii="Arial" w:cs="Arial" w:eastAsia="Arial" w:hAnsi="Arial"/>
          <w:sz w:val="16"/>
          <w:szCs w:val="16"/>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Company is currently evaluating the potential impact. In addition, the current Biden Administration has proposed numerous changes to U.S. federal income tax law, including an increase to the U.S. corporate income tax rate and modifications of the provisions addressing taxation of international business operations. Such changes, if enacted, may adversely affect our effective tax rates, cash flows and general business condition.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8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we filed an amendment to a Shelf Registration Statement, which was declared effective by the SEC on May 31, 2022 and provides for aggregate offerings of up to $450.0 million of the Company’s securities inclusive of up to $150.0 million of shares of our common stock through at-the-market offerings. If we issue common stock or securities convertible into common stock, our common stockholders would experience additional dilution and, as a result, our stock price may decline.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p>
    <w:p>
      <w:pPr>
        <w:spacing w:after="0" w:line="74"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5" w:name="page66"/>
    <w:bookmarkEnd w:id="65"/>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macroeconomic conditions, such as inflation, economic downturns, disasters, and medical or public health crises, including the impact of the ongoing COVID-19 pandemic and the ongoing geopolitical unrest related to Russia’s war with Ukraine;</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the stock market has recently experienced significant volatility, particularly with respect to biotechnology and other life sciences company stocks as a result of the ongoing COVID-19 pandemic.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8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3"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1" w:lineRule="exact"/>
        <w:rPr>
          <w:sz w:val="20"/>
          <w:szCs w:val="20"/>
          <w:color w:val="auto"/>
        </w:rPr>
      </w:pPr>
    </w:p>
    <w:p>
      <w:pPr>
        <w:jc w:val="both"/>
        <w:ind w:right="120" w:firstLine="509"/>
        <w:spacing w:after="0" w:line="243"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80"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3" w:lineRule="exact"/>
        <w:rPr>
          <w:sz w:val="20"/>
          <w:szCs w:val="20"/>
          <w:color w:val="auto"/>
        </w:rPr>
      </w:pPr>
    </w:p>
    <w:p>
      <w:pPr>
        <w:ind w:left="1020" w:right="380" w:hanging="503"/>
        <w:spacing w:after="0" w:line="274"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w:t>
      </w:r>
    </w:p>
    <w:p>
      <w:pPr>
        <w:ind w:left="1020"/>
        <w:spacing w:after="0" w:line="235" w:lineRule="auto"/>
        <w:rPr>
          <w:sz w:val="20"/>
          <w:szCs w:val="20"/>
          <w:color w:val="auto"/>
        </w:rPr>
      </w:pPr>
      <w:r>
        <w:rPr>
          <w:rFonts w:ascii="Arial" w:cs="Arial" w:eastAsia="Arial" w:hAnsi="Arial"/>
          <w:sz w:val="18"/>
          <w:szCs w:val="18"/>
          <w:color w:val="auto"/>
        </w:rPr>
        <w:t>increased and we expect will continue to increase costs for our clinical trials;</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6" w:name="page67"/>
    <w:bookmarkEnd w:id="66"/>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03"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timing and outcomes of clinical trials for evorpacept, and any of our other product candidates, or competing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delays in regulatory review or approval of evorpacept or any of our other product candidates;</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demand for evorpacept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evorpacept and any of our other product candidates;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commercialize evorpacept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ongoing COVID-19 pandemic;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As of June 30, 2022, we had 40,745,252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7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74"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6"/>
          <w:szCs w:val="16"/>
          <w:color w:val="auto"/>
        </w:rPr>
        <w:t>In addition, any sales of shares of common stock or other securities under our Shelf Registration Statement, including pursuant to our at-the-market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w:t>
      </w:r>
    </w:p>
    <w:p>
      <w:pPr>
        <w:ind w:right="80"/>
        <w:spacing w:after="0" w:line="234" w:lineRule="auto"/>
        <w:rPr>
          <w:sz w:val="20"/>
          <w:szCs w:val="20"/>
          <w:color w:val="auto"/>
        </w:rPr>
      </w:pPr>
      <w:r>
        <w:rPr>
          <w:rFonts w:ascii="Arial" w:cs="Arial" w:eastAsia="Arial" w:hAnsi="Arial"/>
          <w:sz w:val="18"/>
          <w:szCs w:val="18"/>
          <w:color w:val="auto"/>
        </w:rPr>
        <w:t>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7" w:name="page68"/>
    <w:bookmarkEnd w:id="67"/>
    <w:p>
      <w:pPr>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incurred and will continue to incur significant legal, accounting, compliance and other expenses as a public company and these expenses may increase even more given that we were no longer an “emerging growth company” as of December 31, 2021.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8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addition, during the first quarter of 2021, we implemented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72"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7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Effective as of December 31, 2021, we became a large accelerated filer and were no longer an emerging growth company. We are not able to take advantage of the reduced disclosure requirements applicable to emerging growth companies.</w:t>
      </w:r>
    </w:p>
    <w:p>
      <w:pPr>
        <w:spacing w:after="0" w:line="63"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As a result of our public float (the market value of our common shares held by non-affiliates) as of June 30, 2021, we became a large accelerated filer as of December 31, 2021 and therefore no longer qualified as an “emerging growth company,” as defined in the JOBS Act.</w:t>
      </w:r>
    </w:p>
    <w:p>
      <w:pPr>
        <w:spacing w:after="0" w:line="39" w:lineRule="exact"/>
        <w:rPr>
          <w:sz w:val="20"/>
          <w:szCs w:val="20"/>
          <w:color w:val="auto"/>
        </w:rPr>
      </w:pPr>
    </w:p>
    <w:p>
      <w:pPr>
        <w:ind w:right="520" w:firstLine="509"/>
        <w:spacing w:after="0" w:line="291" w:lineRule="auto"/>
        <w:rPr>
          <w:sz w:val="20"/>
          <w:szCs w:val="20"/>
          <w:color w:val="auto"/>
        </w:rPr>
      </w:pPr>
      <w:r>
        <w:rPr>
          <w:rFonts w:ascii="Arial" w:cs="Arial" w:eastAsia="Arial" w:hAnsi="Arial"/>
          <w:sz w:val="17"/>
          <w:szCs w:val="17"/>
          <w:color w:val="auto"/>
        </w:rPr>
        <w:t>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spacing w:after="0" w:line="39" w:lineRule="exact"/>
        <w:rPr>
          <w:sz w:val="20"/>
          <w:szCs w:val="20"/>
          <w:color w:val="auto"/>
        </w:rPr>
      </w:pPr>
    </w:p>
    <w:p>
      <w:pPr>
        <w:ind w:left="900" w:hanging="383"/>
        <w:spacing w:after="0" w:line="261"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that our independent registered public accounting firm attest to the effectiveness of our internal control over financial reporting under Section 404(b) of the Sarbanes-Oxley Act of 2002 (“SOX”);</w:t>
      </w:r>
    </w:p>
    <w:p>
      <w:pPr>
        <w:spacing w:after="0" w:line="62"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that we provide full and more detailed disclosures regarding executive compensation; and</w:t>
      </w:r>
    </w:p>
    <w:p>
      <w:pPr>
        <w:spacing w:after="0" w:line="103" w:lineRule="exact"/>
        <w:rPr>
          <w:rFonts w:ascii="Arial" w:cs="Arial" w:eastAsia="Arial" w:hAnsi="Arial"/>
          <w:sz w:val="18"/>
          <w:szCs w:val="18"/>
          <w:color w:val="auto"/>
        </w:rPr>
      </w:pPr>
    </w:p>
    <w:p>
      <w:pPr>
        <w:ind w:left="900" w:right="60" w:hanging="383"/>
        <w:spacing w:after="0" w:line="24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stockholder approval of any golden parachute payments not previously approved.</w:t>
      </w: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8" w:name="page69"/>
    <w:bookmarkEnd w:id="68"/>
    <w:p>
      <w:pPr>
        <w:ind w:right="100" w:firstLine="509"/>
        <w:spacing w:after="0" w:line="248" w:lineRule="auto"/>
        <w:rPr>
          <w:sz w:val="20"/>
          <w:szCs w:val="20"/>
          <w:color w:val="auto"/>
        </w:rPr>
      </w:pPr>
      <w:r>
        <w:rPr>
          <w:rFonts w:ascii="Arial" w:cs="Arial" w:eastAsia="Arial" w:hAnsi="Arial"/>
          <w:sz w:val="18"/>
          <w:szCs w:val="18"/>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w:t>
      </w:r>
    </w:p>
    <w:p>
      <w:pPr>
        <w:spacing w:after="0" w:line="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While we are currently a large accelerated filer, we will become a “non-accelerated filer” in fiscal year 2023 and this status could make our common stock less attractive to investors.</w:t>
      </w:r>
    </w:p>
    <w:p>
      <w:pPr>
        <w:spacing w:after="0" w:line="6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Each year, we re-evaluate our SEC filing status. Accordingly, due to our public float as of June 30, 2022, we will become a non-accelerated filer in fiscal year 2023. For as long as we continue to be a non-accelerated filer, we may choose to take advantage of not being required to have our independent registered public accounting firm audit our internal control over financial reporting under Section 404(b) of SOX.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spacing w:after="0" w:line="7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As of June 30, 2022 our executive officers, directors, holders of 5% or more of our capital stock and their respective affiliates beneficially owned approximately 71.3% of our outstanding voting stock.</w:t>
      </w:r>
    </w:p>
    <w:p>
      <w:pPr>
        <w:spacing w:after="0" w:line="63"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2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15"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following effectiveness, under our Shelf Registration Statement and pursuant to our related at-the-market facility included therein.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9" w:name="page70"/>
    <w:bookmarkEnd w:id="69"/>
    <w:p>
      <w:pPr>
        <w:ind w:right="460"/>
        <w:spacing w:after="0" w:line="291"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9"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64"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03"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7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6"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04"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63"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0" w:name="page71"/>
    <w:bookmarkEnd w:id="70"/>
    <w:p>
      <w:pPr>
        <w:ind w:right="20" w:firstLine="509"/>
        <w:spacing w:after="0" w:line="274"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55"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56"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In the past, we and our independent registered public accounting firm identified two material weaknesses in our internal control over financial reporting, all of which have since been remediated.</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3" w:lineRule="exact"/>
        <w:rPr>
          <w:sz w:val="20"/>
          <w:szCs w:val="20"/>
          <w:color w:val="auto"/>
        </w:rPr>
      </w:pPr>
    </w:p>
    <w:p>
      <w:pPr>
        <w:ind w:right="200" w:firstLine="509"/>
        <w:spacing w:after="0" w:line="27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6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Any failure to maintain effective internal control over financial reporting could have a material adverse effect on our business, financial condition and results of operations and the trading price of our common stock.</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as the market value of our common stock held by non-affiliates exceeded $700.0 million as of June 30, 2021. As such, pursuant to Section 404(b) of the Sarbanes-Oxley Act, our independent registered public accounting firm attested to the effectiveness of our internal control over financial reporting as of December 31, 2021.</w:t>
      </w:r>
    </w:p>
    <w:p>
      <w:pPr>
        <w:spacing w:after="0" w:line="8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3"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General Risks</w:t>
      </w:r>
    </w:p>
    <w:p>
      <w:pPr>
        <w:spacing w:after="0" w:line="108"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8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04" w:lineRule="exact"/>
        <w:rPr>
          <w:sz w:val="20"/>
          <w:szCs w:val="20"/>
          <w:color w:val="auto"/>
        </w:rPr>
      </w:pPr>
    </w:p>
    <w:p>
      <w:pPr>
        <w:ind w:right="260" w:firstLine="509"/>
        <w:spacing w:after="0" w:line="255"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ongoing COVID-19 pandemic, and other natural or man-made disasters such as the ongoing geopolitical unrest related to Russia's war with Ukraine,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72"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 or incidents.</w:t>
      </w:r>
    </w:p>
    <w:p>
      <w:pPr>
        <w:spacing w:after="0" w:line="115"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many of our employees and employees of our third-party service providers continue to work remotely for some portion of time in response to the ongoing COVID-19 pandemic, because we and our service providers have less capability to implement, monitor and enforce our information security and data protection policies for those employees. Also, due to political uncertainty and military actions associated with Russia’s war with Ukraine, we and our CROs and other third-party service providers are vulnerable to heightened risks of cybersecurity incidents and security and privacy breaches from or affiliated with nation-state actors, including attacks that could materially disrupt our drug discovery and development programs or other aspects of our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firstLine="509"/>
        <w:spacing w:after="0" w:line="252" w:lineRule="auto"/>
        <w:rPr>
          <w:sz w:val="20"/>
          <w:szCs w:val="20"/>
          <w:color w:val="auto"/>
        </w:rPr>
      </w:pPr>
      <w:r>
        <w:rPr>
          <w:rFonts w:ascii="Arial" w:cs="Arial" w:eastAsia="Arial" w:hAnsi="Arial"/>
          <w:sz w:val="17"/>
          <w:szCs w:val="17"/>
          <w:color w:val="auto"/>
        </w:rPr>
        <w:t>A system failure or security breach or incident that causes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7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jc w:val="both"/>
        <w:ind w:right="20" w:firstLine="509"/>
        <w:spacing w:after="0" w:line="255"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80"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8"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7"/>
            <w:vMerge w:val="restart"/>
          </w:tcPr>
          <w:p>
            <w:pPr>
              <w:ind w:left="70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2"/>
                <w:szCs w:val="12"/>
                <w:color w:val="auto"/>
              </w:rPr>
            </w:pP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13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jc w:val="center"/>
              <w:ind w:right="288"/>
              <w:spacing w:after="0" w:line="142"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100" w:type="dxa"/>
            <w:vAlign w:val="bottom"/>
          </w:tcPr>
          <w:p>
            <w:pPr>
              <w:jc w:val="center"/>
              <w:ind w:right="288"/>
              <w:spacing w:after="0"/>
              <w:rPr>
                <w:sz w:val="20"/>
                <w:szCs w:val="20"/>
                <w:color w:val="auto"/>
              </w:rPr>
            </w:pPr>
            <w:r>
              <w:rPr>
                <w:rFonts w:ascii="Arial" w:cs="Arial" w:eastAsia="Arial" w:hAnsi="Arial"/>
                <w:sz w:val="14"/>
                <w:szCs w:val="14"/>
                <w:b w:val="1"/>
                <w:bCs w:val="1"/>
                <w:color w:val="auto"/>
                <w:w w:val="99"/>
              </w:rPr>
              <w:t>DATE</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8"/>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Certification of Principal Executive Officer</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EE"/>
            </w:tcBorders>
            <w:gridSpan w:val="3"/>
          </w:tcPr>
          <w:p>
            <w:pPr>
              <w:spacing w:after="0" w:line="15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Pursuant to Rules 13a-14(a) and 15d-14(a)</w:t>
              </w:r>
            </w:hyperlink>
          </w:p>
        </w:tc>
        <w:tc>
          <w:tcPr>
            <w:tcW w:w="660" w:type="dxa"/>
            <w:vAlign w:val="bottom"/>
            <w:gridSpan w:val="6"/>
          </w:tcPr>
          <w:p>
            <w:pPr>
              <w:jc w:val="right"/>
              <w:ind w:right="300"/>
              <w:spacing w:after="0" w:line="156" w:lineRule="exact"/>
              <w:rPr>
                <w:rFonts w:ascii="Arial" w:cs="Arial" w:eastAsia="Arial" w:hAnsi="Arial"/>
                <w:sz w:val="18"/>
                <w:szCs w:val="18"/>
                <w:color w:val="0000EE"/>
                <w:w w:val="73"/>
              </w:rPr>
            </w:pPr>
            <w:hyperlink w:anchor="page77">
              <w:r>
                <w:rPr>
                  <w:rFonts w:ascii="Arial" w:cs="Arial" w:eastAsia="Arial" w:hAnsi="Arial"/>
                  <w:sz w:val="18"/>
                  <w:szCs w:val="18"/>
                  <w:color w:val="0000EE"/>
                  <w:w w:val="73"/>
                </w:rPr>
                <w:t>under</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the Securities Exchange Act of 1934, as Adopted</w:t>
              </w:r>
            </w:hyperlink>
          </w:p>
        </w:tc>
        <w:tc>
          <w:tcPr>
            <w:tcW w:w="20" w:type="dxa"/>
            <w:vAlign w:val="bottom"/>
            <w:tcBorders>
              <w:bottom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9"/>
          </w:tcPr>
          <w:p>
            <w:pPr>
              <w:spacing w:after="0" w:line="15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Pursuant to Section 302 of the Sarbanes-Oxley Act</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of 2002.</w:t>
              </w:r>
            </w:hyperlink>
          </w:p>
        </w:tc>
        <w:tc>
          <w:tcPr>
            <w:tcW w:w="3080" w:type="dxa"/>
            <w:vAlign w:val="bottom"/>
            <w:tcBorders>
              <w:top w:val="single" w:sz="8" w:color="0000EE"/>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Certification of Principal Financial Officer</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EE"/>
            </w:tcBorders>
            <w:gridSpan w:val="2"/>
          </w:tcPr>
          <w:p>
            <w:pPr>
              <w:spacing w:after="0" w:line="15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Pursuant to Rules 13a-14(a) and 15d-14(a)</w:t>
              </w:r>
            </w:hyperlink>
          </w:p>
        </w:tc>
        <w:tc>
          <w:tcPr>
            <w:tcW w:w="700" w:type="dxa"/>
            <w:vAlign w:val="bottom"/>
            <w:gridSpan w:val="7"/>
          </w:tcPr>
          <w:p>
            <w:pPr>
              <w:jc w:val="right"/>
              <w:ind w:right="300"/>
              <w:spacing w:after="0" w:line="156" w:lineRule="exact"/>
              <w:rPr>
                <w:rFonts w:ascii="Arial" w:cs="Arial" w:eastAsia="Arial" w:hAnsi="Arial"/>
                <w:sz w:val="18"/>
                <w:szCs w:val="18"/>
                <w:color w:val="0000EE"/>
                <w:w w:val="82"/>
              </w:rPr>
            </w:pPr>
            <w:hyperlink w:anchor="page78">
              <w:r>
                <w:rPr>
                  <w:rFonts w:ascii="Arial" w:cs="Arial" w:eastAsia="Arial" w:hAnsi="Arial"/>
                  <w:sz w:val="18"/>
                  <w:szCs w:val="18"/>
                  <w:color w:val="0000EE"/>
                  <w:w w:val="82"/>
                </w:rPr>
                <w:t>under</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the Securities Exchange Act of 1934, as Adopted</w:t>
              </w:r>
            </w:hyperlink>
          </w:p>
        </w:tc>
        <w:tc>
          <w:tcPr>
            <w:tcW w:w="20" w:type="dxa"/>
            <w:vAlign w:val="bottom"/>
            <w:tcBorders>
              <w:bottom w:val="single" w:sz="8" w:color="0000EE"/>
            </w:tcBorders>
          </w:tcPr>
          <w:p>
            <w:pPr>
              <w:spacing w:after="0"/>
              <w:rPr>
                <w:sz w:val="13"/>
                <w:szCs w:val="13"/>
                <w:color w:val="auto"/>
              </w:rPr>
            </w:pPr>
          </w:p>
        </w:tc>
        <w:tc>
          <w:tcPr>
            <w:tcW w:w="24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9"/>
          </w:tcPr>
          <w:p>
            <w:pPr>
              <w:spacing w:after="0" w:line="15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Pursuant to Section 302 of the Sarbanes-Oxley Act</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of 2002.</w:t>
              </w:r>
            </w:hyperlink>
          </w:p>
        </w:tc>
        <w:tc>
          <w:tcPr>
            <w:tcW w:w="3080" w:type="dxa"/>
            <w:vAlign w:val="bottom"/>
            <w:tcBorders>
              <w:top w:val="single" w:sz="8" w:color="0000EE"/>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Certification of Principal Executive Officer</w:t>
              </w:r>
            </w:hyperlink>
          </w:p>
        </w:tc>
        <w:tc>
          <w:tcPr>
            <w:tcW w:w="66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bottom w:val="single" w:sz="8" w:color="0000EE"/>
            </w:tcBorders>
            <w:gridSpan w:val="4"/>
          </w:tcPr>
          <w:p>
            <w:pPr>
              <w:spacing w:after="0" w:line="15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Pursuant to 18 U.S.C. Section 1350, as Adopted</w:t>
              </w:r>
            </w:hyperlink>
          </w:p>
        </w:tc>
        <w:tc>
          <w:tcPr>
            <w:tcW w:w="32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9"/>
          </w:tcPr>
          <w:p>
            <w:pPr>
              <w:spacing w:after="0" w:line="15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Pursuant to Section 906 of the Sarbanes-Oxley Act</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of 2002.</w:t>
              </w:r>
            </w:hyperlink>
          </w:p>
        </w:tc>
        <w:tc>
          <w:tcPr>
            <w:tcW w:w="3080" w:type="dxa"/>
            <w:vAlign w:val="bottom"/>
            <w:tcBorders>
              <w:top w:val="single" w:sz="8" w:color="0000EE"/>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Certification of Principal Financial Officer</w:t>
              </w:r>
            </w:hyperlink>
          </w:p>
        </w:tc>
        <w:tc>
          <w:tcPr>
            <w:tcW w:w="700" w:type="dxa"/>
            <w:vAlign w:val="bottom"/>
            <w:gridSpan w:val="7"/>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bottom w:val="single" w:sz="8" w:color="0000EE"/>
            </w:tcBorders>
            <w:gridSpan w:val="4"/>
          </w:tcPr>
          <w:p>
            <w:pPr>
              <w:spacing w:after="0" w:line="15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Pursuant to 18 U.S.C. Section 1350, as Adopted</w:t>
              </w:r>
            </w:hyperlink>
          </w:p>
        </w:tc>
        <w:tc>
          <w:tcPr>
            <w:tcW w:w="32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9"/>
          </w:tcPr>
          <w:p>
            <w:pPr>
              <w:spacing w:after="0" w:line="15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Pursuant to Section 906 of the Sarbanes-Oxley Act</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of 2002.</w:t>
              </w:r>
            </w:hyperlink>
          </w:p>
        </w:tc>
        <w:tc>
          <w:tcPr>
            <w:tcW w:w="3080" w:type="dxa"/>
            <w:vAlign w:val="bottom"/>
            <w:tcBorders>
              <w:top w:val="single" w:sz="8" w:color="0000EE"/>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9"/>
          </w:tcPr>
          <w:p>
            <w:pPr>
              <w:spacing w:after="0" w:line="176" w:lineRule="exact"/>
              <w:rPr>
                <w:sz w:val="20"/>
                <w:szCs w:val="20"/>
                <w:color w:val="auto"/>
              </w:rPr>
            </w:pPr>
            <w:r>
              <w:rPr>
                <w:rFonts w:ascii="Arial" w:cs="Arial" w:eastAsia="Arial" w:hAnsi="Arial"/>
                <w:sz w:val="18"/>
                <w:szCs w:val="18"/>
                <w:color w:val="auto"/>
                <w:w w:val="95"/>
              </w:rPr>
              <w:t>Document does not appear in the Interactive Data</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9"/>
          </w:tcPr>
          <w:p>
            <w:pPr>
              <w:spacing w:after="0" w:line="176" w:lineRule="exact"/>
              <w:rPr>
                <w:sz w:val="20"/>
                <w:szCs w:val="20"/>
                <w:color w:val="auto"/>
              </w:rPr>
            </w:pPr>
            <w:r>
              <w:rPr>
                <w:rFonts w:ascii="Arial" w:cs="Arial" w:eastAsia="Arial" w:hAnsi="Arial"/>
                <w:sz w:val="18"/>
                <w:szCs w:val="18"/>
                <w:color w:val="auto"/>
                <w:w w:val="97"/>
              </w:rPr>
              <w:t>File because its XBRL tags are embedded within</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the Inline XBRL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w w:val="96"/>
              </w:rPr>
              <w:t>Inline XBRL Taxonomy Extension Label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and included in exhibit 101)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80" w:firstLine="8"/>
        <w:spacing w:after="0" w:line="239" w:lineRule="auto"/>
        <w:tabs>
          <w:tab w:leader="none" w:pos="1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5" w:name="page76"/>
    <w:bookmarkEnd w:id="75"/>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r>
        <w:rPr>
          <w:rFonts w:ascii="Arial" w:cs="Arial" w:eastAsia="Arial" w:hAnsi="Arial"/>
          <w:sz w:val="18"/>
          <w:szCs w:val="18"/>
          <w:b w:val="1"/>
          <w:bCs w:val="1"/>
          <w:color w:val="auto"/>
        </w:rPr>
        <w:t>.</w:t>
      </w:r>
    </w:p>
    <w:p>
      <w:pPr>
        <w:spacing w:after="0" w:line="1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ALX ONCOLOGY HOLDINGS INC.</w:t>
      </w:r>
    </w:p>
    <w:p>
      <w:pPr>
        <w:spacing w:after="0" w:line="169" w:lineRule="exact"/>
        <w:rPr>
          <w:sz w:val="20"/>
          <w:szCs w:val="20"/>
          <w:color w:val="auto"/>
        </w:rPr>
      </w:pPr>
    </w:p>
    <w:p>
      <w:pPr>
        <w:ind w:left="20"/>
        <w:spacing w:after="0"/>
        <w:tabs>
          <w:tab w:leader="none" w:pos="6760" w:val="left"/>
          <w:tab w:leader="none" w:pos="86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wp:posOffset>
            </wp:positionV>
            <wp:extent cx="2562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8500"/>
        <w:spacing w:after="0" w:line="219" w:lineRule="auto"/>
        <w:rPr>
          <w:sz w:val="20"/>
          <w:szCs w:val="20"/>
          <w:color w:val="auto"/>
        </w:rPr>
      </w:pPr>
      <w:r>
        <w:rPr>
          <w:rFonts w:ascii="Arial" w:cs="Arial" w:eastAsia="Arial" w:hAnsi="Arial"/>
          <w:sz w:val="18"/>
          <w:szCs w:val="18"/>
          <w:b w:val="1"/>
          <w:bCs w:val="1"/>
          <w:color w:val="auto"/>
        </w:rPr>
        <w:t>Jaume Pons, Ph.D.</w:t>
      </w:r>
    </w:p>
    <w:p>
      <w:pPr>
        <w:ind w:left="7760"/>
        <w:spacing w:after="0" w:line="215" w:lineRule="auto"/>
        <w:rPr>
          <w:sz w:val="20"/>
          <w:szCs w:val="20"/>
          <w:color w:val="auto"/>
        </w:rPr>
      </w:pPr>
      <w:r>
        <w:rPr>
          <w:rFonts w:ascii="Arial" w:cs="Arial" w:eastAsia="Arial" w:hAnsi="Arial"/>
          <w:sz w:val="17"/>
          <w:szCs w:val="17"/>
          <w:b w:val="1"/>
          <w:bCs w:val="1"/>
          <w:color w:val="auto"/>
        </w:rPr>
        <w:t>President and Chief Executive Officer</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6760" w:val="left"/>
          <w:tab w:leader="none" w:pos="864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wp:posOffset>
            </wp:positionV>
            <wp:extent cx="25628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8740"/>
        <w:spacing w:after="0" w:line="219" w:lineRule="auto"/>
        <w:rPr>
          <w:sz w:val="20"/>
          <w:szCs w:val="20"/>
          <w:color w:val="auto"/>
        </w:rPr>
      </w:pPr>
      <w:r>
        <w:rPr>
          <w:rFonts w:ascii="Arial" w:cs="Arial" w:eastAsia="Arial" w:hAnsi="Arial"/>
          <w:sz w:val="18"/>
          <w:szCs w:val="18"/>
          <w:b w:val="1"/>
          <w:bCs w:val="1"/>
          <w:color w:val="auto"/>
        </w:rPr>
        <w:t>Peter Garcia</w:t>
      </w:r>
    </w:p>
    <w:p>
      <w:pPr>
        <w:ind w:left="834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(Principal Financial Officer)</w:t>
      </w:r>
    </w:p>
    <w:p>
      <w:pPr>
        <w:spacing w:after="0" w:line="356" w:lineRule="exact"/>
        <w:rPr>
          <w:sz w:val="20"/>
          <w:szCs w:val="20"/>
          <w:color w:val="auto"/>
        </w:rPr>
      </w:pPr>
    </w:p>
    <w:p>
      <w:pPr>
        <w:ind w:left="20"/>
        <w:spacing w:after="0"/>
        <w:tabs>
          <w:tab w:leader="none" w:pos="6760" w:val="left"/>
          <w:tab w:leader="none" w:pos="86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Shelly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wp:posOffset>
            </wp:positionV>
            <wp:extent cx="25628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8760"/>
        <w:spacing w:after="0" w:line="219" w:lineRule="auto"/>
        <w:rPr>
          <w:sz w:val="20"/>
          <w:szCs w:val="20"/>
          <w:color w:val="auto"/>
        </w:rPr>
      </w:pPr>
      <w:r>
        <w:rPr>
          <w:rFonts w:ascii="Arial" w:cs="Arial" w:eastAsia="Arial" w:hAnsi="Arial"/>
          <w:sz w:val="18"/>
          <w:szCs w:val="18"/>
          <w:b w:val="1"/>
          <w:bCs w:val="1"/>
          <w:color w:val="auto"/>
        </w:rPr>
        <w:t>Shelly Pinto</w:t>
      </w:r>
    </w:p>
    <w:p>
      <w:pPr>
        <w:jc w:val="right"/>
        <w:spacing w:after="0" w:line="203" w:lineRule="auto"/>
        <w:rPr>
          <w:sz w:val="20"/>
          <w:szCs w:val="20"/>
          <w:color w:val="auto"/>
        </w:rPr>
      </w:pPr>
      <w:r>
        <w:rPr>
          <w:rFonts w:ascii="Arial" w:cs="Arial" w:eastAsia="Arial" w:hAnsi="Arial"/>
          <w:sz w:val="18"/>
          <w:szCs w:val="18"/>
          <w:b w:val="1"/>
          <w:bCs w:val="1"/>
          <w:color w:val="auto"/>
        </w:rPr>
        <w:t>Vice President, Finance and Chief Accounting</w:t>
      </w:r>
    </w:p>
    <w:p>
      <w:pPr>
        <w:jc w:val="center"/>
        <w:ind w:left="7180"/>
        <w:spacing w:after="0" w:line="204" w:lineRule="auto"/>
        <w:rPr>
          <w:sz w:val="20"/>
          <w:szCs w:val="20"/>
          <w:color w:val="auto"/>
        </w:rPr>
      </w:pPr>
      <w:r>
        <w:rPr>
          <w:rFonts w:ascii="Arial" w:cs="Arial" w:eastAsia="Arial" w:hAnsi="Arial"/>
          <w:sz w:val="18"/>
          <w:szCs w:val="18"/>
          <w:b w:val="1"/>
          <w:bCs w:val="1"/>
          <w:color w:val="auto"/>
        </w:rPr>
        <w:t>Officer</w:t>
      </w:r>
    </w:p>
    <w:p>
      <w:pPr>
        <w:jc w:val="center"/>
        <w:ind w:left="7180"/>
        <w:spacing w:after="0"/>
        <w:rPr>
          <w:sz w:val="20"/>
          <w:szCs w:val="20"/>
          <w:color w:val="auto"/>
        </w:rPr>
      </w:pPr>
      <w:r>
        <w:rPr>
          <w:rFonts w:ascii="Arial" w:cs="Arial" w:eastAsia="Arial" w:hAnsi="Arial"/>
          <w:sz w:val="18"/>
          <w:szCs w:val="18"/>
          <w:b w:val="1"/>
          <w:bCs w:val="1"/>
          <w:color w:val="auto"/>
        </w:rPr>
        <w:t>(Principal Accounting Officer)</w:t>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24" w:right="6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04"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5620" w:val="left"/>
          <w:tab w:leader="none" w:pos="810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wp:posOffset>
            </wp:positionV>
            <wp:extent cx="32829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7940"/>
        <w:spacing w:after="0" w:line="219" w:lineRule="auto"/>
        <w:rPr>
          <w:sz w:val="20"/>
          <w:szCs w:val="20"/>
          <w:color w:val="auto"/>
        </w:rPr>
      </w:pPr>
      <w:r>
        <w:rPr>
          <w:rFonts w:ascii="Arial" w:cs="Arial" w:eastAsia="Arial" w:hAnsi="Arial"/>
          <w:sz w:val="18"/>
          <w:szCs w:val="18"/>
          <w:b w:val="1"/>
          <w:bCs w:val="1"/>
          <w:color w:val="auto"/>
        </w:rPr>
        <w:t>Jaume Pons, Ph.D.</w:t>
      </w:r>
    </w:p>
    <w:p>
      <w:pPr>
        <w:ind w:left="6820"/>
        <w:spacing w:after="0" w:line="203"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04"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5620" w:val="left"/>
          <w:tab w:leader="none" w:pos="808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wp:posOffset>
            </wp:positionV>
            <wp:extent cx="32829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8160"/>
        <w:spacing w:after="0" w:line="219" w:lineRule="auto"/>
        <w:rPr>
          <w:sz w:val="20"/>
          <w:szCs w:val="20"/>
          <w:color w:val="auto"/>
        </w:rPr>
      </w:pPr>
      <w:r>
        <w:rPr>
          <w:rFonts w:ascii="Arial" w:cs="Arial" w:eastAsia="Arial" w:hAnsi="Arial"/>
          <w:sz w:val="18"/>
          <w:szCs w:val="18"/>
          <w:b w:val="1"/>
          <w:bCs w:val="1"/>
          <w:color w:val="auto"/>
        </w:rPr>
        <w:t>Peter Garcia</w:t>
      </w:r>
    </w:p>
    <w:p>
      <w:pPr>
        <w:ind w:left="776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ended June 30, 2022, as filed with the Securities and Exchange Commission on the date hereof (the “Report”), I certify, pursuant to 18 U.S.C. §1350, as adopted pursuant to section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2" w:lineRule="exact"/>
        <w:rPr>
          <w:sz w:val="20"/>
          <w:szCs w:val="20"/>
          <w:color w:val="auto"/>
        </w:rPr>
      </w:pPr>
    </w:p>
    <w:p>
      <w:pPr>
        <w:ind w:left="20"/>
        <w:spacing w:after="0"/>
        <w:tabs>
          <w:tab w:leader="none" w:pos="5540" w:val="left"/>
          <w:tab w:leader="none" w:pos="812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658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7940"/>
        <w:spacing w:after="0" w:line="219" w:lineRule="auto"/>
        <w:rPr>
          <w:sz w:val="20"/>
          <w:szCs w:val="20"/>
          <w:color w:val="auto"/>
        </w:rPr>
      </w:pPr>
      <w:r>
        <w:rPr>
          <w:rFonts w:ascii="Arial" w:cs="Arial" w:eastAsia="Arial" w:hAnsi="Arial"/>
          <w:sz w:val="18"/>
          <w:szCs w:val="18"/>
          <w:b w:val="1"/>
          <w:bCs w:val="1"/>
          <w:color w:val="auto"/>
        </w:rPr>
        <w:t>Jaume Pons, Ph.D.</w:t>
      </w:r>
    </w:p>
    <w:p>
      <w:pPr>
        <w:ind w:left="6840"/>
        <w:spacing w:after="0" w:line="203"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ended June 30, 2022, as filed with the Securities and Exchange Commission on the date hereof (the “Report”), I certify, pursuant to 18 U.S.C. §1350, as adopted pursuant to section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2" w:lineRule="exact"/>
        <w:rPr>
          <w:sz w:val="20"/>
          <w:szCs w:val="20"/>
          <w:color w:val="auto"/>
        </w:rPr>
      </w:pPr>
    </w:p>
    <w:p>
      <w:pPr>
        <w:ind w:left="20"/>
        <w:spacing w:after="0"/>
        <w:tabs>
          <w:tab w:leader="none" w:pos="5300" w:val="left"/>
          <w:tab w:leader="none" w:pos="792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wp:posOffset>
            </wp:positionV>
            <wp:extent cx="3488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8000"/>
        <w:spacing w:after="0" w:line="219" w:lineRule="auto"/>
        <w:rPr>
          <w:sz w:val="20"/>
          <w:szCs w:val="20"/>
          <w:color w:val="auto"/>
        </w:rPr>
      </w:pPr>
      <w:r>
        <w:rPr>
          <w:rFonts w:ascii="Arial" w:cs="Arial" w:eastAsia="Arial" w:hAnsi="Arial"/>
          <w:sz w:val="18"/>
          <w:szCs w:val="18"/>
          <w:b w:val="1"/>
          <w:bCs w:val="1"/>
          <w:color w:val="auto"/>
        </w:rPr>
        <w:t>Peter Garcia</w:t>
      </w:r>
    </w:p>
    <w:p>
      <w:pPr>
        <w:ind w:left="760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2"/>
    </w:lvl>
  </w:abstractNum>
  <w:abstractNum w:abstractNumId="5">
    <w:nsid w:val="1E7FF521"/>
    <w:multiLevelType w:val="hybridMultilevel"/>
    <w:lvl w:ilvl="0">
      <w:lvlJc w:val="left"/>
      <w:lvlText w:val="(%1)"/>
      <w:numFmt w:val="decimal"/>
      <w:start w:val="4"/>
    </w:lvl>
  </w:abstractNum>
  <w:abstractNum w:abstractNumId="6">
    <w:nsid w:val="7C3DBD3D"/>
    <w:multiLevelType w:val="hybridMultilevel"/>
    <w:lvl w:ilvl="0">
      <w:lvlJc w:val="left"/>
      <w:lvlText w:val="(%1)"/>
      <w:numFmt w:val="lowerRoman"/>
      <w:start w:val="1"/>
    </w:lvl>
  </w:abstractNum>
  <w:abstractNum w:abstractNumId="7">
    <w:nsid w:val="737B8DDC"/>
    <w:multiLevelType w:val="hybridMultilevel"/>
    <w:lvl w:ilvl="0">
      <w:lvlJc w:val="left"/>
      <w:lvlText w:val="(%1)"/>
      <w:numFmt w:val="lowerRoman"/>
      <w:start w:val="1"/>
    </w:lvl>
  </w:abstractNum>
  <w:abstractNum w:abstractNumId="8">
    <w:nsid w:val="6CEAF087"/>
    <w:multiLevelType w:val="hybridMultilevel"/>
    <w:lvl w:ilvl="0">
      <w:lvlJc w:val="left"/>
      <w:lvlText w:val="(%1)"/>
      <w:numFmt w:val="decimal"/>
      <w:start w:val="8"/>
    </w:lvl>
  </w:abstractNum>
  <w:abstractNum w:abstractNumId="9">
    <w:nsid w:val="22221A70"/>
    <w:multiLevelType w:val="hybridMultilevel"/>
    <w:lvl w:ilvl="0">
      <w:lvlJc w:val="left"/>
      <w:lvlText w:val="(%1)"/>
      <w:numFmt w:val="decimal"/>
      <w:start w:val="10"/>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lowerRoman"/>
      <w:start w:val="1"/>
    </w:lvl>
  </w:abstractNum>
  <w:abstractNum w:abstractNumId="16">
    <w:nsid w:val="5072367"/>
    <w:multiLevelType w:val="hybridMultilevel"/>
    <w:lvl w:ilvl="0">
      <w:lvlJc w:val="left"/>
      <w:lvlText w:val="(%1)"/>
      <w:numFmt w:val="lowerRoman"/>
      <w:start w:val="4"/>
    </w:lvl>
  </w:abstractNum>
  <w:abstractNum w:abstractNumId="17">
    <w:nsid w:val="3804823E"/>
    <w:multiLevelType w:val="hybridMultilevel"/>
    <w:lvl w:ilvl="0">
      <w:lvlJc w:val="left"/>
      <w:lvlText w:val="(%1)"/>
      <w:numFmt w:val="lowerRoman"/>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2022-08-09T02:20:40Z</dcterms:created>
  <dcterms:modified xsi:type="dcterms:W3CDTF">2022-08-09T02:20:40Z</dcterms:modified>
</cp:coreProperties>
</file>