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431800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448945</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5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40"/>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98425</wp:posOffset>
            </wp:positionV>
            <wp:extent cx="142303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23" w:lineRule="exact"/>
        <w:rPr>
          <w:sz w:val="24"/>
          <w:szCs w:val="24"/>
          <w:color w:val="auto"/>
        </w:rPr>
      </w:pPr>
    </w:p>
    <w:p>
      <w:pPr>
        <w:jc w:val="center"/>
        <w:ind w:right="80"/>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121920</wp:posOffset>
            </wp:positionV>
            <wp:extent cx="142303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76"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112"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22"/>
          <w:szCs w:val="22"/>
          <w:b w:val="1"/>
          <w:bCs w:val="1"/>
          <w:color w:val="auto"/>
        </w:rPr>
        <w:t>Pursuant to Section 13 or 15(d) of the Securities Exchange Act of 1934</w:t>
      </w:r>
    </w:p>
    <w:p>
      <w:pPr>
        <w:spacing w:after="0" w:line="107"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May 9, 2022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105410</wp:posOffset>
            </wp:positionV>
            <wp:extent cx="142303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21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ALX ONCOLOGY HOLDINGS INC.</w:t>
      </w:r>
    </w:p>
    <w:p>
      <w:pPr>
        <w:spacing w:after="0" w:line="58"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3"/>
          <w:szCs w:val="13"/>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92710</wp:posOffset>
            </wp:positionV>
            <wp:extent cx="142303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52" w:lineRule="exact"/>
        <w:rPr>
          <w:sz w:val="24"/>
          <w:szCs w:val="24"/>
          <w:color w:val="auto"/>
        </w:rPr>
      </w:pPr>
    </w:p>
    <w:tbl>
      <w:tblPr>
        <w:tblLayout w:type="fixed"/>
        <w:tblInd w:w="720" w:type="dxa"/>
        <w:tblCellMar>
          <w:top w:w="0" w:type="dxa"/>
          <w:left w:w="0" w:type="dxa"/>
          <w:bottom w:w="0" w:type="dxa"/>
          <w:right w:w="0" w:type="dxa"/>
        </w:tblCellMar>
      </w:tblPr>
      <w:tr>
        <w:trPr>
          <w:trHeight w:val="222"/>
        </w:trPr>
        <w:tc>
          <w:tcPr>
            <w:tcW w:w="3320" w:type="dxa"/>
            <w:vAlign w:val="bottom"/>
          </w:tcPr>
          <w:p>
            <w:pPr>
              <w:jc w:val="center"/>
              <w:ind w:right="801"/>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3620" w:type="dxa"/>
            <w:vAlign w:val="bottom"/>
          </w:tcPr>
          <w:p>
            <w:pPr>
              <w:jc w:val="right"/>
              <w:ind w:right="1501"/>
              <w:spacing w:after="0"/>
              <w:rPr>
                <w:sz w:val="20"/>
                <w:szCs w:val="20"/>
                <w:color w:val="auto"/>
              </w:rPr>
            </w:pPr>
            <w:r>
              <w:rPr>
                <w:rFonts w:ascii="Times New Roman" w:cs="Times New Roman" w:eastAsia="Times New Roman" w:hAnsi="Times New Roman"/>
                <w:sz w:val="18"/>
                <w:szCs w:val="18"/>
                <w:b w:val="1"/>
                <w:bCs w:val="1"/>
                <w:color w:val="auto"/>
              </w:rPr>
              <w:t>001-39386</w:t>
            </w:r>
          </w:p>
        </w:tc>
        <w:tc>
          <w:tcPr>
            <w:tcW w:w="2240" w:type="dxa"/>
            <w:vAlign w:val="bottom"/>
          </w:tcPr>
          <w:p>
            <w:pPr>
              <w:jc w:val="right"/>
              <w:ind w:right="24"/>
              <w:spacing w:after="0"/>
              <w:rPr>
                <w:sz w:val="20"/>
                <w:szCs w:val="20"/>
                <w:color w:val="auto"/>
              </w:rPr>
            </w:pPr>
            <w:r>
              <w:rPr>
                <w:rFonts w:ascii="Times New Roman" w:cs="Times New Roman" w:eastAsia="Times New Roman" w:hAnsi="Times New Roman"/>
                <w:sz w:val="18"/>
                <w:szCs w:val="18"/>
                <w:b w:val="1"/>
                <w:bCs w:val="1"/>
                <w:color w:val="auto"/>
              </w:rPr>
              <w:t>85-0642577</w:t>
            </w:r>
          </w:p>
        </w:tc>
      </w:tr>
      <w:tr>
        <w:trPr>
          <w:trHeight w:val="138"/>
        </w:trPr>
        <w:tc>
          <w:tcPr>
            <w:tcW w:w="3320" w:type="dxa"/>
            <w:vAlign w:val="bottom"/>
          </w:tcPr>
          <w:p>
            <w:pPr>
              <w:jc w:val="center"/>
              <w:ind w:right="801"/>
              <w:spacing w:after="0" w:line="139" w:lineRule="exact"/>
              <w:rPr>
                <w:sz w:val="20"/>
                <w:szCs w:val="20"/>
                <w:color w:val="auto"/>
              </w:rPr>
            </w:pPr>
            <w:r>
              <w:rPr>
                <w:rFonts w:ascii="Times New Roman" w:cs="Times New Roman" w:eastAsia="Times New Roman" w:hAnsi="Times New Roman"/>
                <w:sz w:val="13"/>
                <w:szCs w:val="13"/>
                <w:b w:val="1"/>
                <w:bCs w:val="1"/>
                <w:color w:val="auto"/>
              </w:rPr>
              <w:t>(State or Other Jurisdiction</w:t>
            </w:r>
          </w:p>
        </w:tc>
        <w:tc>
          <w:tcPr>
            <w:tcW w:w="3620" w:type="dxa"/>
            <w:vAlign w:val="bottom"/>
          </w:tcPr>
          <w:p>
            <w:pPr>
              <w:spacing w:after="0"/>
              <w:rPr>
                <w:sz w:val="12"/>
                <w:szCs w:val="12"/>
                <w:color w:val="auto"/>
              </w:rPr>
            </w:pPr>
          </w:p>
        </w:tc>
        <w:tc>
          <w:tcPr>
            <w:tcW w:w="2240" w:type="dxa"/>
            <w:vAlign w:val="bottom"/>
          </w:tcPr>
          <w:p>
            <w:pPr>
              <w:jc w:val="center"/>
              <w:ind w:left="1104"/>
              <w:spacing w:after="0" w:line="139" w:lineRule="exact"/>
              <w:rPr>
                <w:sz w:val="20"/>
                <w:szCs w:val="20"/>
                <w:color w:val="auto"/>
              </w:rPr>
            </w:pPr>
            <w:r>
              <w:rPr>
                <w:rFonts w:ascii="Times New Roman" w:cs="Times New Roman" w:eastAsia="Times New Roman" w:hAnsi="Times New Roman"/>
                <w:sz w:val="13"/>
                <w:szCs w:val="13"/>
                <w:b w:val="1"/>
                <w:bCs w:val="1"/>
                <w:color w:val="auto"/>
              </w:rPr>
              <w:t>(IRS Employer</w:t>
            </w:r>
          </w:p>
        </w:tc>
      </w:tr>
      <w:tr>
        <w:trPr>
          <w:trHeight w:val="188"/>
        </w:trPr>
        <w:tc>
          <w:tcPr>
            <w:tcW w:w="3320" w:type="dxa"/>
            <w:vAlign w:val="bottom"/>
          </w:tcPr>
          <w:p>
            <w:pPr>
              <w:jc w:val="center"/>
              <w:ind w:right="801"/>
              <w:spacing w:after="0"/>
              <w:rPr>
                <w:sz w:val="20"/>
                <w:szCs w:val="20"/>
                <w:color w:val="auto"/>
              </w:rPr>
            </w:pPr>
            <w:r>
              <w:rPr>
                <w:rFonts w:ascii="Times New Roman" w:cs="Times New Roman" w:eastAsia="Times New Roman" w:hAnsi="Times New Roman"/>
                <w:sz w:val="13"/>
                <w:szCs w:val="13"/>
                <w:b w:val="1"/>
                <w:bCs w:val="1"/>
                <w:color w:val="auto"/>
              </w:rPr>
              <w:t>of Incorporation)</w:t>
            </w:r>
          </w:p>
        </w:tc>
        <w:tc>
          <w:tcPr>
            <w:tcW w:w="3620" w:type="dxa"/>
            <w:vAlign w:val="bottom"/>
          </w:tcPr>
          <w:p>
            <w:pPr>
              <w:jc w:val="center"/>
              <w:ind w:right="241"/>
              <w:spacing w:after="0"/>
              <w:rPr>
                <w:sz w:val="20"/>
                <w:szCs w:val="20"/>
                <w:color w:val="auto"/>
              </w:rPr>
            </w:pPr>
            <w:r>
              <w:rPr>
                <w:rFonts w:ascii="Times New Roman" w:cs="Times New Roman" w:eastAsia="Times New Roman" w:hAnsi="Times New Roman"/>
                <w:sz w:val="13"/>
                <w:szCs w:val="13"/>
                <w:b w:val="1"/>
                <w:bCs w:val="1"/>
                <w:color w:val="auto"/>
              </w:rPr>
              <w:t>(Commission File Number)</w:t>
            </w:r>
          </w:p>
        </w:tc>
        <w:tc>
          <w:tcPr>
            <w:tcW w:w="2240" w:type="dxa"/>
            <w:vAlign w:val="bottom"/>
          </w:tcPr>
          <w:p>
            <w:pPr>
              <w:jc w:val="center"/>
              <w:ind w:left="1104"/>
              <w:spacing w:after="0"/>
              <w:rPr>
                <w:sz w:val="20"/>
                <w:szCs w:val="20"/>
                <w:color w:val="auto"/>
              </w:rPr>
            </w:pPr>
            <w:r>
              <w:rPr>
                <w:rFonts w:ascii="Times New Roman" w:cs="Times New Roman" w:eastAsia="Times New Roman" w:hAnsi="Times New Roman"/>
                <w:sz w:val="13"/>
                <w:szCs w:val="13"/>
                <w:b w:val="1"/>
                <w:bCs w:val="1"/>
                <w:color w:val="auto"/>
              </w:rPr>
              <w:t>Identification No.)</w:t>
            </w:r>
          </w:p>
        </w:tc>
      </w:tr>
      <w:tr>
        <w:trPr>
          <w:trHeight w:val="329"/>
        </w:trPr>
        <w:tc>
          <w:tcPr>
            <w:tcW w:w="3320" w:type="dxa"/>
            <w:vAlign w:val="bottom"/>
          </w:tcPr>
          <w:p>
            <w:pPr>
              <w:ind w:left="280"/>
              <w:spacing w:after="0"/>
              <w:rPr>
                <w:sz w:val="20"/>
                <w:szCs w:val="20"/>
                <w:color w:val="auto"/>
              </w:rPr>
            </w:pPr>
            <w:r>
              <w:rPr>
                <w:rFonts w:ascii="Times New Roman" w:cs="Times New Roman" w:eastAsia="Times New Roman" w:hAnsi="Times New Roman"/>
                <w:sz w:val="18"/>
                <w:szCs w:val="18"/>
                <w:b w:val="1"/>
                <w:bCs w:val="1"/>
                <w:color w:val="auto"/>
              </w:rPr>
              <w:t>323 Allerton Avenue,</w:t>
            </w:r>
          </w:p>
        </w:tc>
        <w:tc>
          <w:tcPr>
            <w:tcW w:w="3620" w:type="dxa"/>
            <w:vAlign w:val="bottom"/>
          </w:tcPr>
          <w:p>
            <w:pPr>
              <w:spacing w:after="0"/>
              <w:rPr>
                <w:sz w:val="24"/>
                <w:szCs w:val="24"/>
                <w:color w:val="auto"/>
              </w:rPr>
            </w:pPr>
          </w:p>
        </w:tc>
        <w:tc>
          <w:tcPr>
            <w:tcW w:w="2240" w:type="dxa"/>
            <w:vAlign w:val="bottom"/>
          </w:tcPr>
          <w:p>
            <w:pPr>
              <w:spacing w:after="0"/>
              <w:rPr>
                <w:sz w:val="24"/>
                <w:szCs w:val="24"/>
                <w:color w:val="auto"/>
              </w:rPr>
            </w:pPr>
          </w:p>
        </w:tc>
      </w:tr>
      <w:tr>
        <w:trPr>
          <w:trHeight w:val="235"/>
        </w:trPr>
        <w:tc>
          <w:tcPr>
            <w:tcW w:w="3320" w:type="dxa"/>
            <w:vAlign w:val="bottom"/>
          </w:tcPr>
          <w:p>
            <w:pPr>
              <w:jc w:val="center"/>
              <w:ind w:right="781"/>
              <w:spacing w:after="0"/>
              <w:rPr>
                <w:sz w:val="20"/>
                <w:szCs w:val="20"/>
                <w:color w:val="auto"/>
              </w:rPr>
            </w:pPr>
            <w:r>
              <w:rPr>
                <w:rFonts w:ascii="Times New Roman" w:cs="Times New Roman" w:eastAsia="Times New Roman" w:hAnsi="Times New Roman"/>
                <w:sz w:val="18"/>
                <w:szCs w:val="18"/>
                <w:b w:val="1"/>
                <w:bCs w:val="1"/>
                <w:color w:val="auto"/>
                <w:w w:val="99"/>
              </w:rPr>
              <w:t>South San Francisco, California</w:t>
            </w:r>
          </w:p>
        </w:tc>
        <w:tc>
          <w:tcPr>
            <w:tcW w:w="3620" w:type="dxa"/>
            <w:vAlign w:val="bottom"/>
          </w:tcPr>
          <w:p>
            <w:pPr>
              <w:spacing w:after="0"/>
              <w:rPr>
                <w:sz w:val="20"/>
                <w:szCs w:val="20"/>
                <w:color w:val="auto"/>
              </w:rPr>
            </w:pPr>
          </w:p>
        </w:tc>
        <w:tc>
          <w:tcPr>
            <w:tcW w:w="2240" w:type="dxa"/>
            <w:vAlign w:val="bottom"/>
          </w:tcPr>
          <w:p>
            <w:pPr>
              <w:jc w:val="right"/>
              <w:ind w:right="224"/>
              <w:spacing w:after="0"/>
              <w:rPr>
                <w:sz w:val="20"/>
                <w:szCs w:val="20"/>
                <w:color w:val="auto"/>
              </w:rPr>
            </w:pPr>
            <w:r>
              <w:rPr>
                <w:rFonts w:ascii="Times New Roman" w:cs="Times New Roman" w:eastAsia="Times New Roman" w:hAnsi="Times New Roman"/>
                <w:sz w:val="18"/>
                <w:szCs w:val="18"/>
                <w:b w:val="1"/>
                <w:bCs w:val="1"/>
                <w:color w:val="auto"/>
              </w:rPr>
              <w:t>94080</w:t>
            </w:r>
          </w:p>
        </w:tc>
      </w:tr>
      <w:tr>
        <w:trPr>
          <w:trHeight w:val="178"/>
        </w:trPr>
        <w:tc>
          <w:tcPr>
            <w:tcW w:w="3320" w:type="dxa"/>
            <w:vAlign w:val="bottom"/>
          </w:tcPr>
          <w:p>
            <w:pPr>
              <w:jc w:val="center"/>
              <w:ind w:right="781"/>
              <w:spacing w:after="0"/>
              <w:rPr>
                <w:sz w:val="20"/>
                <w:szCs w:val="20"/>
                <w:color w:val="auto"/>
              </w:rPr>
            </w:pPr>
            <w:r>
              <w:rPr>
                <w:rFonts w:ascii="Times New Roman" w:cs="Times New Roman" w:eastAsia="Times New Roman" w:hAnsi="Times New Roman"/>
                <w:sz w:val="13"/>
                <w:szCs w:val="13"/>
                <w:b w:val="1"/>
                <w:bCs w:val="1"/>
                <w:color w:val="auto"/>
              </w:rPr>
              <w:t>(Address of Principal Executive Offices)</w:t>
            </w:r>
          </w:p>
        </w:tc>
        <w:tc>
          <w:tcPr>
            <w:tcW w:w="3620" w:type="dxa"/>
            <w:vAlign w:val="bottom"/>
          </w:tcPr>
          <w:p>
            <w:pPr>
              <w:spacing w:after="0"/>
              <w:rPr>
                <w:sz w:val="15"/>
                <w:szCs w:val="15"/>
                <w:color w:val="auto"/>
              </w:rPr>
            </w:pPr>
          </w:p>
        </w:tc>
        <w:tc>
          <w:tcPr>
            <w:tcW w:w="2240" w:type="dxa"/>
            <w:vAlign w:val="bottom"/>
          </w:tcPr>
          <w:p>
            <w:pPr>
              <w:jc w:val="center"/>
              <w:ind w:left="1104"/>
              <w:spacing w:after="0"/>
              <w:rPr>
                <w:sz w:val="20"/>
                <w:szCs w:val="20"/>
                <w:color w:val="auto"/>
              </w:rPr>
            </w:pPr>
            <w:r>
              <w:rPr>
                <w:rFonts w:ascii="Times New Roman" w:cs="Times New Roman" w:eastAsia="Times New Roman" w:hAnsi="Times New Roman"/>
                <w:sz w:val="13"/>
                <w:szCs w:val="13"/>
                <w:b w:val="1"/>
                <w:bCs w:val="1"/>
                <w:color w:val="auto"/>
              </w:rPr>
              <w:t>(Zip Code)</w:t>
            </w:r>
          </w:p>
        </w:tc>
      </w:tr>
    </w:tbl>
    <w:p>
      <w:pPr>
        <w:spacing w:after="0" w:line="113"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(650) 466-7125</w:t>
      </w:r>
    </w:p>
    <w:p>
      <w:pPr>
        <w:spacing w:after="0" w:line="9"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N/A</w:t>
      </w:r>
    </w:p>
    <w:p>
      <w:pPr>
        <w:spacing w:after="0" w:line="8"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3"/>
          <w:szCs w:val="13"/>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149225</wp:posOffset>
            </wp:positionV>
            <wp:extent cx="142303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318" w:lineRule="exact"/>
        <w:rPr>
          <w:sz w:val="24"/>
          <w:szCs w:val="24"/>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54" w:lineRule="exact"/>
        <w:rPr>
          <w:sz w:val="24"/>
          <w:szCs w:val="24"/>
          <w:color w:val="auto"/>
        </w:rPr>
      </w:pPr>
    </w:p>
    <w:p>
      <w:pPr>
        <w:ind w:left="480" w:hanging="459"/>
        <w:spacing w:after="0"/>
        <w:tabs>
          <w:tab w:leader="none" w:pos="4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17" w:lineRule="exact"/>
        <w:rPr>
          <w:rFonts w:ascii="MS PGothic" w:cs="MS PGothic" w:eastAsia="MS PGothic" w:hAnsi="MS PGothic"/>
          <w:sz w:val="18"/>
          <w:szCs w:val="18"/>
          <w:color w:val="auto"/>
        </w:rPr>
      </w:pPr>
    </w:p>
    <w:p>
      <w:pPr>
        <w:ind w:left="480" w:hanging="459"/>
        <w:spacing w:after="0"/>
        <w:tabs>
          <w:tab w:leader="none" w:pos="4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17" w:lineRule="exact"/>
        <w:rPr>
          <w:rFonts w:ascii="MS PGothic" w:cs="MS PGothic" w:eastAsia="MS PGothic" w:hAnsi="MS PGothic"/>
          <w:sz w:val="18"/>
          <w:szCs w:val="18"/>
          <w:color w:val="auto"/>
        </w:rPr>
      </w:pPr>
    </w:p>
    <w:p>
      <w:pPr>
        <w:ind w:left="480" w:hanging="459"/>
        <w:spacing w:after="0"/>
        <w:tabs>
          <w:tab w:leader="none" w:pos="4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17" w:lineRule="exact"/>
        <w:rPr>
          <w:rFonts w:ascii="MS PGothic" w:cs="MS PGothic" w:eastAsia="MS PGothic" w:hAnsi="MS PGothic"/>
          <w:sz w:val="18"/>
          <w:szCs w:val="18"/>
          <w:color w:val="auto"/>
        </w:rPr>
      </w:pPr>
    </w:p>
    <w:p>
      <w:pPr>
        <w:ind w:right="2720" w:firstLine="21"/>
        <w:spacing w:after="0" w:line="395" w:lineRule="auto"/>
        <w:tabs>
          <w:tab w:leader="none" w:pos="472"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 Securities registered pursuant to Section 12(b) of the Act:</w:t>
      </w:r>
    </w:p>
    <w:tbl>
      <w:tblPr>
        <w:tblLayout w:type="fixed"/>
        <w:tblInd w:w="0" w:type="dxa"/>
        <w:tblCellMar>
          <w:top w:w="0" w:type="dxa"/>
          <w:left w:w="0" w:type="dxa"/>
          <w:bottom w:w="0" w:type="dxa"/>
          <w:right w:w="0" w:type="dxa"/>
        </w:tblCellMar>
      </w:tblPr>
      <w:tr>
        <w:trPr>
          <w:trHeight w:val="149"/>
        </w:trPr>
        <w:tc>
          <w:tcPr>
            <w:tcW w:w="44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120" w:type="dxa"/>
            <w:vAlign w:val="bottom"/>
          </w:tcPr>
          <w:p>
            <w:pPr>
              <w:spacing w:after="0"/>
              <w:rPr>
                <w:sz w:val="12"/>
                <w:szCs w:val="12"/>
                <w:color w:val="auto"/>
              </w:rPr>
            </w:pPr>
          </w:p>
        </w:tc>
        <w:tc>
          <w:tcPr>
            <w:tcW w:w="22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7"/>
              </w:rPr>
              <w:t>Trading</w:t>
            </w:r>
          </w:p>
        </w:tc>
        <w:tc>
          <w:tcPr>
            <w:tcW w:w="100" w:type="dxa"/>
            <w:vAlign w:val="bottom"/>
          </w:tcPr>
          <w:p>
            <w:pPr>
              <w:spacing w:after="0"/>
              <w:rPr>
                <w:sz w:val="12"/>
                <w:szCs w:val="12"/>
                <w:color w:val="auto"/>
              </w:rPr>
            </w:pPr>
          </w:p>
        </w:tc>
        <w:tc>
          <w:tcPr>
            <w:tcW w:w="43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each exchange on which registered</w:t>
            </w:r>
          </w:p>
        </w:tc>
        <w:tc>
          <w:tcPr>
            <w:tcW w:w="0" w:type="dxa"/>
            <w:vAlign w:val="bottom"/>
          </w:tcPr>
          <w:p>
            <w:pPr>
              <w:spacing w:after="0"/>
              <w:rPr>
                <w:sz w:val="1"/>
                <w:szCs w:val="1"/>
                <w:color w:val="auto"/>
              </w:rPr>
            </w:pPr>
          </w:p>
        </w:tc>
      </w:tr>
      <w:tr>
        <w:trPr>
          <w:trHeight w:val="187"/>
        </w:trPr>
        <w:tc>
          <w:tcPr>
            <w:tcW w:w="4400" w:type="dxa"/>
            <w:vAlign w:val="bottom"/>
            <w:tcBorders>
              <w:bottom w:val="single" w:sz="8" w:color="auto"/>
            </w:tcBorders>
            <w:vMerge w:val="continue"/>
          </w:tcPr>
          <w:p>
            <w:pPr>
              <w:spacing w:after="0"/>
              <w:rPr>
                <w:sz w:val="16"/>
                <w:szCs w:val="16"/>
                <w:color w:val="auto"/>
              </w:rPr>
            </w:pPr>
          </w:p>
        </w:tc>
        <w:tc>
          <w:tcPr>
            <w:tcW w:w="120" w:type="dxa"/>
            <w:vAlign w:val="bottom"/>
          </w:tcPr>
          <w:p>
            <w:pPr>
              <w:spacing w:after="0"/>
              <w:rPr>
                <w:sz w:val="16"/>
                <w:szCs w:val="16"/>
                <w:color w:val="auto"/>
              </w:rPr>
            </w:pPr>
          </w:p>
        </w:tc>
        <w:tc>
          <w:tcPr>
            <w:tcW w:w="22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Symbol(s)</w:t>
            </w:r>
          </w:p>
        </w:tc>
        <w:tc>
          <w:tcPr>
            <w:tcW w:w="100" w:type="dxa"/>
            <w:vAlign w:val="bottom"/>
          </w:tcPr>
          <w:p>
            <w:pPr>
              <w:spacing w:after="0"/>
              <w:rPr>
                <w:sz w:val="16"/>
                <w:szCs w:val="16"/>
                <w:color w:val="auto"/>
              </w:rPr>
            </w:pPr>
          </w:p>
        </w:tc>
        <w:tc>
          <w:tcPr>
            <w:tcW w:w="438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44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Common Stock, $0.001 par value per share</w:t>
            </w:r>
          </w:p>
        </w:tc>
        <w:tc>
          <w:tcPr>
            <w:tcW w:w="120" w:type="dxa"/>
            <w:vAlign w:val="bottom"/>
          </w:tcPr>
          <w:p>
            <w:pPr>
              <w:spacing w:after="0"/>
              <w:rPr>
                <w:sz w:val="19"/>
                <w:szCs w:val="19"/>
                <w:color w:val="auto"/>
              </w:rPr>
            </w:pPr>
          </w:p>
        </w:tc>
        <w:tc>
          <w:tcPr>
            <w:tcW w:w="2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ALXO</w:t>
            </w:r>
          </w:p>
        </w:tc>
        <w:tc>
          <w:tcPr>
            <w:tcW w:w="100" w:type="dxa"/>
            <w:vAlign w:val="bottom"/>
          </w:tcPr>
          <w:p>
            <w:pPr>
              <w:spacing w:after="0"/>
              <w:rPr>
                <w:sz w:val="19"/>
                <w:szCs w:val="19"/>
                <w:color w:val="auto"/>
              </w:rPr>
            </w:pPr>
          </w:p>
        </w:tc>
        <w:tc>
          <w:tcPr>
            <w:tcW w:w="43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 xml:space="preserve">The Nasdaq </w:t>
            </w:r>
            <w:r>
              <w:rPr>
                <w:rFonts w:ascii="Times New Roman" w:cs="Times New Roman" w:eastAsia="Times New Roman" w:hAnsi="Times New Roman"/>
                <w:sz w:val="18"/>
                <w:szCs w:val="18"/>
                <w:color w:val="212529"/>
              </w:rPr>
              <w:t>Global Select Market</w:t>
            </w:r>
          </w:p>
        </w:tc>
        <w:tc>
          <w:tcPr>
            <w:tcW w:w="0" w:type="dxa"/>
            <w:vAlign w:val="bottom"/>
          </w:tcPr>
          <w:p>
            <w:pPr>
              <w:spacing w:after="0"/>
              <w:rPr>
                <w:sz w:val="1"/>
                <w:szCs w:val="1"/>
                <w:color w:val="auto"/>
              </w:rPr>
            </w:pPr>
          </w:p>
        </w:tc>
      </w:tr>
    </w:tbl>
    <w:p>
      <w:pPr>
        <w:spacing w:after="0" w:line="85" w:lineRule="exact"/>
        <w:rPr>
          <w:sz w:val="24"/>
          <w:szCs w:val="24"/>
          <w:color w:val="auto"/>
        </w:rPr>
      </w:pPr>
    </w:p>
    <w:p>
      <w:pPr>
        <w:ind w:right="480"/>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 230.405 of this chapter) or Rule 12b-2 of the Securities Exchange Act of 1934 (§ 240.12b-2 of this chapter).</w:t>
      </w:r>
    </w:p>
    <w:p>
      <w:pPr>
        <w:spacing w:after="0" w:line="39"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132" w:lineRule="exact"/>
        <w:rPr>
          <w:sz w:val="24"/>
          <w:szCs w:val="24"/>
          <w:color w:val="auto"/>
        </w:rPr>
      </w:pPr>
    </w:p>
    <w:p>
      <w:pPr>
        <w:ind w:right="160"/>
        <w:spacing w:after="0" w:line="228"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73660</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90805</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498475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94"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2.02 Results of Operations and Financial Condition.</w:t>
      </w:r>
    </w:p>
    <w:p>
      <w:pPr>
        <w:spacing w:after="0" w:line="121" w:lineRule="exact"/>
        <w:rPr>
          <w:sz w:val="20"/>
          <w:szCs w:val="20"/>
          <w:color w:val="auto"/>
        </w:rPr>
      </w:pPr>
    </w:p>
    <w:p>
      <w:pPr>
        <w:ind w:right="240" w:firstLine="509"/>
        <w:spacing w:after="0" w:line="296" w:lineRule="auto"/>
        <w:rPr>
          <w:sz w:val="20"/>
          <w:szCs w:val="20"/>
          <w:color w:val="auto"/>
        </w:rPr>
      </w:pPr>
      <w:r>
        <w:rPr>
          <w:rFonts w:ascii="Times New Roman" w:cs="Times New Roman" w:eastAsia="Times New Roman" w:hAnsi="Times New Roman"/>
          <w:sz w:val="17"/>
          <w:szCs w:val="17"/>
          <w:color w:val="auto"/>
        </w:rPr>
        <w:t>On May 9, 2022, ALX Oncology Holdings Inc. (the "Company"), issued a press release announcing its financial results for the first quarter ended March 31, 2022. A copy of this press release is furnished as Exhibit 99.1 to this Current Report on Form 8-K and is incorporated herein by reference.</w:t>
      </w:r>
    </w:p>
    <w:p>
      <w:pPr>
        <w:spacing w:after="0" w:line="31" w:lineRule="exact"/>
        <w:rPr>
          <w:sz w:val="20"/>
          <w:szCs w:val="20"/>
          <w:color w:val="auto"/>
        </w:rPr>
      </w:pPr>
    </w:p>
    <w:p>
      <w:pPr>
        <w:ind w:right="100" w:firstLine="509"/>
        <w:spacing w:after="0" w:line="250" w:lineRule="auto"/>
        <w:rPr>
          <w:sz w:val="20"/>
          <w:szCs w:val="20"/>
          <w:color w:val="auto"/>
        </w:rPr>
      </w:pPr>
      <w:r>
        <w:rPr>
          <w:rFonts w:ascii="Times New Roman" w:cs="Times New Roman" w:eastAsia="Times New Roman" w:hAnsi="Times New Roman"/>
          <w:sz w:val="18"/>
          <w:szCs w:val="18"/>
          <w:color w:val="auto"/>
        </w:rPr>
        <w:t>The information contained in this Item 2.02 of this Current Report on Form 8-K, including Exhibit 99.1 hereto shall not be deemed to be “filed” for purposes of Section 18 of the Securities Exchange Act of 1934, as amended, or otherwise subject to the liabilities of that Section, nor shall it be deemed incorporated by reference in any filing under the Securities Act of 1933, as amended, or the Securities Exchange Act of 1934, as amended, except as shall be expressly stated by specific reference in such filing.</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 Exhibits.</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380" w:type="dxa"/>
            <w:vAlign w:val="bottom"/>
          </w:tcPr>
          <w:p>
            <w:pPr>
              <w:spacing w:after="0"/>
              <w:rPr>
                <w:sz w:val="13"/>
                <w:szCs w:val="13"/>
                <w:color w:val="auto"/>
              </w:rPr>
            </w:pPr>
          </w:p>
        </w:tc>
        <w:tc>
          <w:tcPr>
            <w:tcW w:w="7900" w:type="dxa"/>
            <w:vAlign w:val="bottom"/>
            <w:vMerge w:val="restart"/>
          </w:tcPr>
          <w:p>
            <w:pPr>
              <w:jc w:val="right"/>
              <w:ind w:right="4728"/>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0" w:type="dxa"/>
            <w:vAlign w:val="bottom"/>
          </w:tcPr>
          <w:p>
            <w:pPr>
              <w:spacing w:after="0"/>
              <w:rPr>
                <w:sz w:val="1"/>
                <w:szCs w:val="1"/>
                <w:color w:val="auto"/>
              </w:rPr>
            </w:pPr>
          </w:p>
        </w:tc>
      </w:tr>
      <w:tr>
        <w:trPr>
          <w:trHeight w:val="187"/>
        </w:trPr>
        <w:tc>
          <w:tcPr>
            <w:tcW w:w="8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14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2380" w:type="dxa"/>
            <w:vAlign w:val="bottom"/>
            <w:tcBorders>
              <w:bottom w:val="single" w:sz="8" w:color="auto"/>
            </w:tcBorders>
          </w:tcPr>
          <w:p>
            <w:pPr>
              <w:spacing w:after="0"/>
              <w:rPr>
                <w:sz w:val="16"/>
                <w:szCs w:val="16"/>
                <w:color w:val="auto"/>
              </w:rPr>
            </w:pPr>
          </w:p>
        </w:tc>
        <w:tc>
          <w:tcPr>
            <w:tcW w:w="79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77"/>
        </w:trPr>
        <w:tc>
          <w:tcPr>
            <w:tcW w:w="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99.1</w:t>
            </w: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380" w:type="dxa"/>
            <w:vAlign w:val="bottom"/>
            <w:tcBorders>
              <w:bottom w:val="single" w:sz="8" w:color="0000FF"/>
            </w:tcBorders>
          </w:tcPr>
          <w:p>
            <w:pPr>
              <w:spacing w:after="0"/>
              <w:rPr>
                <w:sz w:val="20"/>
                <w:szCs w:val="20"/>
                <w:color w:val="auto"/>
              </w:rPr>
            </w:pPr>
            <w:r>
              <w:rPr>
                <w:rFonts w:ascii="Times New Roman" w:cs="Times New Roman" w:eastAsia="Times New Roman" w:hAnsi="Times New Roman"/>
                <w:sz w:val="18"/>
                <w:szCs w:val="18"/>
                <w:color w:val="0000FF"/>
                <w:w w:val="99"/>
              </w:rPr>
              <w:t>Press Release dated May 9, 2022</w:t>
            </w:r>
          </w:p>
        </w:tc>
        <w:tc>
          <w:tcPr>
            <w:tcW w:w="7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5"/>
        </w:trPr>
        <w:tc>
          <w:tcPr>
            <w:tcW w:w="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104</w:t>
            </w: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Cover Page Interactive Data File (formatted as Inline XBRL)</w:t>
            </w:r>
          </w:p>
        </w:tc>
        <w:tc>
          <w:tcPr>
            <w:tcW w:w="0" w:type="dxa"/>
            <w:vAlign w:val="bottom"/>
          </w:tcPr>
          <w:p>
            <w:pPr>
              <w:spacing w:after="0"/>
              <w:rPr>
                <w:sz w:val="1"/>
                <w:szCs w:val="1"/>
                <w:color w:val="auto"/>
              </w:rPr>
            </w:pPr>
          </w:p>
        </w:tc>
      </w:tr>
      <w:tr>
        <w:trPr>
          <w:trHeight w:val="634"/>
        </w:trPr>
        <w:tc>
          <w:tcPr>
            <w:tcW w:w="800" w:type="dxa"/>
            <w:vAlign w:val="bottom"/>
          </w:tcPr>
          <w:p>
            <w:pPr>
              <w:spacing w:after="0"/>
              <w:rPr>
                <w:sz w:val="24"/>
                <w:szCs w:val="24"/>
                <w:color w:val="auto"/>
              </w:rPr>
            </w:pPr>
          </w:p>
        </w:tc>
        <w:tc>
          <w:tcPr>
            <w:tcW w:w="10440" w:type="dxa"/>
            <w:vAlign w:val="bottom"/>
            <w:gridSpan w:val="4"/>
          </w:tcPr>
          <w:p>
            <w:pPr>
              <w:jc w:val="right"/>
              <w:ind w:right="5508"/>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102"/>
        </w:trPr>
        <w:tc>
          <w:tcPr>
            <w:tcW w:w="800" w:type="dxa"/>
            <w:vAlign w:val="bottom"/>
            <w:tcBorders>
              <w:bottom w:val="single" w:sz="8" w:color="9A9A9A"/>
            </w:tcBorders>
          </w:tcPr>
          <w:p>
            <w:pPr>
              <w:spacing w:after="0"/>
              <w:rPr>
                <w:sz w:val="8"/>
                <w:szCs w:val="8"/>
                <w:color w:val="auto"/>
              </w:rPr>
            </w:pPr>
          </w:p>
        </w:tc>
        <w:tc>
          <w:tcPr>
            <w:tcW w:w="14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2380" w:type="dxa"/>
            <w:vAlign w:val="bottom"/>
            <w:tcBorders>
              <w:bottom w:val="single" w:sz="8" w:color="9A9A9A"/>
            </w:tcBorders>
          </w:tcPr>
          <w:p>
            <w:pPr>
              <w:spacing w:after="0"/>
              <w:rPr>
                <w:sz w:val="8"/>
                <w:szCs w:val="8"/>
                <w:color w:val="auto"/>
              </w:rPr>
            </w:pPr>
          </w:p>
        </w:tc>
        <w:tc>
          <w:tcPr>
            <w:tcW w:w="7900" w:type="dxa"/>
            <w:vAlign w:val="bottom"/>
            <w:tcBorders>
              <w:bottom w:val="single" w:sz="8" w:color="9A9A9A"/>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20" w:right="339" w:bottom="1440" w:gutter="0" w:footer="0" w:header="0"/>
        </w:sectPr>
      </w:pPr>
    </w:p>
    <w:bookmarkStart w:id="2" w:name="page3"/>
    <w:bookmarkEnd w:id="2"/>
    <w:p>
      <w:pPr>
        <w:jc w:val="center"/>
        <w:ind w:right="-45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firstLine="509"/>
        <w:spacing w:after="0" w:line="266"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85"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18"/>
          <w:szCs w:val="18"/>
          <w:b w:val="1"/>
          <w:bCs w:val="1"/>
          <w:color w:val="auto"/>
        </w:rPr>
        <w:t>ALX ONCOLOGY HOLDINGS INC.</w:t>
      </w:r>
    </w:p>
    <w:p>
      <w:pPr>
        <w:spacing w:after="0" w:line="202" w:lineRule="exact"/>
        <w:rPr>
          <w:sz w:val="20"/>
          <w:szCs w:val="20"/>
          <w:color w:val="auto"/>
        </w:rPr>
      </w:pPr>
    </w:p>
    <w:p>
      <w:pPr>
        <w:ind w:left="20"/>
        <w:spacing w:after="0"/>
        <w:tabs>
          <w:tab w:leader="none" w:pos="5640" w:val="left"/>
        </w:tabs>
        <w:rPr>
          <w:sz w:val="20"/>
          <w:szCs w:val="20"/>
          <w:color w:val="auto"/>
        </w:rPr>
      </w:pPr>
      <w:r>
        <w:rPr>
          <w:rFonts w:ascii="Times New Roman" w:cs="Times New Roman" w:eastAsia="Times New Roman" w:hAnsi="Times New Roman"/>
          <w:sz w:val="18"/>
          <w:szCs w:val="18"/>
          <w:color w:val="auto"/>
        </w:rPr>
        <w:t>Date: May 9, 2022</w:t>
      </w:r>
      <w:r>
        <w:rPr>
          <w:sz w:val="20"/>
          <w:szCs w:val="20"/>
          <w:color w:val="auto"/>
        </w:rPr>
        <w:tab/>
      </w:r>
      <w:r>
        <w:rPr>
          <w:rFonts w:ascii="Times New Roman" w:cs="Times New Roman" w:eastAsia="Times New Roman" w:hAnsi="Times New Roman"/>
          <w:sz w:val="18"/>
          <w:szCs w:val="18"/>
          <w:color w:val="auto"/>
        </w:rPr>
        <w:t>By: /s/ Peter Garcia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17145</wp:posOffset>
            </wp:positionV>
            <wp:extent cx="335153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351530" cy="8890"/>
                    </a:xfrm>
                    <a:prstGeom prst="rect">
                      <a:avLst/>
                    </a:prstGeom>
                    <a:noFill/>
                  </pic:spPr>
                </pic:pic>
              </a:graphicData>
            </a:graphic>
          </wp:anchor>
        </w:drawing>
      </w:r>
    </w:p>
    <w:p>
      <w:pPr>
        <w:spacing w:after="0" w:line="5"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b w:val="1"/>
          <w:bCs w:val="1"/>
          <w:color w:val="auto"/>
        </w:rPr>
        <w:t>Peter Garcia</w:t>
      </w:r>
    </w:p>
    <w:p>
      <w:pPr>
        <w:ind w:left="5980"/>
        <w:spacing w:after="0"/>
        <w:rPr>
          <w:sz w:val="20"/>
          <w:szCs w:val="20"/>
          <w:color w:val="auto"/>
        </w:rPr>
      </w:pPr>
      <w:r>
        <w:rPr>
          <w:rFonts w:ascii="Times New Roman" w:cs="Times New Roman" w:eastAsia="Times New Roman" w:hAnsi="Times New Roman"/>
          <w:sz w:val="18"/>
          <w:szCs w:val="18"/>
          <w:b w:val="1"/>
          <w:bCs w:val="1"/>
          <w:color w:val="auto"/>
        </w:rPr>
        <w:t>Chief Financial Officer</w:t>
      </w:r>
    </w:p>
    <w:p>
      <w:pPr>
        <w:spacing w:after="0" w:line="200" w:lineRule="exact"/>
        <w:rPr>
          <w:sz w:val="20"/>
          <w:szCs w:val="20"/>
          <w:color w:val="auto"/>
        </w:rPr>
      </w:pPr>
    </w:p>
    <w:p>
      <w:pPr>
        <w:spacing w:after="0" w:line="208" w:lineRule="exact"/>
        <w:rPr>
          <w:sz w:val="20"/>
          <w:szCs w:val="20"/>
          <w:color w:val="auto"/>
        </w:rPr>
      </w:pPr>
    </w:p>
    <w:p>
      <w:pPr>
        <w:jc w:val="center"/>
        <w:ind w:right="-45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00"/>
          </w:cols>
          <w:pgMar w:left="320" w:top="320" w:right="779" w:bottom="1440" w:gutter="0" w:footer="0" w:header="0"/>
        </w:sectPr>
      </w:pPr>
    </w:p>
    <w:bookmarkStart w:id="3" w:name="page4"/>
    <w:bookmarkEnd w:id="3"/>
    <w:p>
      <w:pPr>
        <w:ind w:left="10200"/>
        <w:spacing w:after="0"/>
        <w:rPr>
          <w:sz w:val="20"/>
          <w:szCs w:val="20"/>
          <w:color w:val="auto"/>
        </w:rPr>
      </w:pPr>
      <w:r>
        <w:rPr>
          <w:rFonts w:ascii="Times New Roman" w:cs="Times New Roman" w:eastAsia="Times New Roman" w:hAnsi="Times New Roman"/>
          <w:sz w:val="20"/>
          <w:szCs w:val="20"/>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-120015</wp:posOffset>
            </wp:positionV>
            <wp:extent cx="1457325" cy="44577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457325" cy="4457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center"/>
        <w:ind w:right="60"/>
        <w:spacing w:after="0" w:line="275" w:lineRule="auto"/>
        <w:rPr>
          <w:sz w:val="20"/>
          <w:szCs w:val="20"/>
          <w:color w:val="auto"/>
        </w:rPr>
      </w:pPr>
      <w:r>
        <w:rPr>
          <w:rFonts w:ascii="Times New Roman" w:cs="Times New Roman" w:eastAsia="Times New Roman" w:hAnsi="Times New Roman"/>
          <w:sz w:val="25"/>
          <w:szCs w:val="25"/>
          <w:b w:val="1"/>
          <w:bCs w:val="1"/>
          <w:color w:val="auto"/>
        </w:rPr>
        <w:t>ALX Oncology Reports First Quarter 2022 Financial Results and Provides Clinical Development and Operational Highlights</w:t>
      </w:r>
    </w:p>
    <w:p>
      <w:pPr>
        <w:spacing w:after="0" w:line="140" w:lineRule="exact"/>
        <w:rPr>
          <w:sz w:val="20"/>
          <w:szCs w:val="20"/>
          <w:color w:val="auto"/>
        </w:rPr>
      </w:pPr>
    </w:p>
    <w:p>
      <w:pPr>
        <w:jc w:val="both"/>
        <w:ind w:right="100"/>
        <w:spacing w:after="0" w:line="256" w:lineRule="auto"/>
        <w:rPr>
          <w:sz w:val="20"/>
          <w:szCs w:val="20"/>
          <w:color w:val="auto"/>
        </w:rPr>
      </w:pPr>
      <w:r>
        <w:rPr>
          <w:rFonts w:ascii="Times New Roman" w:cs="Times New Roman" w:eastAsia="Times New Roman" w:hAnsi="Times New Roman"/>
          <w:sz w:val="20"/>
          <w:szCs w:val="20"/>
          <w:b w:val="1"/>
          <w:bCs w:val="1"/>
          <w:color w:val="auto"/>
        </w:rPr>
        <w:t xml:space="preserve">SOUTH SAN FRANCISCO, Calif., May 9, 2022 (GLOBE NEWSWIRE) -- </w:t>
      </w:r>
      <w:r>
        <w:rPr>
          <w:rFonts w:ascii="Times New Roman" w:cs="Times New Roman" w:eastAsia="Times New Roman" w:hAnsi="Times New Roman"/>
          <w:sz w:val="20"/>
          <w:szCs w:val="20"/>
          <w:color w:val="auto"/>
        </w:rPr>
        <w:t>ALX Oncology Holdings Inc., (“ALX Oncology”) (Nasdaq:</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ALXO) a clinical-stage immuno-oncology company developing therapies that block the CD47 checkpoint pathway, today reported financial results for the first quarter ended March 31, 2022 and provided clinical development and operational highlights.</w:t>
      </w:r>
    </w:p>
    <w:p>
      <w:pPr>
        <w:spacing w:after="0" w:line="65" w:lineRule="exact"/>
        <w:rPr>
          <w:sz w:val="20"/>
          <w:szCs w:val="20"/>
          <w:color w:val="auto"/>
        </w:rPr>
      </w:pPr>
    </w:p>
    <w:p>
      <w:pPr>
        <w:ind w:right="20"/>
        <w:spacing w:after="0" w:line="243" w:lineRule="auto"/>
        <w:rPr>
          <w:sz w:val="20"/>
          <w:szCs w:val="20"/>
          <w:color w:val="auto"/>
        </w:rPr>
      </w:pPr>
      <w:r>
        <w:rPr>
          <w:rFonts w:ascii="Times New Roman" w:cs="Times New Roman" w:eastAsia="Times New Roman" w:hAnsi="Times New Roman"/>
          <w:sz w:val="20"/>
          <w:szCs w:val="20"/>
          <w:color w:val="auto"/>
        </w:rPr>
        <w:t>“Throughout the first quarter, we continued to realize significant progress advancing our lead program, evorpacept, through multiple clinical trials,” said Jaume Pons, Ph.D., Founder, President and Chief Executive Officer of ALX Oncology. “Our highlights include dosing the first patient in ASPEN-06, our Phase 2/3 study testing evorpacept in combination with ramucirumab, trastuzumab, and paclitaxel for the treatment of patients with HER2-positive gastric cancer or gastroesophageal junction (“GEJ”) cancer and the U.S. Food and Drug Administration (“FDA”) granting Orphan Drug Designation (“ODD”) to evorpacept for the treatment of patients with gastric/GEJ cancer.”</w:t>
      </w:r>
    </w:p>
    <w:p>
      <w:pPr>
        <w:spacing w:after="0" w:line="78" w:lineRule="exact"/>
        <w:rPr>
          <w:sz w:val="20"/>
          <w:szCs w:val="20"/>
          <w:color w:val="auto"/>
        </w:rPr>
      </w:pPr>
    </w:p>
    <w:p>
      <w:pPr>
        <w:ind w:right="20"/>
        <w:spacing w:after="0" w:line="249" w:lineRule="auto"/>
        <w:rPr>
          <w:sz w:val="20"/>
          <w:szCs w:val="20"/>
          <w:color w:val="auto"/>
        </w:rPr>
      </w:pPr>
      <w:r>
        <w:rPr>
          <w:rFonts w:ascii="Times New Roman" w:cs="Times New Roman" w:eastAsia="Times New Roman" w:hAnsi="Times New Roman"/>
          <w:sz w:val="20"/>
          <w:szCs w:val="20"/>
          <w:color w:val="auto"/>
        </w:rPr>
        <w:t>“Looking ahead, we are excited for clinical milestones by year-end including the expected dose optimization readout of a Phase 1b clinical trial of evorpacept in combination with azacitidine in patients with myelodysplastic syndromes (“MDS”) (ASPEN-02) and updates on our Phase 1/2 collaboration with Zymeworks in evaluating the combination of evorpacept and zanidatamab in patients with HER2-positive breast cancer and other solid tumors,” Dr. Pons continued.</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Recent Clinical Developments for Evorpacept</w:t>
      </w:r>
    </w:p>
    <w:p>
      <w:pPr>
        <w:spacing w:after="0" w:line="94" w:lineRule="exact"/>
        <w:rPr>
          <w:sz w:val="20"/>
          <w:szCs w:val="20"/>
          <w:color w:val="auto"/>
        </w:rPr>
      </w:pPr>
    </w:p>
    <w:p>
      <w:pPr>
        <w:ind w:left="1020" w:right="160" w:hanging="503"/>
        <w:spacing w:after="0" w:line="273" w:lineRule="auto"/>
        <w:tabs>
          <w:tab w:leader="none" w:pos="1020" w:val="left"/>
        </w:tabs>
        <w:numPr>
          <w:ilvl w:val="0"/>
          <w:numId w:val="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Initiation of a Phase 2/3 Study of Evorpacept for the Treatment of Patients with Advanced Gastric or Gastroesophageal Junction Cancer (ASPEN-06)</w:t>
      </w:r>
    </w:p>
    <w:p>
      <w:pPr>
        <w:spacing w:after="0" w:line="47" w:lineRule="exact"/>
        <w:rPr>
          <w:rFonts w:ascii="Times New Roman" w:cs="Times New Roman" w:eastAsia="Times New Roman" w:hAnsi="Times New Roman"/>
          <w:sz w:val="20"/>
          <w:szCs w:val="20"/>
          <w:color w:val="auto"/>
        </w:rPr>
      </w:pPr>
    </w:p>
    <w:p>
      <w:pPr>
        <w:ind w:left="1540" w:hanging="509"/>
        <w:spacing w:after="0" w:line="254" w:lineRule="auto"/>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oIn March 2022, the first patient was dosed in the Phase 2/3 ASPEN-06 study evaluating the combination of evorpacept, a next generation CD47 blocker, and CYRAMZA® (ramucirumab), Eli Lilly and Company’s anti-VEGFR2 antibody, added to trastuzumab and paclitaxel for the treatment of patients with HER2-positive gastric/GEJ cancer.</w:t>
      </w:r>
    </w:p>
    <w:p>
      <w:pPr>
        <w:spacing w:after="0" w:line="66" w:lineRule="exact"/>
        <w:rPr>
          <w:rFonts w:ascii="Times New Roman" w:cs="Times New Roman" w:eastAsia="Times New Roman" w:hAnsi="Times New Roman"/>
          <w:sz w:val="20"/>
          <w:szCs w:val="20"/>
          <w:color w:val="auto"/>
        </w:rPr>
      </w:pPr>
    </w:p>
    <w:p>
      <w:pPr>
        <w:ind w:left="1540" w:right="140" w:hanging="509"/>
        <w:spacing w:after="0" w:line="244" w:lineRule="auto"/>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oASPEN-06 (NCT05002127) is a randomized Phase 2 (open-label) / Phase 3 (double-blind), international, multi-center study to evaluate the efficacy of evorpacept in combination with ramucirumab, trastuzumab, and paclitaxel for the treatment of patients whose tumors have progressed following treatment with HER2-targeted therapy and chemotherapy. Approximately 450 adult patients will be enrolled in the study across both phases.</w:t>
      </w:r>
    </w:p>
    <w:p>
      <w:pPr>
        <w:spacing w:after="0" w:line="73" w:lineRule="exact"/>
        <w:rPr>
          <w:rFonts w:ascii="Times New Roman" w:cs="Times New Roman" w:eastAsia="Times New Roman" w:hAnsi="Times New Roman"/>
          <w:sz w:val="20"/>
          <w:szCs w:val="20"/>
          <w:color w:val="auto"/>
        </w:rPr>
      </w:pPr>
    </w:p>
    <w:p>
      <w:pPr>
        <w:ind w:left="1020" w:hanging="503"/>
        <w:spacing w:after="0"/>
        <w:tabs>
          <w:tab w:leader="none" w:pos="1020" w:val="left"/>
        </w:tabs>
        <w:numPr>
          <w:ilvl w:val="0"/>
          <w:numId w:val="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FDA Granted ODD for Evorpacept for the Treatment of Patients with Gastric/GEJ Cancer</w:t>
      </w:r>
    </w:p>
    <w:p>
      <w:pPr>
        <w:spacing w:after="0" w:line="112" w:lineRule="exact"/>
        <w:rPr>
          <w:sz w:val="20"/>
          <w:szCs w:val="20"/>
          <w:color w:val="auto"/>
        </w:rPr>
      </w:pPr>
    </w:p>
    <w:p>
      <w:pPr>
        <w:ind w:left="1540" w:right="180" w:hanging="514"/>
        <w:spacing w:after="0" w:line="269" w:lineRule="auto"/>
        <w:tabs>
          <w:tab w:leader="none" w:pos="1540"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January 2022, ALX Oncology announced that the FDA granted ODD to evorpacept, a next-generation CD47 blocker, for the treatment of patients with gastric/GEJ cancer.</w:t>
      </w:r>
    </w:p>
    <w:p>
      <w:pPr>
        <w:spacing w:after="0" w:line="4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Recent Corporate Updates</w:t>
      </w:r>
    </w:p>
    <w:p>
      <w:pPr>
        <w:spacing w:after="0" w:line="94" w:lineRule="exact"/>
        <w:rPr>
          <w:sz w:val="20"/>
          <w:szCs w:val="20"/>
          <w:color w:val="auto"/>
        </w:rPr>
      </w:pPr>
    </w:p>
    <w:p>
      <w:pPr>
        <w:ind w:left="1020" w:hanging="503"/>
        <w:spacing w:after="0"/>
        <w:tabs>
          <w:tab w:leader="none" w:pos="1020" w:val="left"/>
        </w:tabs>
        <w:numPr>
          <w:ilvl w:val="0"/>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Appointed Itziar Canamasas, Ph.D., to its Board of Directors</w:t>
      </w:r>
    </w:p>
    <w:p>
      <w:pPr>
        <w:spacing w:after="0" w:line="112" w:lineRule="exact"/>
        <w:rPr>
          <w:sz w:val="20"/>
          <w:szCs w:val="20"/>
          <w:color w:val="auto"/>
        </w:rPr>
      </w:pPr>
    </w:p>
    <w:p>
      <w:pPr>
        <w:ind w:left="1540" w:right="180" w:hanging="514"/>
        <w:spacing w:after="0" w:line="254" w:lineRule="auto"/>
        <w:tabs>
          <w:tab w:leader="none" w:pos="1540" w:val="left"/>
        </w:tabs>
        <w:numPr>
          <w:ilvl w:val="0"/>
          <w:numId w:val="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April 2022, ALX Oncology announced the appointment of Itziar Canamasas, Ph.D., to its Board of Directors (the “Board”). With more than 20 years of biopharmaceutical industry experience, Dr. Canamasas brings expertise in driving business growth and operational excellence.</w:t>
      </w:r>
    </w:p>
    <w:p>
      <w:pPr>
        <w:spacing w:after="0" w:line="6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2"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20"/>
          <w:szCs w:val="20"/>
          <w:b w:val="1"/>
          <w:bCs w:val="1"/>
          <w:color w:val="auto"/>
        </w:rPr>
        <w:t>First Quarter 2022 Financial Results:</w:t>
      </w:r>
    </w:p>
    <w:p>
      <w:pPr>
        <w:spacing w:after="0" w:line="108" w:lineRule="exact"/>
        <w:rPr>
          <w:sz w:val="20"/>
          <w:szCs w:val="20"/>
          <w:color w:val="auto"/>
        </w:rPr>
      </w:pPr>
    </w:p>
    <w:p>
      <w:pPr>
        <w:jc w:val="both"/>
        <w:ind w:left="1020" w:right="60" w:hanging="503"/>
        <w:spacing w:after="0" w:line="300" w:lineRule="auto"/>
        <w:tabs>
          <w:tab w:leader="none" w:pos="1020" w:val="left"/>
        </w:tabs>
        <w:numPr>
          <w:ilvl w:val="0"/>
          <w:numId w:val="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b w:val="1"/>
          <w:bCs w:val="1"/>
          <w:color w:val="auto"/>
        </w:rPr>
        <w:t xml:space="preserve">Cash, Cash Equivalents and Investments: </w:t>
      </w:r>
      <w:r>
        <w:rPr>
          <w:rFonts w:ascii="Times New Roman" w:cs="Times New Roman" w:eastAsia="Times New Roman" w:hAnsi="Times New Roman"/>
          <w:sz w:val="19"/>
          <w:szCs w:val="19"/>
          <w:color w:val="auto"/>
        </w:rPr>
        <w:t>Cash, cash equivalents and investments as of March 31, 2022 were $341.7 million.</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ALX Oncology believes its cash, cash equivalents and investments are sufficient to fund planned operations through mid-2024.</w:t>
      </w:r>
    </w:p>
    <w:p>
      <w:pPr>
        <w:spacing w:after="0" w:line="7" w:lineRule="exact"/>
        <w:rPr>
          <w:rFonts w:ascii="Times New Roman" w:cs="Times New Roman" w:eastAsia="Times New Roman" w:hAnsi="Times New Roman"/>
          <w:sz w:val="19"/>
          <w:szCs w:val="19"/>
          <w:color w:val="auto"/>
        </w:rPr>
      </w:pPr>
    </w:p>
    <w:p>
      <w:pPr>
        <w:ind w:left="1020" w:hanging="503"/>
        <w:spacing w:after="0" w:line="255" w:lineRule="auto"/>
        <w:tabs>
          <w:tab w:leader="none" w:pos="1020" w:val="left"/>
        </w:tabs>
        <w:numPr>
          <w:ilvl w:val="0"/>
          <w:numId w:val="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b w:val="1"/>
          <w:bCs w:val="1"/>
          <w:color w:val="auto"/>
        </w:rPr>
        <w:t xml:space="preserve">Research and Development (“R&amp;D”) Expenses: </w:t>
      </w:r>
      <w:r>
        <w:rPr>
          <w:rFonts w:ascii="Times New Roman" w:cs="Times New Roman" w:eastAsia="Times New Roman" w:hAnsi="Times New Roman"/>
          <w:sz w:val="19"/>
          <w:szCs w:val="19"/>
          <w:color w:val="auto"/>
        </w:rPr>
        <w:t>R&amp;D expenses consist primarily of pre-clinical, clinical and manufacturing</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expenses related to the development of ALX Oncology's current lead product candidate, evorpacept, and R&amp;D employee-related expenses. These expenses for the three months ended March 31, 2022, were $17.1 million, compared to $9.8 million for the prior-year period. The increase in expenses during the three months ended March 31, 2022 compared to the three months ended March 31, 2021 were primarily attributable to an increase of $2.6 million in clinical and development costs primarily due to manufacturing of clinical trial materials to support a higher number of active clinical trials and future expected patient enrollment related to the advancement of evorpacept, as well as an increase of $0.9 million related to the collaboration with Tallac Therapeutics, Inc., an increase of $2.1 million in personnel related costs driven by headcount growth, an increase of $1.5 million in stock-based compensation expense due to additional awards granted since March 31, 2021 and an increase of $0.6 million in other research costs due primarily to an increase in facility costs related to the expansion of our new laboratory space.</w:t>
      </w:r>
    </w:p>
    <w:p>
      <w:pPr>
        <w:spacing w:after="0" w:line="68" w:lineRule="exact"/>
        <w:rPr>
          <w:rFonts w:ascii="Times New Roman" w:cs="Times New Roman" w:eastAsia="Times New Roman" w:hAnsi="Times New Roman"/>
          <w:sz w:val="19"/>
          <w:szCs w:val="19"/>
          <w:color w:val="auto"/>
        </w:rPr>
      </w:pPr>
    </w:p>
    <w:p>
      <w:pPr>
        <w:ind w:left="1020" w:right="60" w:hanging="503"/>
        <w:spacing w:after="0" w:line="242" w:lineRule="auto"/>
        <w:tabs>
          <w:tab w:leader="none" w:pos="1020" w:val="left"/>
        </w:tabs>
        <w:numPr>
          <w:ilvl w:val="0"/>
          <w:numId w:val="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 xml:space="preserve">General and Administrative (“G&amp;A”) Expenses: </w:t>
      </w:r>
      <w:r>
        <w:rPr>
          <w:rFonts w:ascii="Times New Roman" w:cs="Times New Roman" w:eastAsia="Times New Roman" w:hAnsi="Times New Roman"/>
          <w:sz w:val="20"/>
          <w:szCs w:val="20"/>
          <w:color w:val="auto"/>
        </w:rPr>
        <w:t>G&amp;A expenses consist primarily of administrative employee-related</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expenses, legal and other professional fees, patent filing and maintenance fees, and insurance. These expenses for the three months ended March 31, 2022, were $7.7 million, compared to $4.4 million for the prior-year period. The expense increases during the three months ended March 31, 2022 compared to the three months ended March 31, 2021 were primarily attributable to an increase of $2.2 million in stock-based compensation expense due to additional awards granted since March 31, 2021 and an increase of $0.8 million in other costs primarily driven by an increase in corporate legal fees, regulatory related filing fees and facility and information technology costs.</w:t>
      </w:r>
    </w:p>
    <w:p>
      <w:pPr>
        <w:spacing w:after="0" w:line="77" w:lineRule="exact"/>
        <w:rPr>
          <w:rFonts w:ascii="Times New Roman" w:cs="Times New Roman" w:eastAsia="Times New Roman" w:hAnsi="Times New Roman"/>
          <w:sz w:val="20"/>
          <w:szCs w:val="20"/>
          <w:color w:val="auto"/>
        </w:rPr>
      </w:pPr>
    </w:p>
    <w:p>
      <w:pPr>
        <w:ind w:left="1020" w:right="160" w:hanging="503"/>
        <w:spacing w:after="0" w:line="244" w:lineRule="auto"/>
        <w:tabs>
          <w:tab w:leader="none" w:pos="1020" w:val="left"/>
        </w:tabs>
        <w:numPr>
          <w:ilvl w:val="0"/>
          <w:numId w:val="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 xml:space="preserve">Net loss: </w:t>
      </w:r>
      <w:r>
        <w:rPr>
          <w:rFonts w:ascii="Times New Roman" w:cs="Times New Roman" w:eastAsia="Times New Roman" w:hAnsi="Times New Roman"/>
          <w:sz w:val="20"/>
          <w:szCs w:val="20"/>
          <w:color w:val="auto"/>
        </w:rPr>
        <w:t>GAAP net loss was $24.5 million for the first quarter ended March 31, 2022, or $0.60 per basic and diluted share, as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compared to a net loss of $14.2 million for the first quarter ended March 31, 2021, or $0.35 per basic and diluted share. Non-GAAP net loss was $19.0 million for the first quarter ended March 31, 2022, as compared to a net loss of $12.4 million for the first quarter ended March 31, 2021. A reconciliation of GAAP to non-GAAP financial results can be found at the end of this news release.</w:t>
      </w:r>
    </w:p>
    <w:p>
      <w:pPr>
        <w:spacing w:after="0" w:line="7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About ALX Oncology</w:t>
      </w:r>
    </w:p>
    <w:p>
      <w:pPr>
        <w:spacing w:after="0" w:line="112" w:lineRule="exact"/>
        <w:rPr>
          <w:sz w:val="20"/>
          <w:szCs w:val="20"/>
          <w:color w:val="auto"/>
        </w:rPr>
      </w:pPr>
    </w:p>
    <w:p>
      <w:pPr>
        <w:ind w:right="540"/>
        <w:spacing w:after="0" w:line="242" w:lineRule="auto"/>
        <w:rPr>
          <w:sz w:val="20"/>
          <w:szCs w:val="20"/>
          <w:color w:val="auto"/>
        </w:rPr>
      </w:pPr>
      <w:r>
        <w:rPr>
          <w:rFonts w:ascii="Times New Roman" w:cs="Times New Roman" w:eastAsia="Times New Roman" w:hAnsi="Times New Roman"/>
          <w:sz w:val="20"/>
          <w:szCs w:val="20"/>
          <w:color w:val="auto"/>
        </w:rPr>
        <w:t>ALX Oncology is a publicly traded, clinical-stage immuno-oncology company focused on helping patients fight cancer by developing therapies that block the CD47 checkpoint pathway and bridge the innate and adaptive immune system. ALX Oncology’s lead product candidate, evorpacept, is a next generation CD47 blocking therapeutic that combines a high-affinity CD47 binding domain with an inactivated, proprietary Fc domain. Evorpacept has demonstrated promising clinical responses across a range of hematologic and solid malignancies in combination with a number of leading anti-cancer agents. ALX Oncology intends to continue clinical development of evorpacept for the treatment of multiple solid tumor indications and hematologic malignancies, including acute myeloid leukemia and myelodysplastic syndromes.</w:t>
      </w:r>
    </w:p>
    <w:p>
      <w:pPr>
        <w:spacing w:after="0" w:line="7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450" w:right="37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20"/>
          <w:szCs w:val="20"/>
          <w:b w:val="1"/>
          <w:bCs w:val="1"/>
          <w:color w:val="auto"/>
        </w:rPr>
        <w:t>Cautionary Note Regarding Forward-Looking Statements</w:t>
      </w:r>
    </w:p>
    <w:p>
      <w:pPr>
        <w:spacing w:after="0" w:line="112" w:lineRule="exact"/>
        <w:rPr>
          <w:sz w:val="20"/>
          <w:szCs w:val="20"/>
          <w:color w:val="auto"/>
        </w:rPr>
      </w:pPr>
    </w:p>
    <w:p>
      <w:pPr>
        <w:spacing w:after="0" w:line="239" w:lineRule="auto"/>
        <w:rPr>
          <w:sz w:val="20"/>
          <w:szCs w:val="20"/>
          <w:color w:val="auto"/>
        </w:rPr>
      </w:pPr>
      <w:r>
        <w:rPr>
          <w:rFonts w:ascii="Times New Roman" w:cs="Times New Roman" w:eastAsia="Times New Roman" w:hAnsi="Times New Roman"/>
          <w:sz w:val="20"/>
          <w:szCs w:val="20"/>
          <w:color w:val="auto"/>
        </w:rPr>
        <w:t>This press release contains forward-looking statements that involve substantial risks and uncertainties. Forward-looking statements include statements regarding future results of operations and financial position, business strategy, product candidates, planned preclinical studies and clinical trials, results of clinical trials, research and development costs, regulatory approvals, timing and likelihood of success, plans and objects of management for future operations, as well as statements regarding industry trends. Such forward-looking statements are based on ALX Oncology’s beliefs and assumptions and on information currently available to it on the date of this press release. Forward-looking statements may involve known and unknown risks, uncertainties and other factors that may cause ALX Oncology’s actual results, performance or achievements to be materially different from those expressed or implied by the forward-looking statements. These and other risks are described more fully in ALX Oncology’s filings with the Securities and Exchange Commission (“SEC”), including ALX Oncology’s Annual Reports on Form 10-K, Quarterly Reports on Form 10-Q and other documents ALX Oncology files with the SEC from time to time. Except to the extent required by law, ALX Oncology undertakes no obligation to update such statements to reflect events that occur or circumstances that exist after the date on which they were made.</w:t>
      </w:r>
    </w:p>
    <w:p>
      <w:pPr>
        <w:spacing w:after="0" w:line="86"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20"/>
          <w:szCs w:val="20"/>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450" w:right="419" w:bottom="1440" w:gutter="0" w:footer="0" w:header="0"/>
        </w:sectPr>
      </w:pPr>
    </w:p>
    <w:bookmarkStart w:id="6" w:name="page7"/>
    <w:bookmarkEnd w:id="6"/>
    <w:p>
      <w:pPr>
        <w:ind w:left="4020"/>
        <w:spacing w:after="0"/>
        <w:rPr>
          <w:sz w:val="20"/>
          <w:szCs w:val="20"/>
          <w:color w:val="auto"/>
        </w:rPr>
      </w:pPr>
      <w:r>
        <w:rPr>
          <w:rFonts w:ascii="Times New Roman" w:cs="Times New Roman" w:eastAsia="Times New Roman" w:hAnsi="Times New Roman"/>
          <w:sz w:val="20"/>
          <w:szCs w:val="20"/>
          <w:b w:val="1"/>
          <w:bCs w:val="1"/>
          <w:color w:val="auto"/>
        </w:rPr>
        <w:t>ALX ONCOLOGY HOLDINGS INC.</w:t>
      </w:r>
    </w:p>
    <w:p>
      <w:pPr>
        <w:spacing w:after="0" w:line="25" w:lineRule="exact"/>
        <w:rPr>
          <w:sz w:val="20"/>
          <w:szCs w:val="20"/>
          <w:color w:val="auto"/>
        </w:rPr>
      </w:pPr>
    </w:p>
    <w:p>
      <w:pPr>
        <w:ind w:left="3480"/>
        <w:spacing w:after="0"/>
        <w:rPr>
          <w:sz w:val="20"/>
          <w:szCs w:val="20"/>
          <w:color w:val="auto"/>
        </w:rPr>
      </w:pPr>
      <w:r>
        <w:rPr>
          <w:rFonts w:ascii="Times New Roman" w:cs="Times New Roman" w:eastAsia="Times New Roman" w:hAnsi="Times New Roman"/>
          <w:sz w:val="20"/>
          <w:szCs w:val="20"/>
          <w:b w:val="1"/>
          <w:bCs w:val="1"/>
          <w:color w:val="auto"/>
        </w:rPr>
        <w:t>Condensed Consolidated Statements of Operations</w:t>
      </w:r>
    </w:p>
    <w:p>
      <w:pPr>
        <w:ind w:left="5160"/>
        <w:spacing w:after="0" w:line="225" w:lineRule="auto"/>
        <w:rPr>
          <w:sz w:val="20"/>
          <w:szCs w:val="20"/>
          <w:color w:val="auto"/>
        </w:rPr>
      </w:pPr>
      <w:r>
        <w:rPr>
          <w:rFonts w:ascii="Times New Roman" w:cs="Times New Roman" w:eastAsia="Times New Roman" w:hAnsi="Times New Roman"/>
          <w:sz w:val="20"/>
          <w:szCs w:val="20"/>
          <w:color w:val="auto"/>
        </w:rPr>
        <w:t>(unaudited)</w:t>
      </w:r>
    </w:p>
    <w:p>
      <w:pPr>
        <w:jc w:val="center"/>
        <w:ind w:right="40"/>
        <w:spacing w:after="0"/>
        <w:rPr>
          <w:sz w:val="20"/>
          <w:szCs w:val="20"/>
          <w:color w:val="auto"/>
        </w:rPr>
      </w:pPr>
      <w:r>
        <w:rPr>
          <w:rFonts w:ascii="Times New Roman" w:cs="Times New Roman" w:eastAsia="Times New Roman" w:hAnsi="Times New Roman"/>
          <w:sz w:val="20"/>
          <w:szCs w:val="20"/>
          <w:color w:val="auto"/>
        </w:rPr>
        <w:t>(in thousands, except share and per share amounts)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3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34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7340" w:type="dxa"/>
            <w:vAlign w:val="bottom"/>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2340" w:type="dxa"/>
            <w:vAlign w:val="bottom"/>
            <w:tcBorders>
              <w:bottom w:val="single" w:sz="8" w:color="auto"/>
            </w:tcBorders>
            <w:gridSpan w:val="3"/>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10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7340" w:type="dxa"/>
            <w:vAlign w:val="bottom"/>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ind w:right="610"/>
              <w:spacing w:after="0"/>
              <w:rPr>
                <w:sz w:val="20"/>
                <w:szCs w:val="20"/>
                <w:color w:val="auto"/>
              </w:rPr>
            </w:pPr>
            <w:r>
              <w:rPr>
                <w:rFonts w:ascii="Times New Roman" w:cs="Times New Roman" w:eastAsia="Times New Roman" w:hAnsi="Times New Roman"/>
                <w:sz w:val="18"/>
                <w:szCs w:val="18"/>
                <w:b w:val="1"/>
                <w:bCs w:val="1"/>
                <w:color w:val="auto"/>
              </w:rPr>
              <w:t>2022</w:t>
            </w:r>
          </w:p>
        </w:tc>
        <w:tc>
          <w:tcPr>
            <w:tcW w:w="300" w:type="dxa"/>
            <w:vAlign w:val="bottom"/>
          </w:tcPr>
          <w:p>
            <w:pPr>
              <w:spacing w:after="0"/>
              <w:rPr>
                <w:sz w:val="18"/>
                <w:szCs w:val="18"/>
                <w:color w:val="auto"/>
              </w:rPr>
            </w:pPr>
          </w:p>
        </w:tc>
        <w:tc>
          <w:tcPr>
            <w:tcW w:w="68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590"/>
              <w:spacing w:after="0"/>
              <w:rPr>
                <w:sz w:val="20"/>
                <w:szCs w:val="20"/>
                <w:color w:val="auto"/>
              </w:rPr>
            </w:pPr>
            <w:r>
              <w:rPr>
                <w:rFonts w:ascii="Times New Roman" w:cs="Times New Roman" w:eastAsia="Times New Roman" w:hAnsi="Times New Roman"/>
                <w:sz w:val="18"/>
                <w:szCs w:val="18"/>
                <w:b w:val="1"/>
                <w:bCs w:val="1"/>
                <w:color w:val="auto"/>
                <w:w w:val="99"/>
              </w:rPr>
              <w:t>2021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3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40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Research and development</w:t>
            </w:r>
          </w:p>
        </w:tc>
        <w:tc>
          <w:tcPr>
            <w:tcW w:w="40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17,073</w:t>
            </w:r>
          </w:p>
        </w:tc>
        <w:tc>
          <w:tcPr>
            <w:tcW w:w="300" w:type="dxa"/>
            <w:vAlign w:val="bottom"/>
          </w:tcPr>
          <w:p>
            <w:pPr>
              <w:spacing w:after="0"/>
              <w:rPr>
                <w:sz w:val="18"/>
                <w:szCs w:val="18"/>
                <w:color w:val="auto"/>
              </w:rPr>
            </w:pPr>
          </w:p>
        </w:tc>
        <w:tc>
          <w:tcPr>
            <w:tcW w:w="680" w:type="dxa"/>
            <w:vAlign w:val="bottom"/>
          </w:tcPr>
          <w:p>
            <w:pPr>
              <w:jc w:val="right"/>
              <w:ind w:right="49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9,849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4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400" w:type="dxa"/>
            <w:vAlign w:val="bottom"/>
            <w:tcBorders>
              <w:bottom w:val="single" w:sz="8" w:color="auto"/>
            </w:tcBorders>
            <w:shd w:val="clear" w:color="auto" w:fill="CFF0FC"/>
          </w:tcPr>
          <w:p>
            <w:pPr>
              <w:spacing w:after="0"/>
              <w:rPr>
                <w:sz w:val="18"/>
                <w:szCs w:val="18"/>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7,674</w:t>
            </w:r>
          </w:p>
        </w:tc>
        <w:tc>
          <w:tcPr>
            <w:tcW w:w="300" w:type="dxa"/>
            <w:vAlign w:val="bottom"/>
            <w:tcBorders>
              <w:bottom w:val="single" w:sz="8" w:color="CFF0FC"/>
            </w:tcBorders>
            <w:shd w:val="clear" w:color="auto" w:fill="CFF0FC"/>
          </w:tcPr>
          <w:p>
            <w:pPr>
              <w:spacing w:after="0"/>
              <w:rPr>
                <w:sz w:val="18"/>
                <w:szCs w:val="18"/>
                <w:color w:val="auto"/>
              </w:rPr>
            </w:pPr>
          </w:p>
        </w:tc>
        <w:tc>
          <w:tcPr>
            <w:tcW w:w="680" w:type="dxa"/>
            <w:vAlign w:val="bottom"/>
            <w:tcBorders>
              <w:bottom w:val="single" w:sz="8" w:color="auto"/>
            </w:tcBorders>
            <w:shd w:val="clear" w:color="auto" w:fill="CFF0FC"/>
          </w:tcPr>
          <w:p>
            <w:pPr>
              <w:spacing w:after="0"/>
              <w:rPr>
                <w:sz w:val="18"/>
                <w:szCs w:val="18"/>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4,359</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73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Total operating expenses</w:t>
            </w:r>
          </w:p>
        </w:tc>
        <w:tc>
          <w:tcPr>
            <w:tcW w:w="40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24,747</w:t>
            </w:r>
          </w:p>
        </w:tc>
        <w:tc>
          <w:tcPr>
            <w:tcW w:w="300" w:type="dxa"/>
            <w:vAlign w:val="bottom"/>
          </w:tcPr>
          <w:p>
            <w:pPr>
              <w:spacing w:after="0"/>
              <w:rPr>
                <w:sz w:val="18"/>
                <w:szCs w:val="18"/>
                <w:color w:val="auto"/>
              </w:rPr>
            </w:pPr>
          </w:p>
        </w:tc>
        <w:tc>
          <w:tcPr>
            <w:tcW w:w="68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14,208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3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Loss from operations</w:t>
            </w:r>
          </w:p>
        </w:tc>
        <w:tc>
          <w:tcPr>
            <w:tcW w:w="400" w:type="dxa"/>
            <w:vAlign w:val="bottom"/>
            <w:shd w:val="clear" w:color="auto" w:fill="CFF0FC"/>
          </w:tcPr>
          <w:p>
            <w:pPr>
              <w:spacing w:after="0"/>
              <w:rPr>
                <w:sz w:val="18"/>
                <w:szCs w:val="18"/>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(24,747</w:t>
            </w:r>
          </w:p>
        </w:tc>
        <w:tc>
          <w:tcPr>
            <w:tcW w:w="300" w:type="dxa"/>
            <w:vAlign w:val="bottom"/>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w w:val="99"/>
              </w:rPr>
              <w:t>)</w:t>
            </w:r>
          </w:p>
        </w:tc>
        <w:tc>
          <w:tcPr>
            <w:tcW w:w="680" w:type="dxa"/>
            <w:vAlign w:val="bottom"/>
            <w:shd w:val="clear" w:color="auto" w:fill="CFF0FC"/>
          </w:tcPr>
          <w:p>
            <w:pPr>
              <w:spacing w:after="0"/>
              <w:rPr>
                <w:sz w:val="18"/>
                <w:szCs w:val="18"/>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(14,208</w:t>
            </w: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9"/>
              </w:rPr>
              <w:t>)</w:t>
            </w:r>
          </w:p>
        </w:tc>
        <w:tc>
          <w:tcPr>
            <w:tcW w:w="0" w:type="dxa"/>
            <w:vAlign w:val="bottom"/>
          </w:tcPr>
          <w:p>
            <w:pPr>
              <w:spacing w:after="0"/>
              <w:rPr>
                <w:sz w:val="1"/>
                <w:szCs w:val="1"/>
                <w:color w:val="auto"/>
              </w:rPr>
            </w:pPr>
          </w:p>
        </w:tc>
      </w:tr>
      <w:tr>
        <w:trPr>
          <w:trHeight w:val="216"/>
        </w:trPr>
        <w:tc>
          <w:tcPr>
            <w:tcW w:w="73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Interest income</w:t>
            </w:r>
          </w:p>
        </w:tc>
        <w:tc>
          <w:tcPr>
            <w:tcW w:w="4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225</w:t>
            </w:r>
          </w:p>
        </w:tc>
        <w:tc>
          <w:tcPr>
            <w:tcW w:w="3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Other income (expense), net</w:t>
            </w:r>
          </w:p>
        </w:tc>
        <w:tc>
          <w:tcPr>
            <w:tcW w:w="400" w:type="dxa"/>
            <w:vAlign w:val="bottom"/>
            <w:shd w:val="clear" w:color="auto" w:fill="CFF0FC"/>
          </w:tcPr>
          <w:p>
            <w:pPr>
              <w:spacing w:after="0"/>
              <w:rPr>
                <w:sz w:val="18"/>
                <w:szCs w:val="18"/>
                <w:color w:val="auto"/>
              </w:rPr>
            </w:pPr>
          </w:p>
        </w:tc>
        <w:tc>
          <w:tcPr>
            <w:tcW w:w="1660" w:type="dxa"/>
            <w:vAlign w:val="bottom"/>
            <w:gridSpan w:val="2"/>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rPr>
              <w:t>(11 )</w:t>
            </w:r>
          </w:p>
        </w:tc>
        <w:tc>
          <w:tcPr>
            <w:tcW w:w="680" w:type="dxa"/>
            <w:vAlign w:val="bottom"/>
            <w:shd w:val="clear" w:color="auto" w:fill="CFF0FC"/>
          </w:tcPr>
          <w:p>
            <w:pPr>
              <w:spacing w:after="0"/>
              <w:rPr>
                <w:sz w:val="18"/>
                <w:szCs w:val="18"/>
                <w:color w:val="auto"/>
              </w:rPr>
            </w:pPr>
          </w:p>
        </w:tc>
        <w:tc>
          <w:tcPr>
            <w:tcW w:w="11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(2 )</w:t>
            </w:r>
          </w:p>
        </w:tc>
        <w:tc>
          <w:tcPr>
            <w:tcW w:w="0" w:type="dxa"/>
            <w:vAlign w:val="bottom"/>
          </w:tcPr>
          <w:p>
            <w:pPr>
              <w:spacing w:after="0"/>
              <w:rPr>
                <w:sz w:val="1"/>
                <w:szCs w:val="1"/>
                <w:color w:val="auto"/>
              </w:rPr>
            </w:pPr>
          </w:p>
        </w:tc>
      </w:tr>
      <w:tr>
        <w:trPr>
          <w:trHeight w:val="20"/>
        </w:trPr>
        <w:tc>
          <w:tcPr>
            <w:tcW w:w="7340" w:type="dxa"/>
            <w:vAlign w:val="bottom"/>
            <w:shd w:val="clear" w:color="auto" w:fill="CFF0FC"/>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300" w:type="dxa"/>
            <w:vAlign w:val="bottom"/>
            <w:shd w:val="clear" w:color="auto" w:fill="CFF0FC"/>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40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66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(24,533 )</w:t>
            </w:r>
          </w:p>
        </w:tc>
        <w:tc>
          <w:tcPr>
            <w:tcW w:w="680" w:type="dxa"/>
            <w:vAlign w:val="bottom"/>
          </w:tcPr>
          <w:p>
            <w:pPr>
              <w:jc w:val="right"/>
              <w:ind w:right="49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(14,185 )</w:t>
            </w:r>
          </w:p>
        </w:tc>
        <w:tc>
          <w:tcPr>
            <w:tcW w:w="0" w:type="dxa"/>
            <w:vAlign w:val="bottom"/>
          </w:tcPr>
          <w:p>
            <w:pPr>
              <w:spacing w:after="0"/>
              <w:rPr>
                <w:sz w:val="1"/>
                <w:szCs w:val="1"/>
                <w:color w:val="auto"/>
              </w:rPr>
            </w:pPr>
          </w:p>
        </w:tc>
      </w:tr>
      <w:tr>
        <w:trPr>
          <w:trHeight w:val="20"/>
        </w:trPr>
        <w:tc>
          <w:tcPr>
            <w:tcW w:w="734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7340" w:type="dxa"/>
            <w:vAlign w:val="bottom"/>
            <w:tcBorders>
              <w:bottom w:val="single" w:sz="8" w:color="CFF0FC"/>
            </w:tcBorders>
            <w:shd w:val="clear" w:color="auto" w:fill="CFF0FC"/>
          </w:tcPr>
          <w:p>
            <w:pPr>
              <w:ind w:left="20"/>
              <w:spacing w:after="0" w:line="196" w:lineRule="exact"/>
              <w:rPr>
                <w:sz w:val="20"/>
                <w:szCs w:val="20"/>
                <w:color w:val="auto"/>
              </w:rPr>
            </w:pPr>
            <w:r>
              <w:rPr>
                <w:rFonts w:ascii="Times New Roman" w:cs="Times New Roman" w:eastAsia="Times New Roman" w:hAnsi="Times New Roman"/>
                <w:sz w:val="18"/>
                <w:szCs w:val="18"/>
                <w:color w:val="auto"/>
              </w:rPr>
              <w:t>Net loss per share, basic and diluted</w:t>
            </w:r>
          </w:p>
        </w:tc>
        <w:tc>
          <w:tcPr>
            <w:tcW w:w="400" w:type="dxa"/>
            <w:vAlign w:val="bottom"/>
            <w:tcBorders>
              <w:bottom w:val="single" w:sz="8" w:color="auto"/>
            </w:tcBorders>
            <w:shd w:val="clear" w:color="auto" w:fill="CFF0FC"/>
          </w:tcPr>
          <w:p>
            <w:pPr>
              <w:jc w:val="right"/>
              <w:ind w:right="21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auto"/>
            </w:tcBorders>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(0.60</w:t>
            </w:r>
          </w:p>
        </w:tc>
        <w:tc>
          <w:tcPr>
            <w:tcW w:w="300" w:type="dxa"/>
            <w:vAlign w:val="bottom"/>
            <w:tcBorders>
              <w:bottom w:val="single" w:sz="8" w:color="CFF0FC"/>
            </w:tcBorders>
            <w:shd w:val="clear" w:color="auto" w:fill="CFF0FC"/>
          </w:tcPr>
          <w:p>
            <w:pPr>
              <w:jc w:val="right"/>
              <w:ind w:right="130"/>
              <w:spacing w:after="0" w:line="196" w:lineRule="exact"/>
              <w:rPr>
                <w:sz w:val="20"/>
                <w:szCs w:val="20"/>
                <w:color w:val="auto"/>
              </w:rPr>
            </w:pPr>
            <w:r>
              <w:rPr>
                <w:rFonts w:ascii="Times New Roman" w:cs="Times New Roman" w:eastAsia="Times New Roman" w:hAnsi="Times New Roman"/>
                <w:sz w:val="18"/>
                <w:szCs w:val="18"/>
                <w:color w:val="auto"/>
                <w:w w:val="99"/>
              </w:rPr>
              <w:t>)</w:t>
            </w:r>
          </w:p>
        </w:tc>
        <w:tc>
          <w:tcPr>
            <w:tcW w:w="680" w:type="dxa"/>
            <w:vAlign w:val="bottom"/>
            <w:tcBorders>
              <w:bottom w:val="single" w:sz="8" w:color="auto"/>
            </w:tcBorders>
            <w:shd w:val="clear" w:color="auto" w:fill="CFF0FC"/>
          </w:tcPr>
          <w:p>
            <w:pPr>
              <w:jc w:val="right"/>
              <w:ind w:right="49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(0.35</w:t>
            </w:r>
          </w:p>
        </w:tc>
        <w:tc>
          <w:tcPr>
            <w:tcW w:w="100" w:type="dxa"/>
            <w:vAlign w:val="bottom"/>
            <w:tcBorders>
              <w:bottom w:val="single" w:sz="8" w:color="CFF0FC"/>
            </w:tcBorders>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w w:val="99"/>
              </w:rPr>
              <w:t>)</w:t>
            </w:r>
          </w:p>
        </w:tc>
        <w:tc>
          <w:tcPr>
            <w:tcW w:w="0" w:type="dxa"/>
            <w:vAlign w:val="bottom"/>
          </w:tcPr>
          <w:p>
            <w:pPr>
              <w:spacing w:after="0"/>
              <w:rPr>
                <w:sz w:val="1"/>
                <w:szCs w:val="1"/>
                <w:color w:val="auto"/>
              </w:rPr>
            </w:pPr>
          </w:p>
        </w:tc>
      </w:tr>
      <w:tr>
        <w:trPr>
          <w:trHeight w:val="151"/>
        </w:trPr>
        <w:tc>
          <w:tcPr>
            <w:tcW w:w="7340" w:type="dxa"/>
            <w:vAlign w:val="bottom"/>
          </w:tcPr>
          <w:p>
            <w:pPr>
              <w:ind w:left="20"/>
              <w:spacing w:after="0" w:line="151" w:lineRule="exact"/>
              <w:rPr>
                <w:sz w:val="20"/>
                <w:szCs w:val="20"/>
                <w:color w:val="auto"/>
              </w:rPr>
            </w:pPr>
            <w:r>
              <w:rPr>
                <w:rFonts w:ascii="Times New Roman" w:cs="Times New Roman" w:eastAsia="Times New Roman" w:hAnsi="Times New Roman"/>
                <w:sz w:val="17"/>
                <w:szCs w:val="17"/>
                <w:color w:val="auto"/>
              </w:rPr>
              <w:t>Weighted-average shares of common stock used to</w:t>
            </w:r>
          </w:p>
        </w:tc>
        <w:tc>
          <w:tcPr>
            <w:tcW w:w="400" w:type="dxa"/>
            <w:vAlign w:val="bottom"/>
          </w:tcPr>
          <w:p>
            <w:pPr>
              <w:spacing w:after="0"/>
              <w:rPr>
                <w:sz w:val="13"/>
                <w:szCs w:val="13"/>
                <w:color w:val="auto"/>
              </w:rPr>
            </w:pPr>
          </w:p>
        </w:tc>
        <w:tc>
          <w:tcPr>
            <w:tcW w:w="13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40,616,302</w:t>
            </w:r>
          </w:p>
        </w:tc>
        <w:tc>
          <w:tcPr>
            <w:tcW w:w="3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40,055,435</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4"/>
        </w:trPr>
        <w:tc>
          <w:tcPr>
            <w:tcW w:w="7340" w:type="dxa"/>
            <w:vAlign w:val="bottom"/>
          </w:tcPr>
          <w:p>
            <w:pPr>
              <w:ind w:left="160"/>
              <w:spacing w:after="0" w:line="194" w:lineRule="exact"/>
              <w:rPr>
                <w:sz w:val="20"/>
                <w:szCs w:val="20"/>
                <w:color w:val="auto"/>
              </w:rPr>
            </w:pPr>
            <w:r>
              <w:rPr>
                <w:rFonts w:ascii="Times New Roman" w:cs="Times New Roman" w:eastAsia="Times New Roman" w:hAnsi="Times New Roman"/>
                <w:sz w:val="18"/>
                <w:szCs w:val="18"/>
                <w:color w:val="auto"/>
              </w:rPr>
              <w:t>compute net loss per shares, basic and diluted</w:t>
            </w:r>
          </w:p>
        </w:tc>
        <w:tc>
          <w:tcPr>
            <w:tcW w:w="40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vMerge w:val="continue"/>
          </w:tcPr>
          <w:p>
            <w:pPr>
              <w:spacing w:after="0"/>
              <w:rPr>
                <w:sz w:val="16"/>
                <w:szCs w:val="16"/>
                <w:color w:val="auto"/>
              </w:rPr>
            </w:pPr>
          </w:p>
        </w:tc>
        <w:tc>
          <w:tcPr>
            <w:tcW w:w="300" w:type="dxa"/>
            <w:vAlign w:val="bottom"/>
          </w:tcPr>
          <w:p>
            <w:pPr>
              <w:spacing w:after="0"/>
              <w:rPr>
                <w:sz w:val="16"/>
                <w:szCs w:val="16"/>
                <w:color w:val="auto"/>
              </w:rPr>
            </w:pPr>
          </w:p>
        </w:tc>
        <w:tc>
          <w:tcPr>
            <w:tcW w:w="68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vMerge w:val="continue"/>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734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5782945</wp:posOffset>
            </wp:positionH>
            <wp:positionV relativeFrom="paragraph">
              <wp:posOffset>-1156970</wp:posOffset>
            </wp:positionV>
            <wp:extent cx="6858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7077075</wp:posOffset>
            </wp:positionH>
            <wp:positionV relativeFrom="paragraph">
              <wp:posOffset>-1156970</wp:posOffset>
            </wp:positionV>
            <wp:extent cx="5969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5782945</wp:posOffset>
            </wp:positionH>
            <wp:positionV relativeFrom="paragraph">
              <wp:posOffset>-591185</wp:posOffset>
            </wp:positionV>
            <wp:extent cx="6858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7077075</wp:posOffset>
            </wp:positionH>
            <wp:positionV relativeFrom="paragraph">
              <wp:posOffset>-591185</wp:posOffset>
            </wp:positionV>
            <wp:extent cx="5969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5782945</wp:posOffset>
            </wp:positionH>
            <wp:positionV relativeFrom="paragraph">
              <wp:posOffset>-282575</wp:posOffset>
            </wp:positionV>
            <wp:extent cx="6858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5782945</wp:posOffset>
            </wp:positionH>
            <wp:positionV relativeFrom="paragraph">
              <wp:posOffset>-264795</wp:posOffset>
            </wp:positionV>
            <wp:extent cx="6858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7077075</wp:posOffset>
            </wp:positionH>
            <wp:positionV relativeFrom="paragraph">
              <wp:posOffset>-282575</wp:posOffset>
            </wp:positionV>
            <wp:extent cx="5969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59690" cy="8890"/>
                    </a:xfrm>
                    <a:prstGeom prst="rect">
                      <a:avLst/>
                    </a:prstGeom>
                    <a:noFill/>
                  </pic:spPr>
                </pic:pic>
              </a:graphicData>
            </a:graphic>
          </wp:anchor>
        </w:drawing>
        <w:drawing>
          <wp:anchor simplePos="0" relativeHeight="251657728" behindDoc="1" locked="0" layoutInCell="0" allowOverlap="1">
            <wp:simplePos x="0" y="0"/>
            <wp:positionH relativeFrom="column">
              <wp:posOffset>7077075</wp:posOffset>
            </wp:positionH>
            <wp:positionV relativeFrom="paragraph">
              <wp:posOffset>-264795</wp:posOffset>
            </wp:positionV>
            <wp:extent cx="5969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59690" cy="8255"/>
                    </a:xfrm>
                    <a:prstGeom prst="rect">
                      <a:avLst/>
                    </a:prstGeom>
                    <a:noFill/>
                  </pic:spPr>
                </pic:pic>
              </a:graphicData>
            </a:graphic>
          </wp:anchor>
        </w:drawing>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Condensed Consolidated Balance Sheet Data</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(unaudited)</w:t>
      </w:r>
    </w:p>
    <w:p>
      <w:pPr>
        <w:jc w:val="center"/>
        <w:spacing w:after="0"/>
        <w:rPr>
          <w:sz w:val="20"/>
          <w:szCs w:val="20"/>
          <w:color w:val="auto"/>
        </w:rPr>
      </w:pPr>
      <w:r>
        <w:rPr>
          <w:rFonts w:ascii="Times New Roman" w:cs="Times New Roman" w:eastAsia="Times New Roman" w:hAnsi="Times New Roman"/>
          <w:sz w:val="20"/>
          <w:szCs w:val="20"/>
          <w:color w:val="auto"/>
        </w:rPr>
        <w:t>(in thousands)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4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720" w:type="dxa"/>
            <w:vAlign w:val="bottom"/>
            <w:gridSpan w:val="2"/>
          </w:tcPr>
          <w:p>
            <w:pPr>
              <w:jc w:val="right"/>
              <w:ind w:right="740"/>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200" w:type="dxa"/>
            <w:vAlign w:val="bottom"/>
          </w:tcPr>
          <w:p>
            <w:pPr>
              <w:spacing w:after="0"/>
              <w:rPr>
                <w:sz w:val="18"/>
                <w:szCs w:val="18"/>
                <w:color w:val="auto"/>
              </w:rPr>
            </w:pPr>
          </w:p>
        </w:tc>
        <w:tc>
          <w:tcPr>
            <w:tcW w:w="156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38"/>
        </w:trPr>
        <w:tc>
          <w:tcPr>
            <w:tcW w:w="748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2022</w:t>
            </w:r>
          </w:p>
        </w:tc>
        <w:tc>
          <w:tcPr>
            <w:tcW w:w="30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00" w:type="dxa"/>
            <w:vAlign w:val="bottom"/>
          </w:tcPr>
          <w:p>
            <w:pPr>
              <w:spacing w:after="0"/>
              <w:rPr>
                <w:sz w:val="20"/>
                <w:szCs w:val="20"/>
                <w:color w:val="auto"/>
              </w:rPr>
            </w:pPr>
          </w:p>
        </w:tc>
      </w:tr>
      <w:tr>
        <w:trPr>
          <w:trHeight w:val="210"/>
        </w:trPr>
        <w:tc>
          <w:tcPr>
            <w:tcW w:w="74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Cash, cash equivalents and investments</w:t>
            </w:r>
          </w:p>
        </w:tc>
        <w:tc>
          <w:tcPr>
            <w:tcW w:w="28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341,705</w:t>
            </w:r>
          </w:p>
        </w:tc>
        <w:tc>
          <w:tcPr>
            <w:tcW w:w="300" w:type="dxa"/>
            <w:vAlign w:val="bottom"/>
            <w:shd w:val="clear" w:color="auto" w:fill="CFF0FC"/>
          </w:tcPr>
          <w:p>
            <w:pPr>
              <w:spacing w:after="0"/>
              <w:rPr>
                <w:sz w:val="18"/>
                <w:szCs w:val="18"/>
                <w:color w:val="auto"/>
              </w:rPr>
            </w:pPr>
          </w:p>
        </w:tc>
        <w:tc>
          <w:tcPr>
            <w:tcW w:w="20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363,667</w:t>
            </w:r>
          </w:p>
        </w:tc>
        <w:tc>
          <w:tcPr>
            <w:tcW w:w="100" w:type="dxa"/>
            <w:vAlign w:val="bottom"/>
            <w:shd w:val="clear" w:color="auto" w:fill="CFF0FC"/>
          </w:tcPr>
          <w:p>
            <w:pPr>
              <w:spacing w:after="0"/>
              <w:rPr>
                <w:sz w:val="18"/>
                <w:szCs w:val="18"/>
                <w:color w:val="auto"/>
              </w:rPr>
            </w:pPr>
          </w:p>
        </w:tc>
      </w:tr>
      <w:tr>
        <w:trPr>
          <w:trHeight w:val="216"/>
        </w:trPr>
        <w:tc>
          <w:tcPr>
            <w:tcW w:w="7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assets</w:t>
            </w: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363,676</w:t>
            </w:r>
          </w:p>
        </w:tc>
        <w:tc>
          <w:tcPr>
            <w:tcW w:w="300" w:type="dxa"/>
            <w:vAlign w:val="bottom"/>
          </w:tcPr>
          <w:p>
            <w:pPr>
              <w:spacing w:after="0"/>
              <w:rPr>
                <w:sz w:val="18"/>
                <w:szCs w:val="18"/>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380,183</w:t>
            </w:r>
          </w:p>
        </w:tc>
        <w:tc>
          <w:tcPr>
            <w:tcW w:w="100" w:type="dxa"/>
            <w:vAlign w:val="bottom"/>
          </w:tcPr>
          <w:p>
            <w:pPr>
              <w:spacing w:after="0"/>
              <w:rPr>
                <w:sz w:val="18"/>
                <w:szCs w:val="18"/>
                <w:color w:val="auto"/>
              </w:rPr>
            </w:pPr>
          </w:p>
        </w:tc>
      </w:tr>
      <w:tr>
        <w:trPr>
          <w:trHeight w:val="216"/>
        </w:trPr>
        <w:tc>
          <w:tcPr>
            <w:tcW w:w="74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 liabilities</w:t>
            </w:r>
          </w:p>
        </w:tc>
        <w:tc>
          <w:tcPr>
            <w:tcW w:w="28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20,080</w:t>
            </w:r>
          </w:p>
        </w:tc>
        <w:tc>
          <w:tcPr>
            <w:tcW w:w="300" w:type="dxa"/>
            <w:vAlign w:val="bottom"/>
            <w:shd w:val="clear" w:color="auto" w:fill="CFF0FC"/>
          </w:tcPr>
          <w:p>
            <w:pPr>
              <w:spacing w:after="0"/>
              <w:rPr>
                <w:sz w:val="18"/>
                <w:szCs w:val="18"/>
                <w:color w:val="auto"/>
              </w:rPr>
            </w:pPr>
          </w:p>
        </w:tc>
        <w:tc>
          <w:tcPr>
            <w:tcW w:w="20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17,134</w:t>
            </w:r>
          </w:p>
        </w:tc>
        <w:tc>
          <w:tcPr>
            <w:tcW w:w="100" w:type="dxa"/>
            <w:vAlign w:val="bottom"/>
            <w:shd w:val="clear" w:color="auto" w:fill="CFF0FC"/>
          </w:tcPr>
          <w:p>
            <w:pPr>
              <w:spacing w:after="0"/>
              <w:rPr>
                <w:sz w:val="18"/>
                <w:szCs w:val="18"/>
                <w:color w:val="auto"/>
              </w:rPr>
            </w:pPr>
          </w:p>
        </w:tc>
      </w:tr>
      <w:tr>
        <w:trPr>
          <w:trHeight w:val="216"/>
        </w:trPr>
        <w:tc>
          <w:tcPr>
            <w:tcW w:w="7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Accumulated deficit</w:t>
            </w: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7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(226,518 )</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(201,985 )</w:t>
            </w:r>
          </w:p>
        </w:tc>
      </w:tr>
      <w:tr>
        <w:trPr>
          <w:trHeight w:val="216"/>
        </w:trPr>
        <w:tc>
          <w:tcPr>
            <w:tcW w:w="74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 stockholders’ equity</w:t>
            </w:r>
          </w:p>
        </w:tc>
        <w:tc>
          <w:tcPr>
            <w:tcW w:w="28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343,596</w:t>
            </w:r>
          </w:p>
        </w:tc>
        <w:tc>
          <w:tcPr>
            <w:tcW w:w="300" w:type="dxa"/>
            <w:vAlign w:val="bottom"/>
            <w:shd w:val="clear" w:color="auto" w:fill="CFF0FC"/>
          </w:tcPr>
          <w:p>
            <w:pPr>
              <w:spacing w:after="0"/>
              <w:rPr>
                <w:sz w:val="18"/>
                <w:szCs w:val="18"/>
                <w:color w:val="auto"/>
              </w:rPr>
            </w:pPr>
          </w:p>
        </w:tc>
        <w:tc>
          <w:tcPr>
            <w:tcW w:w="20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363,049</w:t>
            </w:r>
          </w:p>
        </w:tc>
        <w:tc>
          <w:tcPr>
            <w:tcW w:w="100" w:type="dxa"/>
            <w:vAlign w:val="bottom"/>
            <w:shd w:val="clear" w:color="auto" w:fill="CFF0FC"/>
          </w:tcPr>
          <w:p>
            <w:pPr>
              <w:spacing w:after="0"/>
              <w:rPr>
                <w:sz w:val="18"/>
                <w:szCs w:val="18"/>
                <w:color w:val="auto"/>
              </w:rPr>
            </w:pPr>
          </w:p>
        </w:tc>
      </w:tr>
    </w:tbl>
    <w:p>
      <w:pPr>
        <w:spacing w:after="0" w:line="203"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20"/>
          <w:szCs w:val="20"/>
          <w:b w:val="1"/>
          <w:bCs w:val="1"/>
          <w:color w:val="auto"/>
        </w:rPr>
        <w:t>GAAP to Non-GAAP Reconciliation</w:t>
      </w:r>
    </w:p>
    <w:p>
      <w:pPr>
        <w:spacing w:after="0" w:line="12" w:lineRule="exact"/>
        <w:rPr>
          <w:sz w:val="20"/>
          <w:szCs w:val="20"/>
          <w:color w:val="auto"/>
        </w:rPr>
      </w:pPr>
    </w:p>
    <w:p>
      <w:pPr>
        <w:ind w:left="5140"/>
        <w:spacing w:after="0"/>
        <w:rPr>
          <w:sz w:val="20"/>
          <w:szCs w:val="20"/>
          <w:color w:val="auto"/>
        </w:rPr>
      </w:pPr>
      <w:r>
        <w:rPr>
          <w:rFonts w:ascii="Times New Roman" w:cs="Times New Roman" w:eastAsia="Times New Roman" w:hAnsi="Times New Roman"/>
          <w:sz w:val="20"/>
          <w:szCs w:val="20"/>
          <w:color w:val="auto"/>
        </w:rPr>
        <w:t>(unaudited)</w:t>
      </w:r>
    </w:p>
    <w:p>
      <w:pPr>
        <w:ind w:left="5060"/>
        <w:spacing w:after="0"/>
        <w:rPr>
          <w:sz w:val="20"/>
          <w:szCs w:val="20"/>
          <w:color w:val="auto"/>
        </w:rPr>
      </w:pPr>
      <w:r>
        <w:rPr>
          <w:rFonts w:ascii="Times New Roman" w:cs="Times New Roman" w:eastAsia="Times New Roman" w:hAnsi="Times New Roman"/>
          <w:sz w:val="20"/>
          <w:szCs w:val="20"/>
          <w:color w:val="auto"/>
        </w:rPr>
        <w:t>(in thousands)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160" w:type="dxa"/>
            <w:vAlign w:val="bottom"/>
          </w:tcPr>
          <w:p>
            <w:pPr>
              <w:spacing w:after="0"/>
              <w:rPr>
                <w:sz w:val="18"/>
                <w:szCs w:val="18"/>
                <w:color w:val="auto"/>
              </w:rPr>
            </w:pPr>
          </w:p>
        </w:tc>
        <w:tc>
          <w:tcPr>
            <w:tcW w:w="32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66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w w:val="98"/>
              </w:rPr>
              <w:t>Three Months Ended</w:t>
            </w: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4160" w:type="dxa"/>
            <w:vAlign w:val="bottom"/>
          </w:tcPr>
          <w:p>
            <w:pPr>
              <w:spacing w:after="0"/>
              <w:rPr>
                <w:sz w:val="20"/>
                <w:szCs w:val="20"/>
                <w:color w:val="auto"/>
              </w:rPr>
            </w:pPr>
          </w:p>
        </w:tc>
        <w:tc>
          <w:tcPr>
            <w:tcW w:w="3200" w:type="dxa"/>
            <w:vAlign w:val="bottom"/>
          </w:tcPr>
          <w:p>
            <w:pPr>
              <w:spacing w:after="0"/>
              <w:rPr>
                <w:sz w:val="20"/>
                <w:szCs w:val="20"/>
                <w:color w:val="auto"/>
              </w:rPr>
            </w:pPr>
          </w:p>
        </w:tc>
        <w:tc>
          <w:tcPr>
            <w:tcW w:w="1060" w:type="dxa"/>
            <w:vAlign w:val="bottom"/>
            <w:tcBorders>
              <w:bottom w:val="single" w:sz="8" w:color="auto"/>
            </w:tcBorders>
          </w:tcPr>
          <w:p>
            <w:pPr>
              <w:spacing w:after="0"/>
              <w:rPr>
                <w:sz w:val="20"/>
                <w:szCs w:val="20"/>
                <w:color w:val="auto"/>
              </w:rPr>
            </w:pPr>
          </w:p>
        </w:tc>
        <w:tc>
          <w:tcPr>
            <w:tcW w:w="1660" w:type="dxa"/>
            <w:vAlign w:val="bottom"/>
            <w:tcBorders>
              <w:bottom w:val="single" w:sz="8" w:color="auto"/>
            </w:tcBorders>
            <w:gridSpan w:val="3"/>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10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4160" w:type="dxa"/>
            <w:vAlign w:val="bottom"/>
          </w:tcPr>
          <w:p>
            <w:pPr>
              <w:spacing w:after="0"/>
              <w:rPr>
                <w:sz w:val="18"/>
                <w:szCs w:val="18"/>
                <w:color w:val="auto"/>
              </w:rPr>
            </w:pPr>
          </w:p>
        </w:tc>
        <w:tc>
          <w:tcPr>
            <w:tcW w:w="3200" w:type="dxa"/>
            <w:vAlign w:val="bottom"/>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2022</w:t>
            </w:r>
          </w:p>
        </w:tc>
        <w:tc>
          <w:tcPr>
            <w:tcW w:w="700" w:type="dxa"/>
            <w:vAlign w:val="bottom"/>
            <w:tcBorders>
              <w:bottom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68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590"/>
              <w:spacing w:after="0"/>
              <w:rPr>
                <w:sz w:val="20"/>
                <w:szCs w:val="20"/>
                <w:color w:val="auto"/>
              </w:rPr>
            </w:pPr>
            <w:r>
              <w:rPr>
                <w:rFonts w:ascii="Times New Roman" w:cs="Times New Roman" w:eastAsia="Times New Roman" w:hAnsi="Times New Roman"/>
                <w:sz w:val="18"/>
                <w:szCs w:val="18"/>
                <w:b w:val="1"/>
                <w:bCs w:val="1"/>
                <w:color w:val="auto"/>
                <w:w w:val="99"/>
              </w:rPr>
              <w:t>2021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1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GAAP net loss, as reported</w:t>
            </w:r>
          </w:p>
        </w:tc>
        <w:tc>
          <w:tcPr>
            <w:tcW w:w="3200" w:type="dxa"/>
            <w:vAlign w:val="bottom"/>
            <w:shd w:val="clear" w:color="auto" w:fill="CFF0FC"/>
          </w:tcPr>
          <w:p>
            <w:pPr>
              <w:spacing w:after="0"/>
              <w:rPr>
                <w:sz w:val="18"/>
                <w:szCs w:val="18"/>
                <w:color w:val="auto"/>
              </w:rPr>
            </w:pPr>
          </w:p>
        </w:tc>
        <w:tc>
          <w:tcPr>
            <w:tcW w:w="1060" w:type="dxa"/>
            <w:vAlign w:val="bottom"/>
            <w:shd w:val="clear" w:color="auto" w:fill="CFF0FC"/>
          </w:tcPr>
          <w:p>
            <w:pPr>
              <w:jc w:val="right"/>
              <w:ind w:right="870"/>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(24,533</w:t>
            </w:r>
          </w:p>
        </w:tc>
        <w:tc>
          <w:tcPr>
            <w:tcW w:w="28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99"/>
              </w:rPr>
              <w:t>)</w:t>
            </w:r>
          </w:p>
        </w:tc>
        <w:tc>
          <w:tcPr>
            <w:tcW w:w="680" w:type="dxa"/>
            <w:vAlign w:val="bottom"/>
            <w:shd w:val="clear" w:color="auto" w:fill="CFF0FC"/>
          </w:tcPr>
          <w:p>
            <w:pPr>
              <w:jc w:val="right"/>
              <w:ind w:right="49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(14,185</w:t>
            </w: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9"/>
              </w:rPr>
              <w:t>)</w:t>
            </w:r>
          </w:p>
        </w:tc>
        <w:tc>
          <w:tcPr>
            <w:tcW w:w="0" w:type="dxa"/>
            <w:vAlign w:val="bottom"/>
          </w:tcPr>
          <w:p>
            <w:pPr>
              <w:spacing w:after="0"/>
              <w:rPr>
                <w:sz w:val="1"/>
                <w:szCs w:val="1"/>
                <w:color w:val="auto"/>
              </w:rPr>
            </w:pPr>
          </w:p>
        </w:tc>
      </w:tr>
      <w:tr>
        <w:trPr>
          <w:trHeight w:val="216"/>
        </w:trPr>
        <w:tc>
          <w:tcPr>
            <w:tcW w:w="41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Adjustments:</w:t>
            </w:r>
          </w:p>
        </w:tc>
        <w:tc>
          <w:tcPr>
            <w:tcW w:w="32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6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3200" w:type="dxa"/>
            <w:vAlign w:val="bottom"/>
            <w:tcBorders>
              <w:bottom w:val="single" w:sz="8" w:color="CFF0FC"/>
            </w:tcBorders>
            <w:shd w:val="clear" w:color="auto" w:fill="CFF0FC"/>
          </w:tcPr>
          <w:p>
            <w:pPr>
              <w:spacing w:after="0"/>
              <w:rPr>
                <w:sz w:val="18"/>
                <w:szCs w:val="18"/>
                <w:color w:val="auto"/>
              </w:rPr>
            </w:pPr>
          </w:p>
        </w:tc>
        <w:tc>
          <w:tcPr>
            <w:tcW w:w="1060" w:type="dxa"/>
            <w:vAlign w:val="bottom"/>
            <w:tcBorders>
              <w:bottom w:val="single" w:sz="8" w:color="auto"/>
            </w:tcBorders>
            <w:shd w:val="clear" w:color="auto" w:fill="CFF0FC"/>
          </w:tcPr>
          <w:p>
            <w:pPr>
              <w:spacing w:after="0"/>
              <w:rPr>
                <w:sz w:val="18"/>
                <w:szCs w:val="18"/>
                <w:color w:val="auto"/>
              </w:rPr>
            </w:pPr>
          </w:p>
        </w:tc>
        <w:tc>
          <w:tcPr>
            <w:tcW w:w="7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5,501</w:t>
            </w:r>
          </w:p>
        </w:tc>
        <w:tc>
          <w:tcPr>
            <w:tcW w:w="280" w:type="dxa"/>
            <w:vAlign w:val="bottom"/>
            <w:tcBorders>
              <w:bottom w:val="single" w:sz="8" w:color="CFF0FC"/>
            </w:tcBorders>
            <w:shd w:val="clear" w:color="auto" w:fill="CFF0FC"/>
          </w:tcPr>
          <w:p>
            <w:pPr>
              <w:spacing w:after="0"/>
              <w:rPr>
                <w:sz w:val="18"/>
                <w:szCs w:val="18"/>
                <w:color w:val="auto"/>
              </w:rPr>
            </w:pPr>
          </w:p>
        </w:tc>
        <w:tc>
          <w:tcPr>
            <w:tcW w:w="680" w:type="dxa"/>
            <w:vAlign w:val="bottom"/>
            <w:tcBorders>
              <w:bottom w:val="single" w:sz="8" w:color="auto"/>
            </w:tcBorders>
            <w:shd w:val="clear" w:color="auto" w:fill="CFF0FC"/>
          </w:tcPr>
          <w:p>
            <w:pPr>
              <w:spacing w:after="0"/>
              <w:rPr>
                <w:sz w:val="18"/>
                <w:szCs w:val="18"/>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1,800</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Non-GAAP net loss</w:t>
            </w:r>
          </w:p>
        </w:tc>
        <w:tc>
          <w:tcPr>
            <w:tcW w:w="4260" w:type="dxa"/>
            <w:vAlign w:val="bottom"/>
            <w:gridSpan w:val="2"/>
          </w:tcPr>
          <w:p>
            <w:pPr>
              <w:jc w:val="right"/>
              <w:ind w:right="87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(19,032 )</w:t>
            </w:r>
          </w:p>
        </w:tc>
        <w:tc>
          <w:tcPr>
            <w:tcW w:w="680" w:type="dxa"/>
            <w:vAlign w:val="bottom"/>
          </w:tcPr>
          <w:p>
            <w:pPr>
              <w:jc w:val="right"/>
              <w:ind w:right="49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(12,385 )</w:t>
            </w:r>
          </w:p>
        </w:tc>
        <w:tc>
          <w:tcPr>
            <w:tcW w:w="0" w:type="dxa"/>
            <w:vAlign w:val="bottom"/>
          </w:tcPr>
          <w:p>
            <w:pPr>
              <w:spacing w:after="0"/>
              <w:rPr>
                <w:sz w:val="1"/>
                <w:szCs w:val="1"/>
                <w:color w:val="auto"/>
              </w:rPr>
            </w:pPr>
          </w:p>
        </w:tc>
      </w:tr>
      <w:tr>
        <w:trPr>
          <w:trHeight w:val="20"/>
        </w:trPr>
        <w:tc>
          <w:tcPr>
            <w:tcW w:w="4160" w:type="dxa"/>
            <w:vAlign w:val="bottom"/>
          </w:tcPr>
          <w:p>
            <w:pPr>
              <w:spacing w:after="0" w:line="20" w:lineRule="exact"/>
              <w:rPr>
                <w:sz w:val="1"/>
                <w:szCs w:val="1"/>
                <w:color w:val="auto"/>
              </w:rPr>
            </w:pPr>
          </w:p>
        </w:tc>
        <w:tc>
          <w:tcPr>
            <w:tcW w:w="3200" w:type="dxa"/>
            <w:vAlign w:val="bottom"/>
            <w:vMerge w:val="restart"/>
          </w:tcPr>
          <w:p>
            <w:pPr>
              <w:jc w:val="right"/>
              <w:ind w:right="1586"/>
              <w:spacing w:after="0"/>
              <w:rPr>
                <w:sz w:val="20"/>
                <w:szCs w:val="20"/>
                <w:color w:val="auto"/>
              </w:rPr>
            </w:pPr>
            <w:r>
              <w:rPr>
                <w:rFonts w:ascii="Times New Roman" w:cs="Times New Roman" w:eastAsia="Times New Roman" w:hAnsi="Times New Roman"/>
                <w:sz w:val="20"/>
                <w:szCs w:val="20"/>
                <w:color w:val="auto"/>
              </w:rPr>
              <w:t>4</w:t>
            </w:r>
          </w:p>
        </w:tc>
        <w:tc>
          <w:tcPr>
            <w:tcW w:w="10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13"/>
        </w:trPr>
        <w:tc>
          <w:tcPr>
            <w:tcW w:w="4160" w:type="dxa"/>
            <w:vAlign w:val="bottom"/>
          </w:tcPr>
          <w:p>
            <w:pPr>
              <w:spacing w:after="0"/>
              <w:rPr>
                <w:sz w:val="24"/>
                <w:szCs w:val="24"/>
                <w:color w:val="auto"/>
              </w:rPr>
            </w:pPr>
          </w:p>
        </w:tc>
        <w:tc>
          <w:tcPr>
            <w:tcW w:w="3200" w:type="dxa"/>
            <w:vAlign w:val="bottom"/>
            <w:vMerge w:val="continue"/>
          </w:tcPr>
          <w:p>
            <w:pPr>
              <w:spacing w:after="0"/>
              <w:rPr>
                <w:sz w:val="24"/>
                <w:szCs w:val="24"/>
                <w:color w:val="auto"/>
              </w:rPr>
            </w:pPr>
          </w:p>
        </w:tc>
        <w:tc>
          <w:tcPr>
            <w:tcW w:w="10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9"/>
        </w:trPr>
        <w:tc>
          <w:tcPr>
            <w:tcW w:w="4160" w:type="dxa"/>
            <w:vAlign w:val="bottom"/>
            <w:tcBorders>
              <w:bottom w:val="single" w:sz="8" w:color="9A9A9A"/>
            </w:tcBorders>
          </w:tcPr>
          <w:p>
            <w:pPr>
              <w:spacing w:after="0"/>
              <w:rPr>
                <w:sz w:val="9"/>
                <w:szCs w:val="9"/>
                <w:color w:val="auto"/>
              </w:rPr>
            </w:pPr>
          </w:p>
        </w:tc>
        <w:tc>
          <w:tcPr>
            <w:tcW w:w="3200" w:type="dxa"/>
            <w:vAlign w:val="bottom"/>
            <w:tcBorders>
              <w:bottom w:val="single" w:sz="8" w:color="9A9A9A"/>
            </w:tcBorders>
          </w:tcPr>
          <w:p>
            <w:pPr>
              <w:spacing w:after="0"/>
              <w:rPr>
                <w:sz w:val="9"/>
                <w:szCs w:val="9"/>
                <w:color w:val="auto"/>
              </w:rPr>
            </w:pPr>
          </w:p>
        </w:tc>
        <w:tc>
          <w:tcPr>
            <w:tcW w:w="1060" w:type="dxa"/>
            <w:vAlign w:val="bottom"/>
            <w:tcBorders>
              <w:bottom w:val="single" w:sz="8" w:color="9A9A9A"/>
            </w:tcBorders>
          </w:tcPr>
          <w:p>
            <w:pPr>
              <w:spacing w:after="0"/>
              <w:rPr>
                <w:sz w:val="9"/>
                <w:szCs w:val="9"/>
                <w:color w:val="auto"/>
              </w:rPr>
            </w:pPr>
          </w:p>
        </w:tc>
        <w:tc>
          <w:tcPr>
            <w:tcW w:w="700" w:type="dxa"/>
            <w:vAlign w:val="bottom"/>
            <w:tcBorders>
              <w:bottom w:val="single" w:sz="8" w:color="9A9A9A"/>
            </w:tcBorders>
          </w:tcPr>
          <w:p>
            <w:pPr>
              <w:spacing w:after="0"/>
              <w:rPr>
                <w:sz w:val="9"/>
                <w:szCs w:val="9"/>
                <w:color w:val="auto"/>
              </w:rPr>
            </w:pPr>
          </w:p>
        </w:tc>
        <w:tc>
          <w:tcPr>
            <w:tcW w:w="280" w:type="dxa"/>
            <w:vAlign w:val="bottom"/>
            <w:tcBorders>
              <w:bottom w:val="single" w:sz="8" w:color="9A9A9A"/>
            </w:tcBorders>
          </w:tcPr>
          <w:p>
            <w:pPr>
              <w:spacing w:after="0"/>
              <w:rPr>
                <w:sz w:val="9"/>
                <w:szCs w:val="9"/>
                <w:color w:val="auto"/>
              </w:rPr>
            </w:pPr>
          </w:p>
        </w:tc>
        <w:tc>
          <w:tcPr>
            <w:tcW w:w="680" w:type="dxa"/>
            <w:vAlign w:val="bottom"/>
            <w:tcBorders>
              <w:bottom w:val="single" w:sz="8" w:color="9A9A9A"/>
            </w:tcBorders>
          </w:tcPr>
          <w:p>
            <w:pPr>
              <w:spacing w:after="0"/>
              <w:rPr>
                <w:sz w:val="9"/>
                <w:szCs w:val="9"/>
                <w:color w:val="auto"/>
              </w:rPr>
            </w:pPr>
          </w:p>
        </w:tc>
        <w:tc>
          <w:tcPr>
            <w:tcW w:w="106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5791200</wp:posOffset>
            </wp:positionH>
            <wp:positionV relativeFrom="paragraph">
              <wp:posOffset>-590550</wp:posOffset>
            </wp:positionV>
            <wp:extent cx="60325"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7077075</wp:posOffset>
            </wp:positionH>
            <wp:positionV relativeFrom="paragraph">
              <wp:posOffset>-590550</wp:posOffset>
            </wp:positionV>
            <wp:extent cx="5969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42"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20"/>
          <w:szCs w:val="20"/>
          <w:b w:val="1"/>
          <w:bCs w:val="1"/>
          <w:color w:val="auto"/>
        </w:rPr>
        <w:t>Use of Non-GAAP Financial Measures</w:t>
      </w:r>
    </w:p>
    <w:p>
      <w:pPr>
        <w:spacing w:after="0" w:line="112" w:lineRule="exact"/>
        <w:rPr>
          <w:sz w:val="20"/>
          <w:szCs w:val="20"/>
          <w:color w:val="auto"/>
        </w:rPr>
      </w:pPr>
    </w:p>
    <w:p>
      <w:pPr>
        <w:spacing w:after="0" w:line="242" w:lineRule="auto"/>
        <w:rPr>
          <w:sz w:val="20"/>
          <w:szCs w:val="20"/>
          <w:color w:val="auto"/>
        </w:rPr>
      </w:pPr>
      <w:r>
        <w:rPr>
          <w:rFonts w:ascii="Times New Roman" w:cs="Times New Roman" w:eastAsia="Times New Roman" w:hAnsi="Times New Roman"/>
          <w:sz w:val="20"/>
          <w:szCs w:val="20"/>
          <w:color w:val="auto"/>
        </w:rPr>
        <w:t>We supplement our consolidated financial statements presented on a GAAP basis by providing additional measures which may be considered “non-GAAP” financial measures under applicable SEC rules. We believe that the disclosure of these non-GAAP financial measures provides our investors with additional information that reflects the amounts and financial basis upon which our management assesses and operates our business. These non-GAAP financial measures are not in accordance with generally accepted accounting principles and should not be viewed in isolation or as a substitute for reported, or GAAP, net loss, and are not a substitute for, or superior to, measures of financial performance performed in conformity with GAAP.</w:t>
      </w:r>
    </w:p>
    <w:p>
      <w:pPr>
        <w:spacing w:after="0" w:line="80" w:lineRule="exact"/>
        <w:rPr>
          <w:sz w:val="20"/>
          <w:szCs w:val="20"/>
          <w:color w:val="auto"/>
        </w:rPr>
      </w:pPr>
    </w:p>
    <w:p>
      <w:pPr>
        <w:ind w:right="340"/>
        <w:spacing w:after="0" w:line="247" w:lineRule="auto"/>
        <w:rPr>
          <w:sz w:val="20"/>
          <w:szCs w:val="20"/>
          <w:color w:val="auto"/>
        </w:rPr>
      </w:pPr>
      <w:r>
        <w:rPr>
          <w:rFonts w:ascii="Times New Roman" w:cs="Times New Roman" w:eastAsia="Times New Roman" w:hAnsi="Times New Roman"/>
          <w:sz w:val="20"/>
          <w:szCs w:val="20"/>
          <w:color w:val="auto"/>
        </w:rPr>
        <w:t>“Non-GAAP net loss attributable to common stockholders” is not based on any standardized methodology prescribed by GAAP and represent GAAP net loss adjusted to exclude stock-based compensation expense. Non-GAAP financial measures used by ALX Oncology may be calculated differently from, and therefore may not be comparable to, non-GAAP measures used by other companies.</w:t>
      </w:r>
    </w:p>
    <w:p>
      <w:pPr>
        <w:spacing w:after="0" w:line="6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Investor Contact:</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Peter Garcia</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Chief Financial Officer, ALX Oncology</w:t>
      </w:r>
    </w:p>
    <w:p>
      <w:pPr>
        <w:jc w:val="both"/>
        <w:ind w:right="9260" w:firstLine="8"/>
        <w:spacing w:after="0" w:line="271" w:lineRule="auto"/>
        <w:tabs>
          <w:tab w:leader="none" w:pos="478" w:val="left"/>
        </w:tabs>
        <w:numPr>
          <w:ilvl w:val="0"/>
          <w:numId w:val="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466-7125 Ext. 113 peter@alxoncology.com</w:t>
      </w:r>
    </w:p>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Argot Partners</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(212)-600-1902</w:t>
      </w:r>
    </w:p>
    <w:p>
      <w:pPr>
        <w:spacing w:after="0"/>
        <w:rPr>
          <w:sz w:val="20"/>
          <w:szCs w:val="20"/>
          <w:color w:val="auto"/>
        </w:rPr>
      </w:pPr>
      <w:r>
        <w:rPr>
          <w:rFonts w:ascii="Times New Roman" w:cs="Times New Roman" w:eastAsia="Times New Roman" w:hAnsi="Times New Roman"/>
          <w:sz w:val="20"/>
          <w:szCs w:val="20"/>
          <w:color w:val="auto"/>
        </w:rPr>
        <w:t>alxoncology@argotpartners.com</w:t>
      </w:r>
    </w:p>
    <w:p>
      <w:pPr>
        <w:spacing w:after="0" w:line="8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Media Contact:</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Karen Sharma</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MacDougall</w:t>
      </w:r>
    </w:p>
    <w:p>
      <w:pPr>
        <w:ind w:left="480" w:hanging="472"/>
        <w:spacing w:after="0" w:line="225" w:lineRule="auto"/>
        <w:tabs>
          <w:tab w:leader="none" w:pos="480" w:val="left"/>
        </w:tabs>
        <w:numPr>
          <w:ilvl w:val="0"/>
          <w:numId w:val="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235-3060</w:t>
      </w:r>
    </w:p>
    <w:p>
      <w:pPr>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alx@macbiocom.com</w:t>
      </w:r>
    </w:p>
    <w:p>
      <w:pPr>
        <w:spacing w:after="0" w:line="8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50" w:right="359" w:bottom="1440" w:gutter="0" w:footer="0" w:header="0"/>
        </w:sectPr>
      </w:pPr>
    </w:p>
    <w:bookmarkStart w:id="8" w:name="page9"/>
    <w:bookmarkEnd w:id="8"/>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38E1F29"/>
    <w:multiLevelType w:val="hybridMultilevel"/>
    <w:lvl w:ilvl="0">
      <w:lvlJc w:val="left"/>
      <w:lvlText w:val="☐"/>
      <w:numFmt w:val="bullet"/>
      <w:start w:val="1"/>
    </w:lvl>
  </w:abstractNum>
  <w:abstractNum w:abstractNumId="1">
    <w:nsid w:val="46E87CCD"/>
    <w:multiLevelType w:val="hybridMultilevel"/>
    <w:lvl w:ilvl="0">
      <w:lvlJc w:val="left"/>
      <w:lvlText w:val="•"/>
      <w:numFmt w:val="bullet"/>
      <w:start w:val="1"/>
    </w:lvl>
  </w:abstractNum>
  <w:abstractNum w:abstractNumId="2">
    <w:nsid w:val="3D1B58BA"/>
    <w:multiLevelType w:val="hybridMultilevel"/>
    <w:lvl w:ilvl="0">
      <w:lvlJc w:val="left"/>
      <w:lvlText w:val="o"/>
      <w:numFmt w:val="bullet"/>
      <w:start w:val="1"/>
    </w:lvl>
  </w:abstractNum>
  <w:abstractNum w:abstractNumId="3">
    <w:nsid w:val="507ED7AB"/>
    <w:multiLevelType w:val="hybridMultilevel"/>
    <w:lvl w:ilvl="0">
      <w:lvlJc w:val="left"/>
      <w:lvlText w:val="•"/>
      <w:numFmt w:val="bullet"/>
      <w:start w:val="1"/>
    </w:lvl>
  </w:abstractNum>
  <w:abstractNum w:abstractNumId="4">
    <w:nsid w:val="2EB141F2"/>
    <w:multiLevelType w:val="hybridMultilevel"/>
    <w:lvl w:ilvl="0">
      <w:lvlJc w:val="left"/>
      <w:lvlText w:val="o"/>
      <w:numFmt w:val="bullet"/>
      <w:start w:val="1"/>
    </w:lvl>
  </w:abstractNum>
  <w:abstractNum w:abstractNumId="5">
    <w:nsid w:val="41B71EFB"/>
    <w:multiLevelType w:val="hybridMultilevel"/>
    <w:lvl w:ilvl="0">
      <w:lvlJc w:val="left"/>
      <w:lvlText w:val="•"/>
      <w:numFmt w:val="bullet"/>
      <w:start w:val="1"/>
    </w:lvl>
  </w:abstractNum>
  <w:abstractNum w:abstractNumId="6">
    <w:nsid w:val="79E2A9E3"/>
    <w:multiLevelType w:val="hybridMultilevel"/>
    <w:lvl w:ilvl="0">
      <w:lvlJc w:val="left"/>
      <w:lvlText w:val="(%1)"/>
      <w:numFmt w:val="decimal"/>
      <w:start w:val="650"/>
    </w:lvl>
  </w:abstractNum>
  <w:abstractNum w:abstractNumId="7">
    <w:nsid w:val="7545E146"/>
    <w:multiLevelType w:val="hybridMultilevel"/>
    <w:lvl w:ilvl="0">
      <w:lvlJc w:val="left"/>
      <w:lvlText w:val="(%1)"/>
      <w:numFmt w:val="decimal"/>
      <w:start w:val="78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jpe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2022-05-09T15:15:29Z</dcterms:created>
  <dcterms:modified xsi:type="dcterms:W3CDTF">2022-05-09T15:15:29Z</dcterms:modified>
</cp:coreProperties>
</file>