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61014.htm"/>
      <w:bookmarkStart w:id="1" w:name="ksalxo20261014"/>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ind w:left="4320" w:right="4320" w:hanging="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ind w:left="4320" w:right="4320" w:hanging="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14, 2026, ALX Oncology Holdings Inc. (the “Company”) entered into separate privately-negotiated exchange agreements (each, an “Exchange Agreement”), with certain stockholders of the Company (collectively, the “Stockholders”), pursuant to which the Stockholders agreed to surrender an aggregate of 13,353,384 shares of the Company’s common stock, par value $0.001 per share (the “Common Stock”), to the Company, and the Company agreed to issue to the Stockholders pre-funded warrants (the “Pre-Funded Warrants”) to purchase an aggregate of 13,353,384 shares of Common Stock (the “Exchange”). The Stockholders included funds affiliated with Blackstone Annex Master Fund L.P. with respect to 12,885,891 shares of Common Stock, RA Capital Healthcare Fund, L.P. with respect to 213,667 shares of Common Stock, and venBio Global Strategic Fund, L.P. with respect to 253,826 shares of Common Stock. The issuance of the Pre-Funded Warrants was made in reliance upon an exemption from registration pursuant to Section 3(a)(9) of the Securities Act of 1933, as amended. The Exchange will settle on or about October 15,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Each Pre-Funded Warrant has an exercise price of $0.001 per share of Common Stock and is exercisable at any time and from time to time on or after the date of issuance until the Pre-Funded Warrant is exercised in full, subject to the ownership limitations described below. The exercise price and the number of shares of Common Stock issuable upon exercise of each Pre-Funded Warrant are subject to appropriate adjustments in the event of certain stock dividend, stock split, stock combination or similar events affecting the Common Stock. Each Pre-Funded Warrant is exercisable, in the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Under the Pre-Funded Warrants, the Company may not effect the exercise of any Pre-Funded Warrant, and a holder will not be entitled to exercise any portion of any Pre-Funded Warrant if, upon giving effect to the exercise, the holder (together with its attribution affiliates) would beneficially own more than either 4.99% or 9.99%, as specified in such Pre-Funded Warrant, of the total number of shares of Common Stock or the combined voting power of all of the Company’s securities outstanding immediately after giving effect to the exercise. A holder may increase or decrease this percentage to any other percentage not in excess of 19.99%, provided that any increase will not be effective until the 61st day after the holder gives notice to the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foregoing descriptions of the terms of the Pre-Funded Warrants and the Exchange Agreement do not purport to be complete and are each qualified in their entirety by reference to the form of Pre-Funded Warrant and the form of the Exchange Agreement, each of which is filed as Exhibit 4.1 and Exhibit 10.1 hereto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contained in Item 1.01, above, is hereby incorporated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4_1.htm">
              <w:r>
                <w:rPr>
                  <w:rStyle w:val="InternetLink"/>
                  <w:rFonts w:ascii="Times New Roman" w:hAnsi="Times New Roman"/>
                  <w:color w:val="0000FF"/>
                  <w:sz w:val="20"/>
                  <w:u w:val="single"/>
                </w:rPr>
                <w:t>Form of Pre-Funded Warrant</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10_1.htm">
              <w:r>
                <w:rPr>
                  <w:rStyle w:val="InternetLink"/>
                  <w:rFonts w:ascii="Times New Roman" w:hAnsi="Times New Roman"/>
                  <w:color w:val="0000FF"/>
                  <w:sz w:val="20"/>
                  <w:u w:val="single"/>
                </w:rPr>
                <w:t>Form of Exchange Agreement</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ind w:left="0" w:right="900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2011"/>
        <w:gridCol w:w="146"/>
        <w:gridCol w:w="546"/>
        <w:gridCol w:w="2709"/>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Harish Shantharam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Harish Shantharam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lxo-ex4_1.htm"/>
      <w:bookmarkStart w:id="3" w:name="ksalxoex4_1"/>
      <w:bookmarkEnd w:id="2"/>
      <w:bookmarkEnd w:id="3"/>
      <w:r>
        <w:rPr>
          <w:rFonts w:ascii="Times New Roman" w:hAnsi="Times New Roman"/>
          <w:b/>
          <w:color w:val="000000"/>
          <w:sz w:val="20"/>
        </w:rPr>
        <w:t>Exhibit 4.1</w:t>
      </w:r>
      <w:r>
        <w:br w:type="page"/>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THIS WARRANT AND THE SHARES OF COMMON STOCK ISSUABLE UPON THE EXERCISE OF THIS WARRANT (THE “SECURITIES”) HAVE NOT BEEN REGISTERED UNDER THE SECURITIES ACT OF 1933, AS AMENDED (THE “SECURITIES ACT”), OR THE SECURITIES LAWS OF ANY STATE OF THE UNITED STATES OR IN ANY OTHER JURISDICTION. THE SECURITIES HAVE BEEN ACQUIRED FOR INVESTMENT AND MAY NOT BE OFFERED,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OF PRE-FUNDED WARRANT TO PURCHASE COMMON STOCK</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Number of Shares: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(subject to adjustment)</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No. PFW-A[]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Original Issue Date: October 15, 2026</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ALX Oncology Holdings Inc., a Delaware corporation (the “</w:t>
      </w:r>
      <w:r>
        <w:rPr>
          <w:rFonts w:ascii="Times New Roman" w:hAnsi="Times New Roman"/>
          <w:b/>
          <w:color w:val="000000"/>
          <w:sz w:val="20"/>
        </w:rPr>
        <w:t>Company</w:t>
      </w:r>
      <w:r>
        <w:rPr>
          <w:rFonts w:ascii="Times New Roman" w:hAnsi="Times New Roman"/>
          <w:color w:val="000000"/>
          <w:sz w:val="20"/>
        </w:rPr>
        <w:t>”), hereby certifies that, for good and valuable consideration, the receipt and sufficiency of which are hereby acknowledged, [] or its permitted registered assigns (the “</w:t>
      </w:r>
      <w:r>
        <w:rPr>
          <w:rFonts w:ascii="Times New Roman" w:hAnsi="Times New Roman"/>
          <w:b/>
          <w:color w:val="000000"/>
          <w:sz w:val="20"/>
        </w:rPr>
        <w:t>Holder</w:t>
      </w:r>
      <w:r>
        <w:rPr>
          <w:rFonts w:ascii="Times New Roman" w:hAnsi="Times New Roman"/>
          <w:color w:val="000000"/>
          <w:sz w:val="20"/>
        </w:rPr>
        <w:t>”), is entitled, subject to the terms set forth below, to purchase from the Company up to a total of [] shares of common stock, $0.001 par value per share (the “</w:t>
      </w:r>
      <w:r>
        <w:rPr>
          <w:rFonts w:ascii="Times New Roman" w:hAnsi="Times New Roman"/>
          <w:b/>
          <w:color w:val="000000"/>
          <w:sz w:val="20"/>
        </w:rPr>
        <w:t>Common Stock</w:t>
      </w:r>
      <w:r>
        <w:rPr>
          <w:rFonts w:ascii="Times New Roman" w:hAnsi="Times New Roman"/>
          <w:color w:val="000000"/>
          <w:sz w:val="20"/>
        </w:rPr>
        <w:t>”), of the Company (each such share, a “</w:t>
      </w:r>
      <w:r>
        <w:rPr>
          <w:rFonts w:ascii="Times New Roman" w:hAnsi="Times New Roman"/>
          <w:b/>
          <w:color w:val="000000"/>
          <w:sz w:val="20"/>
        </w:rPr>
        <w:t>Warrant Share</w:t>
      </w:r>
      <w:r>
        <w:rPr>
          <w:rFonts w:ascii="Times New Roman" w:hAnsi="Times New Roman"/>
          <w:color w:val="000000"/>
          <w:sz w:val="20"/>
        </w:rPr>
        <w:t>” and all such shares, the “</w:t>
      </w:r>
      <w:r>
        <w:rPr>
          <w:rFonts w:ascii="Times New Roman" w:hAnsi="Times New Roman"/>
          <w:b/>
          <w:color w:val="000000"/>
          <w:sz w:val="20"/>
        </w:rPr>
        <w:t>Warrant Shares</w:t>
      </w:r>
      <w:r>
        <w:rPr>
          <w:rFonts w:ascii="Times New Roman" w:hAnsi="Times New Roman"/>
          <w:color w:val="000000"/>
          <w:sz w:val="20"/>
        </w:rPr>
        <w:t xml:space="preserve">”) at an exercise price per share equal to $0.001 per share (as adjusted from time to time as provided in </w:t>
      </w:r>
      <w:r>
        <w:rPr>
          <w:rFonts w:ascii="Times New Roman" w:hAnsi="Times New Roman"/>
          <w:color w:val="000000"/>
          <w:sz w:val="20"/>
          <w:u w:val="single"/>
        </w:rPr>
        <w:t>Section 9</w:t>
      </w:r>
      <w:r>
        <w:rPr>
          <w:rFonts w:ascii="Times New Roman" w:hAnsi="Times New Roman"/>
          <w:color w:val="000000"/>
          <w:sz w:val="20"/>
        </w:rPr>
        <w:t xml:space="preserve"> herein, the “</w:t>
      </w:r>
      <w:r>
        <w:rPr>
          <w:rFonts w:ascii="Times New Roman" w:hAnsi="Times New Roman"/>
          <w:b/>
          <w:color w:val="000000"/>
          <w:sz w:val="20"/>
        </w:rPr>
        <w:t>Exercise Price</w:t>
      </w:r>
      <w:r>
        <w:rPr>
          <w:rFonts w:ascii="Times New Roman" w:hAnsi="Times New Roman"/>
          <w:color w:val="000000"/>
          <w:sz w:val="20"/>
        </w:rPr>
        <w:t>”) upon surrender of this Warrant to Purchase Common Stock (including any Warrants to Purchase Common Stock issued in exchange, transfer or replacement hereof, the “</w:t>
      </w:r>
      <w:r>
        <w:rPr>
          <w:rFonts w:ascii="Times New Roman" w:hAnsi="Times New Roman"/>
          <w:b/>
          <w:color w:val="000000"/>
          <w:sz w:val="20"/>
        </w:rPr>
        <w:t>Warrant</w:t>
      </w:r>
      <w:r>
        <w:rPr>
          <w:rFonts w:ascii="Times New Roman" w:hAnsi="Times New Roman"/>
          <w:color w:val="000000"/>
          <w:sz w:val="20"/>
        </w:rPr>
        <w:t>”) at any time and from time to time on or after the date hereof (the “</w:t>
      </w:r>
      <w:r>
        <w:rPr>
          <w:rFonts w:ascii="Times New Roman" w:hAnsi="Times New Roman"/>
          <w:b/>
          <w:color w:val="000000"/>
          <w:sz w:val="20"/>
        </w:rPr>
        <w:t>Original Issue Date</w:t>
      </w:r>
      <w:r>
        <w:rPr>
          <w:rFonts w:ascii="Times New Roman" w:hAnsi="Times New Roman"/>
          <w:color w:val="000000"/>
          <w:sz w:val="20"/>
        </w:rPr>
        <w:t>”), subject to the following terms and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sz w:val="20"/>
        </w:rPr>
      </w:pPr>
      <w:r>
        <w:rPr>
          <w:rFonts w:ascii="Times New Roman" w:hAnsi="Times New Roman"/>
          <w:i/>
          <w:color w:val="000000"/>
          <w:sz w:val="20"/>
        </w:rPr>
        <w:t>Definitions</w:t>
      </w:r>
      <w:r>
        <w:rPr>
          <w:rFonts w:ascii="Times New Roman" w:hAnsi="Times New Roman"/>
          <w:color w:val="000000"/>
          <w:sz w:val="20"/>
        </w:rPr>
        <w:t>. For purposes of this Warrant, the following terms shall have the following meanings: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color w:val="000000"/>
        </w:rPr>
        <w:t>“</w:t>
      </w:r>
      <w:r>
        <w:rPr>
          <w:rFonts w:ascii="Times New Roman" w:hAnsi="Times New Roman"/>
          <w:b/>
          <w:color w:val="000000"/>
          <w:sz w:val="20"/>
        </w:rPr>
        <w:t>Affiliate</w:t>
      </w:r>
      <w:r>
        <w:rPr>
          <w:rFonts w:ascii="Times New Roman" w:hAnsi="Times New Roman"/>
          <w:color w:val="000000"/>
          <w:sz w:val="20"/>
        </w:rPr>
        <w:t>” means any Person directly or indirectly controlled by, controlling or under common control with, a Holder, as such terms are used in and construed under Rule 405 under the Securities Act, but only for so long as such control shall continue.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color w:val="000000"/>
        </w:rPr>
        <w:t>“</w:t>
      </w:r>
      <w:r>
        <w:rPr>
          <w:rFonts w:ascii="Times New Roman" w:hAnsi="Times New Roman"/>
          <w:b/>
          <w:color w:val="000000"/>
          <w:sz w:val="20"/>
        </w:rPr>
        <w:t>Attribution Parties</w:t>
      </w:r>
      <w:r>
        <w:rPr>
          <w:rFonts w:ascii="Times New Roman" w:hAnsi="Times New Roman"/>
          <w:color w:val="000000"/>
          <w:sz w:val="20"/>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color w:val="000000"/>
        </w:rPr>
        <w:t>“</w:t>
      </w:r>
      <w:r>
        <w:rPr>
          <w:rFonts w:ascii="Times New Roman" w:hAnsi="Times New Roman"/>
          <w:b/>
          <w:color w:val="000000"/>
          <w:sz w:val="20"/>
        </w:rPr>
        <w:t>Closing Sale Price</w:t>
      </w:r>
      <w:r>
        <w:rPr>
          <w:rFonts w:ascii="Times New Roman" w:hAnsi="Times New Roman"/>
          <w:color w:val="000000"/>
          <w:sz w:val="20"/>
        </w:rPr>
        <w:t xml:space="preserve">”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color w:val="000000"/>
        </w:rPr>
        <w:t>“</w:t>
      </w:r>
      <w:r>
        <w:rPr>
          <w:rFonts w:ascii="Times New Roman" w:hAnsi="Times New Roman"/>
          <w:b/>
          <w:color w:val="000000"/>
          <w:sz w:val="20"/>
        </w:rPr>
        <w:t>Commission</w:t>
      </w:r>
      <w:r>
        <w:rPr>
          <w:rFonts w:ascii="Times New Roman" w:hAnsi="Times New Roman"/>
          <w:color w:val="000000"/>
          <w:sz w:val="20"/>
        </w:rPr>
        <w:t>” means the United States Securities and Exchange Commission.</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color w:val="000000"/>
        </w:rPr>
        <w:t>“</w:t>
      </w:r>
      <w:r>
        <w:rPr>
          <w:rFonts w:ascii="Times New Roman" w:hAnsi="Times New Roman"/>
          <w:b/>
          <w:color w:val="000000"/>
          <w:sz w:val="20"/>
        </w:rPr>
        <w:t>Exchange Act</w:t>
      </w:r>
      <w:r>
        <w:rPr>
          <w:rFonts w:ascii="Times New Roman" w:hAnsi="Times New Roman"/>
          <w:color w:val="000000"/>
          <w:sz w:val="20"/>
        </w:rPr>
        <w:t>” means the U.S. Securities Exchange Act of 1934, as amended, and all of the rules and regulations promulgated thereunder.</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color w:val="000000"/>
        </w:rPr>
        <w:t>“</w:t>
      </w:r>
      <w:r>
        <w:rPr>
          <w:rFonts w:ascii="Times New Roman" w:hAnsi="Times New Roman"/>
          <w:b/>
          <w:color w:val="000000"/>
          <w:sz w:val="20"/>
        </w:rPr>
        <w:t>Group</w:t>
      </w:r>
      <w:r>
        <w:rPr>
          <w:rFonts w:ascii="Times New Roman" w:hAnsi="Times New Roman"/>
          <w:color w:val="000000"/>
          <w:sz w:val="20"/>
        </w:rPr>
        <w:t>” shall have the meaning ascribed to it in Section 13(d) of the Exchange Act, and all related rules, regulations and jurisprudence.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color w:val="000000"/>
        </w:rPr>
        <w:t>“</w:t>
      </w:r>
      <w:r>
        <w:rPr>
          <w:rFonts w:ascii="Times New Roman" w:hAnsi="Times New Roman"/>
          <w:b/>
          <w:color w:val="000000"/>
          <w:sz w:val="20"/>
        </w:rPr>
        <w:t>Principal Trading Market</w:t>
      </w:r>
      <w:r>
        <w:rPr>
          <w:rFonts w:ascii="Times New Roman" w:hAnsi="Times New Roman"/>
          <w:color w:val="000000"/>
          <w:sz w:val="20"/>
        </w:rPr>
        <w:t>” means the national securities exchange or other trading market on which the Common Stock is primarily listed and quoted for trading, which, as of the Original Issue Date, shall be the Nasdaq Global Select Market.</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color w:val="000000"/>
        </w:rPr>
        <w:t>“</w:t>
      </w:r>
      <w:r>
        <w:rPr>
          <w:rFonts w:ascii="Times New Roman" w:hAnsi="Times New Roman"/>
          <w:b/>
          <w:color w:val="000000"/>
          <w:sz w:val="20"/>
        </w:rPr>
        <w:t>Securities Act</w:t>
      </w:r>
      <w:r>
        <w:rPr>
          <w:rFonts w:ascii="Times New Roman" w:hAnsi="Times New Roman"/>
          <w:color w:val="000000"/>
          <w:sz w:val="20"/>
        </w:rPr>
        <w:t>” means the Securities Act of 1933, as amended.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color w:val="000000"/>
        </w:rPr>
        <w:t>“</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color w:val="000000"/>
        </w:rPr>
        <w:t>“</w:t>
      </w:r>
      <w:r>
        <w:rPr>
          <w:rFonts w:ascii="Times New Roman" w:hAnsi="Times New Roman"/>
          <w:b/>
          <w:color w:val="000000"/>
          <w:sz w:val="20"/>
        </w:rPr>
        <w:t>Trading Day</w:t>
      </w:r>
      <w:r>
        <w:rPr>
          <w:rFonts w:ascii="Times New Roman" w:hAnsi="Times New Roman"/>
          <w:color w:val="000000"/>
          <w:sz w:val="20"/>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240" w:after="283"/>
        <w:jc w:val="both"/>
        <w:rPr/>
      </w:pPr>
      <w:r>
        <w:rPr>
          <w:color w:val="000000"/>
        </w:rPr>
        <w:t>“</w:t>
      </w:r>
      <w:r>
        <w:rPr>
          <w:rFonts w:ascii="Times New Roman" w:hAnsi="Times New Roman"/>
          <w:b/>
          <w:color w:val="000000"/>
          <w:sz w:val="20"/>
        </w:rPr>
        <w:t>Transfer Agent</w:t>
      </w:r>
      <w:r>
        <w:rPr>
          <w:rFonts w:ascii="Times New Roman" w:hAnsi="Times New Roman"/>
          <w:color w:val="000000"/>
          <w:sz w:val="20"/>
        </w:rPr>
        <w:t>” means Computershare Trust Company, N.A., the Company’s transfer agent and registrar for the Common Stock, and any successor appointed in such capacity.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sz w:val="20"/>
        </w:rPr>
      </w:pPr>
      <w:r>
        <w:rPr>
          <w:rFonts w:ascii="Times New Roman" w:hAnsi="Times New Roman"/>
          <w:i/>
          <w:color w:val="000000"/>
          <w:sz w:val="20"/>
        </w:rPr>
        <w:t>Issuance of Securities; Registration of Warrants</w:t>
      </w:r>
      <w:r>
        <w:rPr>
          <w:rFonts w:ascii="Times New Roman" w:hAnsi="Times New Roman"/>
          <w:color w:val="000000"/>
          <w:sz w:val="20"/>
        </w:rPr>
        <w:t>. The Company shall register ownership of this Warrant, upon records to be maintained by the Company for that purpose (the “</w:t>
      </w:r>
      <w:r>
        <w:rPr>
          <w:rFonts w:ascii="Times New Roman" w:hAnsi="Times New Roman"/>
          <w:b/>
          <w:color w:val="000000"/>
          <w:sz w:val="20"/>
        </w:rPr>
        <w:t>Warrant Register</w:t>
      </w:r>
      <w:r>
        <w:rPr>
          <w:rFonts w:ascii="Times New Roman" w:hAnsi="Times New Roman"/>
          <w:color w:val="000000"/>
          <w:sz w:val="20"/>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sz w:val="20"/>
        </w:rPr>
      </w:pPr>
      <w:r>
        <w:rPr>
          <w:rFonts w:ascii="Times New Roman" w:hAnsi="Times New Roman"/>
          <w:i/>
          <w:color w:val="000000"/>
          <w:sz w:val="20"/>
        </w:rPr>
        <w:t>Registration of Transfers</w:t>
      </w:r>
      <w:r>
        <w:rPr>
          <w:rFonts w:ascii="Times New Roman" w:hAnsi="Times New Roman"/>
          <w:color w:val="000000"/>
          <w:sz w:val="20"/>
        </w:rPr>
        <w:t>. Subject to compliance with all applicable securities laws and, if applicable, the rules of the Principal Trading Market, the Company shall, or will cause its Transfer Agent to, register the transfer of all or any portion of this Warrant in the Warrant Register, upon surrender of this Warrant, and payment for all applicable transfer taxes (if any). Upon any such registration of transfer, a new warrant to purchase Common Stock in substantially the form of this Warrant (any such new warrant, a “</w:t>
      </w:r>
      <w:r>
        <w:rPr>
          <w:rFonts w:ascii="Times New Roman" w:hAnsi="Times New Roman"/>
          <w:b/>
          <w:color w:val="000000"/>
          <w:sz w:val="20"/>
        </w:rPr>
        <w:t>New Warrant</w:t>
      </w:r>
      <w:r>
        <w:rPr>
          <w:rFonts w:ascii="Times New Roman" w:hAnsi="Times New Roman"/>
          <w:color w:val="000000"/>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color w:val="000000"/>
          <w:sz w:val="20"/>
          <w:u w:val="single"/>
        </w:rPr>
        <w:t>Section 3</w:t>
      </w:r>
      <w:r>
        <w:rPr>
          <w:rFonts w:ascii="Times New Roman" w:hAnsi="Times New Roman"/>
          <w:color w:val="000000"/>
          <w:sz w:val="20"/>
        </w:rPr>
        <w:t>. Until due presentment for registration of transfer, the Company may treat the registered Holder hereof as the owner and holder for all purposes, and the Company shall not be affected by any notice to the contrary.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sz w:val="20"/>
        </w:rPr>
      </w:pPr>
      <w:r>
        <w:rPr>
          <w:rFonts w:ascii="Times New Roman" w:hAnsi="Times New Roman"/>
          <w:i/>
          <w:color w:val="000000"/>
          <w:sz w:val="20"/>
        </w:rPr>
        <w:t>Exercise and Duration of Warrants</w:t>
      </w:r>
      <w:r>
        <w:rPr>
          <w:rFonts w:ascii="Times New Roman" w:hAnsi="Times New Roman"/>
          <w:color w:val="000000"/>
          <w:sz w:val="20"/>
        </w:rPr>
        <w: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or any part of this Warrant shall be exercisable by the registered Holder in any manner permitted by this Warrant at any time and from time to time on or after the Original Issue Date and such rights shall not expire until exercised in full.</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Holder may exercise this Warrant by delivering (as determined in accordance with the notice provisions hereof) to the Company an exercise notice, in the form attached as </w:t>
      </w:r>
      <w:r>
        <w:rPr>
          <w:rFonts w:ascii="Times New Roman" w:hAnsi="Times New Roman"/>
          <w:color w:val="000000"/>
          <w:sz w:val="20"/>
          <w:u w:val="single"/>
        </w:rPr>
        <w:t>Schedule 1</w:t>
      </w:r>
      <w:r>
        <w:rPr>
          <w:rFonts w:ascii="Times New Roman" w:hAnsi="Times New Roman"/>
          <w:color w:val="000000"/>
          <w:sz w:val="20"/>
        </w:rPr>
        <w:t xml:space="preserve"> hereto (the “</w:t>
      </w:r>
      <w:r>
        <w:rPr>
          <w:rFonts w:ascii="Times New Roman" w:hAnsi="Times New Roman"/>
          <w:b/>
          <w:color w:val="000000"/>
          <w:sz w:val="20"/>
        </w:rPr>
        <w:t>Exercise Notice</w:t>
      </w:r>
      <w:r>
        <w:rPr>
          <w:rFonts w:ascii="Times New Roman" w:hAnsi="Times New Roman"/>
          <w:color w:val="000000"/>
          <w:sz w:val="20"/>
        </w:rPr>
        <w:t xml:space="preserve">”), completed and duly signed and payment of the Exercise Price for the number of Warrant Shares as to which this Warrant is being exercised (which shall take the form of a “cashless exercise” unless expressly indicated to the contrary in the Exercise Notice pursuant to </w:t>
      </w:r>
      <w:r>
        <w:rPr>
          <w:rFonts w:ascii="Times New Roman" w:hAnsi="Times New Roman"/>
          <w:color w:val="000000"/>
          <w:sz w:val="20"/>
          <w:u w:val="single"/>
        </w:rPr>
        <w:t>Section 10</w:t>
      </w:r>
      <w:r>
        <w:rPr>
          <w:rFonts w:ascii="Times New Roman" w:hAnsi="Times New Roman"/>
          <w:color w:val="000000"/>
          <w:sz w:val="20"/>
        </w:rPr>
        <w:t xml:space="preserve"> below). The date on which the Exercise Notice or, in the case of an exercise for cash, the date both the Exercise Notice and the cash payment of the Exercise Price have been delivered to the Company (as determined in accordance with the notice provisions hereof) is an “</w:t>
      </w:r>
      <w:r>
        <w:rPr>
          <w:rFonts w:ascii="Times New Roman" w:hAnsi="Times New Roman"/>
          <w:b/>
          <w:color w:val="000000"/>
          <w:sz w:val="20"/>
        </w:rPr>
        <w:t>Exercise Date</w:t>
      </w:r>
      <w:r>
        <w:rPr>
          <w:rFonts w:ascii="Times New Roman" w:hAnsi="Times New Roman"/>
          <w:color w:val="000000"/>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 and any assignee, by acceptance of this Warrant, acknowledge and agree that, by reason of the provisions of this Section 4, following the purchase of a portion of the Warrant Shares hereunder, the number of Warrant Shares available for purchase hereunder at any given time may be less than the amount stated on the face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sz w:val="20"/>
        </w:rPr>
      </w:pPr>
      <w:r>
        <w:rPr>
          <w:rFonts w:ascii="Times New Roman" w:hAnsi="Times New Roman"/>
          <w:i/>
          <w:color w:val="000000"/>
          <w:sz w:val="20"/>
        </w:rPr>
        <w:t>Delivery of Warrant Shares</w:t>
      </w:r>
      <w:r>
        <w:rPr>
          <w:rFonts w:ascii="Times New Roman" w:hAnsi="Times New Roman"/>
          <w:color w:val="000000"/>
          <w:sz w:val="20"/>
        </w:rPr>
        <w: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sz w:val="20"/>
        </w:rPr>
      </w:pPr>
      <w:r>
        <w:rPr>
          <w:rFonts w:ascii="Times New Roman" w:hAnsi="Times New Roman"/>
          <w:color w:val="000000"/>
          <w:sz w:val="20"/>
        </w:rPr>
        <w:t>Upon exercise of the Warrant, the Company shall promptly (but in no event later than the number of Trading Days comprising the Standard Settlement Period following the Exercise Date), upon the request of the Holder, cause the Transfer Agent to credit such aggregate number of shares of Common Stock to which the Holder is entitled pursuant to such exercise (the “</w:t>
      </w:r>
      <w:r>
        <w:rPr>
          <w:rFonts w:ascii="Times New Roman" w:hAnsi="Times New Roman"/>
          <w:b/>
          <w:color w:val="000000"/>
          <w:sz w:val="20"/>
        </w:rPr>
        <w:t>Exercise Shares</w:t>
      </w:r>
      <w:r>
        <w:rPr>
          <w:rFonts w:ascii="Times New Roman" w:hAnsi="Times New Roman"/>
          <w:color w:val="000000"/>
          <w:sz w:val="20"/>
        </w:rPr>
        <w:t>”) to the Holder’s or its designee’s balance account with The Depository Trust Company (“</w:t>
      </w:r>
      <w:r>
        <w:rPr>
          <w:rFonts w:ascii="Times New Roman" w:hAnsi="Times New Roman"/>
          <w:b/>
          <w:color w:val="000000"/>
          <w:sz w:val="20"/>
        </w:rPr>
        <w:t>DTC</w:t>
      </w:r>
      <w:r>
        <w:rPr>
          <w:rFonts w:ascii="Times New Roman" w:hAnsi="Times New Roman"/>
          <w:color w:val="000000"/>
          <w:sz w:val="20"/>
        </w:rPr>
        <w:t>”) through its Deposit Withdrawal At Custodian system, or, if the Transfer Agent is then a participant in the DTC Fast Automated Securities Transfer Program (the “</w:t>
      </w:r>
      <w:r>
        <w:rPr>
          <w:rFonts w:ascii="Times New Roman" w:hAnsi="Times New Roman"/>
          <w:b/>
          <w:color w:val="000000"/>
          <w:sz w:val="20"/>
        </w:rPr>
        <w:t>FAST Program</w:t>
      </w:r>
      <w:r>
        <w:rPr>
          <w:rFonts w:ascii="Times New Roman" w:hAnsi="Times New Roman"/>
          <w:color w:val="000000"/>
          <w:sz w:val="20"/>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natural person or legal entity (each, a “</w:t>
      </w:r>
      <w:r>
        <w:rPr>
          <w:rFonts w:ascii="Times New Roman" w:hAnsi="Times New Roman"/>
          <w:b/>
          <w:color w:val="000000"/>
          <w:sz w:val="20"/>
        </w:rPr>
        <w:t>Person</w:t>
      </w:r>
      <w:r>
        <w:rPr>
          <w:rFonts w:ascii="Times New Roman" w:hAnsi="Times New Roman"/>
          <w:color w:val="000000"/>
          <w:sz w:val="20"/>
        </w:rPr>
        <w:t>”) so designated by the Holder to receive Warrant Shares, shall be deemed to have become the holder of record of such Warrant Shares as of the Exercise Date, irrespective of the date such Warrant Shares are credited to the Holder’s DTC account, the date of the book-entry positions, or the date of delivery of the certificates evidencing such Exercise Shares, as the case may be. While this Warrant remains outstanding, the Company shall maintain a transfer agent that participates in the FAST Program or any successor thereto.</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the Company fails to deliver to the Holder or its designee Warrant Shares in the manner required pursuant to </w:t>
      </w:r>
      <w:r>
        <w:rPr>
          <w:rFonts w:ascii="Times New Roman" w:hAnsi="Times New Roman"/>
          <w:color w:val="000000"/>
          <w:sz w:val="20"/>
          <w:u w:val="single"/>
        </w:rPr>
        <w:t>Section 5(a)</w:t>
      </w:r>
      <w:r>
        <w:rPr>
          <w:rFonts w:ascii="Times New Roman" w:hAnsi="Times New Roman"/>
          <w:color w:val="000000"/>
          <w:sz w:val="20"/>
        </w:rPr>
        <w:t xml:space="preserve"> within the Standard Settlement Period following the Exercise Date (other than a failure caused by incorrect or incomplete information provided by the Holder to the Company) and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hAnsi="Times New Roman"/>
          <w:b/>
          <w:color w:val="000000"/>
          <w:sz w:val="20"/>
        </w:rPr>
        <w:t>Buy-In</w:t>
      </w:r>
      <w:r>
        <w:rPr>
          <w:rFonts w:ascii="Times New Roman" w:hAnsi="Times New Roman"/>
          <w:color w:val="000000"/>
          <w:sz w:val="20"/>
        </w:rPr>
        <w:t xml:space="preserve">”) but did not receive within the Standard Settlement Period, then the Company shall, within two (2) Trading Days after the Holder’s written request and in the Holder’s sole discretion, either (i) pay in cash to the Holder an amount equal to the Holder’s total purchase price (including commercially reasonable brokerage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commissions, if any) for the shares of Common Stock so purchased, at which point the Company’s obligation to deliver such Warrant Shares shall terminate or (ii) (x) pay cash to the Holder in an amount equal to the excess (if any) of the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 (B) the Closing Sale Price of a share of Common Stock on the Exercise Date and (y) at the option of the Holder, either promptly deliver to the Holder such Warrant Shares or reinstate the portion of the Warrant and equivalent number of Warrant Shares for which such exercise was not honored (in which case such exercise shall be deemed rescinded).</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the extent permitted by law and subject to </w:t>
      </w:r>
      <w:r>
        <w:rPr>
          <w:rFonts w:ascii="Times New Roman" w:hAnsi="Times New Roman"/>
          <w:color w:val="000000"/>
          <w:sz w:val="20"/>
          <w:u w:val="single"/>
        </w:rPr>
        <w:t>Section 5(b)</w:t>
      </w:r>
      <w:r>
        <w:rPr>
          <w:rFonts w:ascii="Times New Roman" w:hAnsi="Times New Roman"/>
          <w:color w:val="000000"/>
          <w:sz w:val="20"/>
        </w:rPr>
        <w:t xml:space="preserve">, the Company’s obligations to cause the Transfer Agent to issue and deliver Warrant Shares in accordance with and subject to the terms hereof (including the limitations set forth in </w:t>
      </w:r>
      <w:r>
        <w:rPr>
          <w:rFonts w:ascii="Times New Roman" w:hAnsi="Times New Roman"/>
          <w:color w:val="000000"/>
          <w:sz w:val="20"/>
          <w:u w:val="single"/>
        </w:rPr>
        <w:t>Section 11</w:t>
      </w:r>
      <w:r>
        <w:rPr>
          <w:rFonts w:ascii="Times New Roman" w:hAnsi="Times New Roman"/>
          <w:color w:val="000000"/>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color w:val="000000"/>
          <w:sz w:val="20"/>
          <w:u w:val="single"/>
        </w:rPr>
        <w:t>Section 5(b)</w:t>
      </w:r>
      <w:r>
        <w:rPr>
          <w:rFonts w:ascii="Times New Roman" w:hAnsi="Times New Roman"/>
          <w:color w:val="000000"/>
          <w:sz w:val="20"/>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rFonts w:ascii="Times New Roman" w:hAnsi="Times New Roman"/>
          <w:sz w:val="20"/>
        </w:rPr>
      </w:pPr>
      <w:r>
        <w:rPr>
          <w:rFonts w:ascii="Times New Roman" w:hAnsi="Times New Roman"/>
          <w:i/>
          <w:color w:val="000000"/>
          <w:sz w:val="20"/>
        </w:rPr>
        <w:t>Charges, Taxes and Expenses</w:t>
      </w:r>
      <w:r>
        <w:rPr>
          <w:rFonts w:ascii="Times New Roman" w:hAnsi="Times New Roman"/>
          <w:color w:val="000000"/>
          <w:sz w:val="20"/>
        </w:rPr>
        <w:t xml:space="preserve">. Issuance and delivery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rFonts w:ascii="Times New Roman" w:hAnsi="Times New Roman"/>
          <w:sz w:val="20"/>
        </w:rPr>
      </w:pPr>
      <w:r>
        <w:rPr>
          <w:rFonts w:ascii="Times New Roman" w:hAnsi="Times New Roman"/>
          <w:i/>
          <w:color w:val="000000"/>
          <w:sz w:val="20"/>
        </w:rPr>
        <w:t>Replacement of Warrant</w:t>
      </w:r>
      <w:r>
        <w:rPr>
          <w:rFonts w:ascii="Times New Roman" w:hAnsi="Times New Roman"/>
          <w:color w:val="000000"/>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(but not the posting of any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rFonts w:ascii="Times New Roman" w:hAnsi="Times New Roman"/>
          <w:sz w:val="20"/>
        </w:rPr>
      </w:pPr>
      <w:r>
        <w:rPr>
          <w:rFonts w:ascii="Times New Roman" w:hAnsi="Times New Roman"/>
          <w:i/>
          <w:color w:val="000000"/>
          <w:sz w:val="20"/>
        </w:rPr>
        <w:t>Reservation of Warrant Shares</w:t>
      </w:r>
      <w:r>
        <w:rPr>
          <w:rFonts w:ascii="Times New Roman" w:hAnsi="Times New Roman"/>
          <w:color w:val="000000"/>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color w:val="000000"/>
          <w:sz w:val="20"/>
          <w:u w:val="single"/>
        </w:rPr>
        <w:t>Section 9</w:t>
      </w:r>
      <w:r>
        <w:rPr>
          <w:rFonts w:ascii="Times New Roman" w:hAnsi="Times New Roman"/>
          <w:color w:val="000000"/>
          <w:sz w:val="20"/>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both"/>
        <w:rPr>
          <w:rFonts w:ascii="Times New Roman" w:hAnsi="Times New Roman"/>
          <w:sz w:val="20"/>
        </w:rPr>
      </w:pPr>
      <w:r>
        <w:rPr>
          <w:rFonts w:ascii="Times New Roman" w:hAnsi="Times New Roman"/>
          <w:i/>
          <w:color w:val="000000"/>
          <w:sz w:val="20"/>
        </w:rPr>
        <w:t>Certain Adjustments</w:t>
      </w:r>
      <w:r>
        <w:rPr>
          <w:rFonts w:ascii="Times New Roman" w:hAnsi="Times New Roman"/>
          <w:color w:val="000000"/>
          <w:sz w:val="20"/>
        </w:rPr>
        <w:t>. The Exercise Price and number of Warrant Shares issuable upon exercise of this Warrant (the “</w:t>
      </w:r>
      <w:r>
        <w:rPr>
          <w:rFonts w:ascii="Times New Roman" w:hAnsi="Times New Roman"/>
          <w:b/>
          <w:color w:val="000000"/>
          <w:sz w:val="20"/>
        </w:rPr>
        <w:t>Number of Warrant Shares</w:t>
      </w:r>
      <w:r>
        <w:rPr>
          <w:rFonts w:ascii="Times New Roman" w:hAnsi="Times New Roman"/>
          <w:color w:val="000000"/>
          <w:sz w:val="20"/>
        </w:rPr>
        <w:t xml:space="preserve">”) are subject to adjustment from time to time as set forth in this </w:t>
      </w:r>
      <w:r>
        <w:rPr>
          <w:rFonts w:ascii="Times New Roman" w:hAnsi="Times New Roman"/>
          <w:color w:val="000000"/>
          <w:sz w:val="20"/>
          <w:u w:val="single"/>
        </w:rPr>
        <w:t>Section 9</w:t>
      </w:r>
      <w:r>
        <w:rPr>
          <w:rFonts w:ascii="Times New Roman" w:hAnsi="Times New Roman"/>
          <w:color w:val="000000"/>
          <w:sz w:val="20"/>
        </w:rPr>
        <w: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reclassification, as the case may be.</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Pro Rata Distributions</w:t>
      </w:r>
      <w:r>
        <w:rPr>
          <w:rFonts w:ascii="Times New Roman" w:hAnsi="Times New Roman"/>
          <w:color w:val="000000"/>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color w:val="000000"/>
          <w:sz w:val="20"/>
          <w:u w:val="single"/>
        </w:rPr>
        <w:t>Section 9(a)</w:t>
      </w:r>
      <w:r>
        <w:rPr>
          <w:rFonts w:ascii="Times New Roman" w:hAnsi="Times New Roman"/>
          <w:color w:val="000000"/>
          <w:sz w:val="20"/>
        </w:rPr>
        <w:t xml:space="preserve">, any distribution of Purchase Rights (as defined below) subject to </w:t>
      </w:r>
      <w:r>
        <w:rPr>
          <w:rFonts w:ascii="Times New Roman" w:hAnsi="Times New Roman"/>
          <w:color w:val="000000"/>
          <w:sz w:val="20"/>
          <w:u w:val="single"/>
        </w:rPr>
        <w:t>Section 9(c)</w:t>
      </w:r>
      <w:r>
        <w:rPr>
          <w:rFonts w:ascii="Times New Roman" w:hAnsi="Times New Roman"/>
          <w:color w:val="000000"/>
          <w:sz w:val="20"/>
        </w:rPr>
        <w:t xml:space="preserve"> and any Fundamental Transaction (as defined below) subject to </w:t>
      </w:r>
      <w:r>
        <w:rPr>
          <w:rFonts w:ascii="Times New Roman" w:hAnsi="Times New Roman"/>
          <w:color w:val="000000"/>
          <w:sz w:val="20"/>
          <w:u w:val="single"/>
        </w:rPr>
        <w:t>Section 9(d)</w:t>
      </w:r>
      <w:r>
        <w:rPr>
          <w:rFonts w:ascii="Times New Roman" w:hAnsi="Times New Roman"/>
          <w:color w:val="000000"/>
          <w:sz w:val="20"/>
        </w:rPr>
        <w:t>) (a “</w:t>
      </w:r>
      <w:r>
        <w:rPr>
          <w:rFonts w:ascii="Times New Roman" w:hAnsi="Times New Roman"/>
          <w:b/>
          <w:color w:val="000000"/>
          <w:sz w:val="20"/>
        </w:rPr>
        <w:t>Distribution</w:t>
      </w:r>
      <w:r>
        <w:rPr>
          <w:rFonts w:ascii="Times New Roman" w:hAnsi="Times New Roman"/>
          <w:color w:val="000000"/>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Purchase Rights</w:t>
      </w:r>
      <w:r>
        <w:rPr>
          <w:rFonts w:ascii="Times New Roman" w:hAnsi="Times New Roman"/>
          <w:color w:val="000000"/>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color w:val="000000"/>
          <w:sz w:val="20"/>
        </w:rPr>
        <w:t>Purchase Rights</w:t>
      </w:r>
      <w:r>
        <w:rPr>
          <w:rFonts w:ascii="Times New Roman" w:hAnsi="Times New Roman"/>
          <w:color w:val="000000"/>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both"/>
        <w:rPr>
          <w:rFonts w:ascii="Times New Roman" w:hAnsi="Times New Roman"/>
          <w:sz w:val="20"/>
        </w:rPr>
      </w:pPr>
      <w:r>
        <w:rPr>
          <w:rFonts w:ascii="Times New Roman" w:hAnsi="Times New Roman"/>
          <w:color w:val="000000"/>
          <w:sz w:val="20"/>
        </w:rPr>
        <w:t xml:space="preserve">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hAnsi="Times New Roman"/>
          <w:color w:val="000000"/>
          <w:sz w:val="20"/>
          <w:u w:val="single"/>
        </w:rPr>
        <w:t>Section 9(c)</w:t>
      </w:r>
      <w:r>
        <w:rPr>
          <w:rFonts w:ascii="Times New Roman" w:hAnsi="Times New Roman"/>
          <w:color w:val="000000"/>
          <w:sz w:val="20"/>
        </w:rPr>
        <w:t>, (i) “</w:t>
      </w:r>
      <w:r>
        <w:rPr>
          <w:rFonts w:ascii="Times New Roman" w:hAnsi="Times New Roman"/>
          <w:b/>
          <w:color w:val="000000"/>
          <w:sz w:val="20"/>
        </w:rPr>
        <w:t>Options</w:t>
      </w:r>
      <w:r>
        <w:rPr>
          <w:rFonts w:ascii="Times New Roman" w:hAnsi="Times New Roman"/>
          <w:color w:val="000000"/>
          <w:sz w:val="20"/>
        </w:rPr>
        <w:t>” means any rights, warrants or options to subscribe for or purchase shares of Common Stock or Convertible Securities and (ii) “</w:t>
      </w:r>
      <w:r>
        <w:rPr>
          <w:rFonts w:ascii="Times New Roman" w:hAnsi="Times New Roman"/>
          <w:b/>
          <w:color w:val="000000"/>
          <w:sz w:val="20"/>
        </w:rPr>
        <w:t>Convertible Securities</w:t>
      </w:r>
      <w:r>
        <w:rPr>
          <w:rFonts w:ascii="Times New Roman" w:hAnsi="Times New Roman"/>
          <w:color w:val="000000"/>
          <w:sz w:val="20"/>
        </w:rPr>
        <w:t>” mean any stock or securities (other than Options) directly or indirectly convertible into or exercisable or exchangeable for shares of Common Stock.</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Fundamental Transactions</w:t>
      </w:r>
      <w:r>
        <w:rPr>
          <w:rFonts w:ascii="Times New Roman" w:hAnsi="Times New Roman"/>
          <w:color w:val="000000"/>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color w:val="000000"/>
          <w:sz w:val="20"/>
          <w:u w:val="single"/>
        </w:rPr>
        <w:t>Section 9(a)</w:t>
      </w:r>
      <w:r>
        <w:rPr>
          <w:rFonts w:ascii="Times New Roman" w:hAnsi="Times New Roman"/>
          <w:color w:val="000000"/>
          <w:sz w:val="20"/>
        </w:rPr>
        <w:t xml:space="preserve"> above) (in any such case, a “</w:t>
      </w:r>
      <w:r>
        <w:rPr>
          <w:rFonts w:ascii="Times New Roman" w:hAnsi="Times New Roman"/>
          <w:b/>
          <w:color w:val="000000"/>
          <w:sz w:val="20"/>
        </w:rPr>
        <w:t>Fundamental Transaction</w:t>
      </w:r>
      <w:r>
        <w:rPr>
          <w:rFonts w:ascii="Times New Roman" w:hAnsi="Times New Roman"/>
          <w:color w:val="000000"/>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color w:val="000000"/>
          <w:sz w:val="20"/>
          <w:u w:val="single"/>
        </w:rPr>
        <w:t>Sections 9(b)</w:t>
      </w:r>
      <w:r>
        <w:rPr>
          <w:rFonts w:ascii="Times New Roman" w:hAnsi="Times New Roman"/>
          <w:color w:val="000000"/>
          <w:sz w:val="20"/>
        </w:rPr>
        <w:t xml:space="preserve"> or </w:t>
      </w:r>
      <w:r>
        <w:rPr>
          <w:rFonts w:ascii="Times New Roman" w:hAnsi="Times New Roman"/>
          <w:color w:val="000000"/>
          <w:sz w:val="20"/>
          <w:u w:val="single"/>
        </w:rPr>
        <w:t>9(c)</w:t>
      </w:r>
      <w:r>
        <w:rPr>
          <w:rFonts w:ascii="Times New Roman" w:hAnsi="Times New Roman"/>
          <w:color w:val="000000"/>
          <w:sz w:val="20"/>
        </w:rPr>
        <w:t xml:space="preserve"> above) without regard to any limitations on exercise contained herein (the “</w:t>
      </w:r>
      <w:r>
        <w:rPr>
          <w:rFonts w:ascii="Times New Roman" w:hAnsi="Times New Roman"/>
          <w:b/>
          <w:color w:val="000000"/>
          <w:sz w:val="20"/>
        </w:rPr>
        <w:t>Alternate Consideration</w:t>
      </w:r>
      <w:r>
        <w:rPr>
          <w:rFonts w:ascii="Times New Roman" w:hAnsi="Times New Roman"/>
          <w:color w:val="000000"/>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olor w:val="000000"/>
          <w:sz w:val="20"/>
          <w:u w:val="single"/>
        </w:rPr>
        <w:t>Section 10</w:t>
      </w:r>
      <w:r>
        <w:rPr>
          <w:rFonts w:ascii="Times New Roman" w:hAnsi="Times New Roman"/>
          <w:color w:val="000000"/>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Exercise Price</w:t>
      </w:r>
      <w:r>
        <w:rPr>
          <w:rFonts w:ascii="Times New Roman" w:hAnsi="Times New Roman"/>
          <w:color w:val="000000"/>
          <w:sz w:val="20"/>
        </w:rPr>
        <w:t xml:space="preserve">. Simultaneously with any adjustment to the Number of Warrant Shares pursuant to </w:t>
      </w:r>
      <w:r>
        <w:rPr>
          <w:rFonts w:ascii="Times New Roman" w:hAnsi="Times New Roman"/>
          <w:color w:val="000000"/>
          <w:sz w:val="20"/>
          <w:u w:val="single"/>
        </w:rPr>
        <w:t>Section 9</w:t>
      </w:r>
      <w:r>
        <w:rPr>
          <w:rFonts w:ascii="Times New Roman" w:hAnsi="Times New Roman"/>
          <w:color w:val="000000"/>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Calculations</w:t>
      </w:r>
      <w:r>
        <w:rPr>
          <w:rFonts w:ascii="Times New Roman" w:hAnsi="Times New Roman"/>
          <w:color w:val="000000"/>
          <w:sz w:val="20"/>
        </w:rPr>
        <w:t xml:space="preserve">. All calculations under this </w:t>
      </w:r>
      <w:r>
        <w:rPr>
          <w:rFonts w:ascii="Times New Roman" w:hAnsi="Times New Roman"/>
          <w:color w:val="000000"/>
          <w:sz w:val="20"/>
          <w:u w:val="single"/>
        </w:rPr>
        <w:t>Section 9</w:t>
      </w:r>
      <w:r>
        <w:rPr>
          <w:rFonts w:ascii="Times New Roman" w:hAnsi="Times New Roman"/>
          <w:color w:val="000000"/>
          <w:sz w:val="20"/>
        </w:rPr>
        <w:t xml:space="preserve"> shall be made to the nearest one-hundredth of one cent or the nearest share, as applicable.</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Notice of Adjustments</w:t>
      </w:r>
      <w:r>
        <w:rPr>
          <w:rFonts w:ascii="Times New Roman" w:hAnsi="Times New Roman"/>
          <w:color w:val="000000"/>
          <w:sz w:val="20"/>
        </w:rPr>
        <w:t xml:space="preserve">. Upon the occurrence of each adjustment pursuant to this </w:t>
      </w:r>
      <w:r>
        <w:rPr>
          <w:rFonts w:ascii="Times New Roman" w:hAnsi="Times New Roman"/>
          <w:color w:val="000000"/>
          <w:sz w:val="20"/>
          <w:u w:val="single"/>
        </w:rPr>
        <w:t>Section 9</w:t>
      </w:r>
      <w:r>
        <w:rPr>
          <w:rFonts w:ascii="Times New Roman" w:hAnsi="Times New Roman"/>
          <w:color w:val="000000"/>
          <w:sz w:val="20"/>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Notice of Corporate Events</w:t>
      </w:r>
      <w:r>
        <w:rPr>
          <w:rFonts w:ascii="Times New Roman" w:hAnsi="Times New Roman"/>
          <w:color w:val="000000"/>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execute a confidentiality agreement related thereto sufficient to allow Holder the ability to receive such notice, and the Company shall deliver such notice immediately upon execution of such confidentiality agreement. In addition, if while this Warrant is outstanding, the Company authorizes or approves, enters into any agreement contemplating or solicits stockholder approval for any Fundamental Transaction contemplated by </w:t>
      </w:r>
      <w:r>
        <w:rPr>
          <w:rFonts w:ascii="Times New Roman" w:hAnsi="Times New Roman"/>
          <w:color w:val="000000"/>
          <w:sz w:val="20"/>
          <w:u w:val="single"/>
        </w:rPr>
        <w:t>Section 9(d)</w:t>
      </w:r>
      <w:r>
        <w:rPr>
          <w:rFonts w:ascii="Times New Roman" w:hAnsi="Times New Roman"/>
          <w:color w:val="000000"/>
          <w:sz w:val="20"/>
        </w:rPr>
        <w:t xml:space="preserve">, other than a Fundamental Transaction under clause (iii) of </w:t>
      </w:r>
      <w:r>
        <w:rPr>
          <w:rFonts w:ascii="Times New Roman" w:hAnsi="Times New Roman"/>
          <w:color w:val="000000"/>
          <w:sz w:val="20"/>
          <w:u w:val="single"/>
        </w:rPr>
        <w:t>Section 9(d)</w:t>
      </w:r>
      <w:r>
        <w:rPr>
          <w:rFonts w:ascii="Times New Roman" w:hAnsi="Times New Roman"/>
          <w:color w:val="000000"/>
          <w:sz w:val="20"/>
        </w:rPr>
        <w:t>, then the Company shall deliver to the Holder a notice of such Fundamental Transaction at least thirty (30) days prior to the date such Fundamental Transaction is consummated except that, if such notice and the contents thereof shall be deemed to constitute material non-public information, delivery shall be conditioned on Holder entering into a confidentiality agreement as described above. The exercise of this Warrant may, at the election of the Holder, be conditioned so as to occur contemporaneously with a Fundamental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both"/>
        <w:rPr>
          <w:rFonts w:ascii="Times New Roman" w:hAnsi="Times New Roman"/>
          <w:sz w:val="20"/>
        </w:rPr>
      </w:pPr>
      <w:r>
        <w:rPr>
          <w:rFonts w:ascii="Times New Roman" w:hAnsi="Times New Roman"/>
          <w:i/>
          <w:color w:val="000000"/>
          <w:sz w:val="20"/>
        </w:rPr>
        <w:t>Payment of Cashless Exercise Price</w:t>
      </w:r>
      <w:r>
        <w:rPr>
          <w:rFonts w:ascii="Times New Roman" w:hAnsi="Times New Roman"/>
          <w:color w:val="000000"/>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pStyle w:val="TextBody"/>
        <w:bidi w:val="0"/>
        <w:spacing w:before="240" w:after="283"/>
        <w:ind w:left="0" w:right="0" w:firstLine="360"/>
        <w:jc w:val="both"/>
        <w:rPr>
          <w:rFonts w:ascii="Times New Roman" w:hAnsi="Times New Roman"/>
          <w:color w:val="000000"/>
          <w:sz w:val="20"/>
        </w:rPr>
      </w:pPr>
      <w:r>
        <w:rPr>
          <w:rFonts w:ascii="Times New Roman" w:hAnsi="Times New Roman"/>
          <w:color w:val="000000"/>
          <w:sz w:val="20"/>
        </w:rPr>
        <w:t>X = Y(A-B)/A</w:t>
      </w:r>
    </w:p>
    <w:p>
      <w:pPr>
        <w:pStyle w:val="TextBody"/>
        <w:bidi w:val="0"/>
        <w:spacing w:before="240" w:after="283"/>
        <w:ind w:left="0" w:right="0" w:firstLine="360"/>
        <w:jc w:val="both"/>
        <w:rPr>
          <w:rFonts w:ascii="Times New Roman" w:hAnsi="Times New Roman"/>
          <w:color w:val="000000"/>
          <w:sz w:val="20"/>
        </w:rPr>
      </w:pPr>
      <w:r>
        <w:rPr>
          <w:rFonts w:ascii="Times New Roman" w:hAnsi="Times New Roman"/>
          <w:color w:val="000000"/>
          <w:sz w:val="20"/>
        </w:rPr>
        <w:t>where:</w:t>
      </w:r>
    </w:p>
    <w:p>
      <w:pPr>
        <w:pStyle w:val="TextBody"/>
        <w:bidi w:val="0"/>
        <w:spacing w:before="240" w:after="283"/>
        <w:ind w:left="0" w:right="0" w:firstLine="360"/>
        <w:jc w:val="both"/>
        <w:rPr>
          <w:color w:val="000000"/>
        </w:rPr>
      </w:pPr>
      <w:r>
        <w:rPr>
          <w:color w:val="000000"/>
        </w:rPr>
        <w:t>“</w:t>
      </w:r>
      <w:r>
        <w:rPr>
          <w:rFonts w:ascii="Times New Roman" w:hAnsi="Times New Roman"/>
          <w:color w:val="000000"/>
          <w:sz w:val="20"/>
        </w:rPr>
        <w:t>X” equals the number of Warrant Shares to be issued to the Holder;</w:t>
      </w:r>
    </w:p>
    <w:p>
      <w:pPr>
        <w:pStyle w:val="TextBody"/>
        <w:bidi w:val="0"/>
        <w:spacing w:before="240" w:after="283"/>
        <w:ind w:left="0" w:right="0" w:firstLine="360"/>
        <w:jc w:val="both"/>
        <w:rPr>
          <w:color w:val="000000"/>
        </w:rPr>
      </w:pPr>
      <w:r>
        <w:rPr>
          <w:color w:val="000000"/>
        </w:rPr>
        <w:t>“</w:t>
      </w:r>
      <w:r>
        <w:rPr>
          <w:rFonts w:ascii="Times New Roman" w:hAnsi="Times New Roman"/>
          <w:color w:val="000000"/>
          <w:sz w:val="20"/>
        </w:rPr>
        <w:t>Y” equals the total number of Warrant Shares with respect to which this Warrant is then being exercised;</w:t>
      </w:r>
    </w:p>
    <w:p>
      <w:pPr>
        <w:pStyle w:val="TextBody"/>
        <w:bidi w:val="0"/>
        <w:spacing w:before="240" w:after="283"/>
        <w:ind w:left="360" w:right="0" w:hanging="0"/>
        <w:jc w:val="both"/>
        <w:rPr>
          <w:color w:val="000000"/>
        </w:rPr>
      </w:pPr>
      <w:r>
        <w:rPr>
          <w:color w:val="000000"/>
        </w:rPr>
        <w:t>“</w:t>
      </w:r>
      <w:r>
        <w:rPr>
          <w:rFonts w:ascii="Times New Roman" w:hAnsi="Times New Roman"/>
          <w:color w:val="000000"/>
          <w:sz w:val="20"/>
        </w:rPr>
        <w:t>A” equals the Closing Sale Price per share of Common Stock (as reported by Bloomberg Financial Markets) as of the Trading Day on the date immediately preceding the Exercise Date; and</w:t>
      </w:r>
    </w:p>
    <w:p>
      <w:pPr>
        <w:pStyle w:val="TextBody"/>
        <w:bidi w:val="0"/>
        <w:spacing w:before="240" w:after="283"/>
        <w:ind w:left="0" w:right="0" w:firstLine="360"/>
        <w:jc w:val="both"/>
        <w:rPr>
          <w:color w:val="000000"/>
        </w:rPr>
      </w:pPr>
      <w:r>
        <w:rPr>
          <w:color w:val="000000"/>
        </w:rPr>
        <w:t>“</w:t>
      </w:r>
      <w:r>
        <w:rPr>
          <w:rFonts w:ascii="Times New Roman" w:hAnsi="Times New Roman"/>
          <w:color w:val="000000"/>
          <w:sz w:val="20"/>
        </w:rPr>
        <w:t>B” equals the Exercise Price per Warrant Share then in effect on the Exercise Date.</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 xml:space="preserve">For purposes of Rule 144 promulgated under the Securities Act, it is intended, understood and acknowledged that the Warrant Shares issued in such a “cashless exercise” transaction shall be deemed to have been acquired by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both"/>
        <w:rPr>
          <w:rFonts w:ascii="Times New Roman" w:hAnsi="Times New Roman"/>
          <w:sz w:val="20"/>
        </w:rPr>
      </w:pPr>
      <w:r>
        <w:rPr>
          <w:rFonts w:ascii="Times New Roman" w:hAnsi="Times New Roman"/>
          <w:color w:val="000000"/>
          <w:sz w:val="20"/>
        </w:rPr>
        <w:t xml:space="preserve">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color w:val="000000"/>
          <w:sz w:val="20"/>
          <w:u w:val="single"/>
        </w:rPr>
        <w:t>Section 10</w:t>
      </w:r>
      <w:r>
        <w:rPr>
          <w:rFonts w:ascii="Times New Roman" w:hAnsi="Times New Roman"/>
          <w:color w:val="000000"/>
          <w:sz w:val="20"/>
        </w:rPr>
        <w:t xml:space="preserve">. If the Warrant Shares are issued in a cashless exercise pursuant to this </w:t>
      </w:r>
      <w:r>
        <w:rPr>
          <w:rFonts w:ascii="Times New Roman" w:hAnsi="Times New Roman"/>
          <w:color w:val="000000"/>
          <w:sz w:val="20"/>
          <w:u w:val="single"/>
        </w:rPr>
        <w:t>Section 10</w:t>
      </w:r>
      <w:r>
        <w:rPr>
          <w:rFonts w:ascii="Times New Roman" w:hAnsi="Times New Roman"/>
          <w:color w:val="000000"/>
          <w:sz w:val="20"/>
        </w:rPr>
        <w:t xml:space="preserv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color w:val="000000"/>
          <w:sz w:val="20"/>
          <w:u w:val="single"/>
        </w:rPr>
        <w:t>Section 5(b)</w:t>
      </w:r>
      <w:r>
        <w:rPr>
          <w:rFonts w:ascii="Times New Roman" w:hAnsi="Times New Roman"/>
          <w:color w:val="000000"/>
          <w:sz w:val="20"/>
        </w:rPr>
        <w:t xml:space="preserve"> (Buy-in Remedy) and </w:t>
      </w:r>
      <w:r>
        <w:rPr>
          <w:rFonts w:ascii="Times New Roman" w:hAnsi="Times New Roman"/>
          <w:color w:val="000000"/>
          <w:sz w:val="20"/>
          <w:u w:val="single"/>
        </w:rPr>
        <w:t>Section 12</w:t>
      </w:r>
      <w:r>
        <w:rPr>
          <w:rFonts w:ascii="Times New Roman" w:hAnsi="Times New Roman"/>
          <w:color w:val="000000"/>
          <w:sz w:val="20"/>
        </w:rPr>
        <w:t xml:space="preserve"> (No Fractional Shares), in no event will the exercise of this Warrant be settled in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rFonts w:ascii="Times New Roman" w:hAnsi="Times New Roman"/>
          <w:sz w:val="20"/>
        </w:rPr>
      </w:pPr>
      <w:r>
        <w:rPr>
          <w:rFonts w:ascii="Times New Roman" w:hAnsi="Times New Roman"/>
          <w:i/>
          <w:color w:val="000000"/>
          <w:sz w:val="20"/>
        </w:rPr>
        <w:t>Limitations on Exercise</w:t>
      </w:r>
      <w:r>
        <w:rPr>
          <w:rFonts w:ascii="Times New Roman" w:hAnsi="Times New Roman"/>
          <w:color w:val="000000"/>
          <w:sz w:val="20"/>
        </w:rPr>
        <w:t>.</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sz w:val="20"/>
        </w:rPr>
      </w:pPr>
      <w:r>
        <w:rPr>
          <w:rFonts w:ascii="Times New Roman" w:hAnsi="Times New Roman"/>
          <w:color w:val="000000"/>
          <w:sz w:val="20"/>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[9.99]% (the “</w:t>
      </w:r>
      <w:r>
        <w:rPr>
          <w:rFonts w:ascii="Times New Roman" w:hAnsi="Times New Roman"/>
          <w:b/>
          <w:color w:val="000000"/>
          <w:sz w:val="20"/>
        </w:rPr>
        <w:t>Maximum Percentage</w:t>
      </w:r>
      <w:r>
        <w:rPr>
          <w:rFonts w:ascii="Times New Roman" w:hAnsi="Times New Roman"/>
          <w:color w:val="000000"/>
          <w:sz w:val="20"/>
        </w:rPr>
        <w:t>”) of (i) the Common Stock that would be issued and outstanding following such exercise or (ii) the combined voting power of all of the securities of the Company then outstanding following such exercise. For purposes of calculating beneficial ownership for determining whether the Maximum Percentage is or will be exceeded, the aggregate number of shares of Common Stock or voting securities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color w:val="000000"/>
          <w:sz w:val="20"/>
        </w:rPr>
        <w:t>Reported Outstanding Share Number</w:t>
      </w:r>
      <w:r>
        <w:rPr>
          <w:rFonts w:ascii="Times New Roman" w:hAnsi="Times New Roman"/>
          <w:color w:val="000000"/>
          <w:sz w:val="20"/>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color w:val="000000"/>
          <w:sz w:val="20"/>
          <w:u w:val="single"/>
        </w:rPr>
        <w:t>Section 11(a)</w:t>
      </w:r>
      <w:r>
        <w:rPr>
          <w:rFonts w:ascii="Times New Roman" w:hAnsi="Times New Roman"/>
          <w:color w:val="000000"/>
          <w:sz w:val="20"/>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color w:val="000000"/>
          <w:sz w:val="20"/>
        </w:rPr>
        <w:t>Reduction Shares</w:t>
      </w:r>
      <w:r>
        <w:rPr>
          <w:rFonts w:ascii="Times New Roman" w:hAnsi="Times New Roman"/>
          <w:color w:val="000000"/>
          <w:sz w:val="20"/>
        </w:rPr>
        <w:t xml:space="preserve">”) and (ii) as soon as reasonably practicable, the Company shall return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both"/>
        <w:rPr>
          <w:rFonts w:ascii="Times New Roman" w:hAnsi="Times New Roman"/>
          <w:sz w:val="20"/>
        </w:rPr>
      </w:pPr>
      <w:r>
        <w:rPr>
          <w:rFonts w:ascii="Times New Roman" w:hAnsi="Times New Roman"/>
          <w:color w:val="000000"/>
          <w:sz w:val="20"/>
        </w:rPr>
        <w:t>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color w:val="000000"/>
          <w:sz w:val="20"/>
        </w:rPr>
        <w:t>Excess Shares</w:t>
      </w:r>
      <w:r>
        <w:rPr>
          <w:rFonts w:ascii="Times New Roman" w:hAnsi="Times New Roman"/>
          <w:color w:val="000000"/>
          <w:sz w:val="20"/>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This </w:t>
      </w:r>
      <w:r>
        <w:rPr>
          <w:rFonts w:ascii="Times New Roman" w:hAnsi="Times New Roman"/>
          <w:color w:val="000000"/>
          <w:sz w:val="20"/>
          <w:u w:val="single"/>
        </w:rPr>
        <w:t>Section 11</w:t>
      </w:r>
      <w:r>
        <w:rPr>
          <w:rFonts w:ascii="Times New Roman" w:hAnsi="Times New Roman"/>
          <w:color w:val="000000"/>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color w:val="000000"/>
          <w:sz w:val="20"/>
          <w:u w:val="single"/>
        </w:rPr>
        <w:t>Section 9(d)</w:t>
      </w:r>
      <w:r>
        <w:rPr>
          <w:rFonts w:ascii="Times New Roman" w:hAnsi="Times New Roman"/>
          <w:color w:val="000000"/>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color w:val="000000"/>
          <w:sz w:val="20"/>
          <w:u w:val="single"/>
        </w:rPr>
        <w:t>Section 11</w:t>
      </w:r>
      <w:r>
        <w:rPr>
          <w:rFonts w:ascii="Times New Roman" w:hAnsi="Times New Roman"/>
          <w:color w:val="000000"/>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color w:val="000000"/>
          <w:sz w:val="20"/>
          <w:u w:val="single"/>
        </w:rPr>
        <w:t>Section 11</w:t>
      </w:r>
      <w:r>
        <w:rPr>
          <w:rFonts w:ascii="Times New Roman" w:hAnsi="Times New Roman"/>
          <w:color w:val="000000"/>
          <w:sz w:val="20"/>
        </w:rPr>
        <w:t xml:space="preserve">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both"/>
        <w:rPr>
          <w:rFonts w:ascii="Times New Roman" w:hAnsi="Times New Roman"/>
          <w:sz w:val="20"/>
        </w:rPr>
      </w:pPr>
      <w:r>
        <w:rPr>
          <w:rFonts w:ascii="Times New Roman" w:hAnsi="Times New Roman"/>
          <w:i/>
          <w:color w:val="000000"/>
          <w:sz w:val="20"/>
        </w:rPr>
        <w:t>No Fractional Shares</w:t>
      </w:r>
      <w:r>
        <w:rPr>
          <w:rFonts w:ascii="Times New Roman" w:hAnsi="Times New Roman"/>
          <w:color w:val="000000"/>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both"/>
        <w:rPr>
          <w:rFonts w:ascii="Times New Roman" w:hAnsi="Times New Roman"/>
          <w:sz w:val="20"/>
        </w:rPr>
      </w:pPr>
      <w:r>
        <w:rPr>
          <w:rFonts w:ascii="Times New Roman" w:hAnsi="Times New Roman"/>
          <w:i/>
          <w:color w:val="000000"/>
          <w:sz w:val="20"/>
        </w:rPr>
        <w:t>Notices</w:t>
      </w:r>
      <w:r>
        <w:rPr>
          <w:rFonts w:ascii="Times New Roman" w:hAnsi="Times New Roman"/>
          <w:color w:val="000000"/>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confirmed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240" w:after="283"/>
        <w:ind w:left="360" w:right="0" w:hanging="0"/>
        <w:jc w:val="left"/>
        <w:rPr/>
      </w:pPr>
      <w:r>
        <w:rPr/>
        <w:t> </w:t>
      </w:r>
    </w:p>
    <w:p>
      <w:pPr>
        <w:pStyle w:val="TextBody"/>
        <w:bidi w:val="0"/>
        <w:ind w:left="360" w:right="0" w:hanging="0"/>
        <w:jc w:val="left"/>
        <w:rPr>
          <w:rFonts w:ascii="Times New Roman" w:hAnsi="Times New Roman"/>
          <w:color w:val="000000"/>
          <w:sz w:val="20"/>
        </w:rPr>
      </w:pPr>
      <w:r>
        <w:rPr>
          <w:rFonts w:ascii="Times New Roman" w:hAnsi="Times New Roman"/>
          <w:color w:val="000000"/>
          <w:sz w:val="20"/>
        </w:rPr>
        <w:t>ALX Oncology Holdings Inc.</w:t>
      </w:r>
    </w:p>
    <w:p>
      <w:pPr>
        <w:pStyle w:val="TextBody"/>
        <w:bidi w:val="0"/>
        <w:ind w:left="360" w:right="0" w:hanging="0"/>
        <w:jc w:val="left"/>
        <w:rPr>
          <w:rFonts w:ascii="Times New Roman" w:hAnsi="Times New Roman"/>
          <w:color w:val="000000"/>
          <w:sz w:val="20"/>
        </w:rPr>
      </w:pPr>
      <w:r>
        <w:rPr>
          <w:rFonts w:ascii="Times New Roman" w:hAnsi="Times New Roman"/>
          <w:color w:val="000000"/>
          <w:sz w:val="20"/>
        </w:rPr>
        <w:t>323 Allerton Avenue</w:t>
      </w:r>
    </w:p>
    <w:p>
      <w:pPr>
        <w:pStyle w:val="TextBody"/>
        <w:bidi w:val="0"/>
        <w:ind w:left="360" w:right="0" w:hanging="0"/>
        <w:jc w:val="left"/>
        <w:rPr>
          <w:rFonts w:ascii="Times New Roman" w:hAnsi="Times New Roman"/>
          <w:color w:val="000000"/>
          <w:sz w:val="20"/>
        </w:rPr>
      </w:pPr>
      <w:r>
        <w:rPr>
          <w:rFonts w:ascii="Times New Roman" w:hAnsi="Times New Roman"/>
          <w:color w:val="000000"/>
          <w:sz w:val="20"/>
        </w:rPr>
        <w:t>South San Francisco, California 94080</w:t>
      </w:r>
    </w:p>
    <w:p>
      <w:pPr>
        <w:pStyle w:val="TextBody"/>
        <w:bidi w:val="0"/>
        <w:ind w:left="360" w:right="0" w:hanging="0"/>
        <w:jc w:val="left"/>
        <w:rPr>
          <w:rFonts w:ascii="Times New Roman" w:hAnsi="Times New Roman"/>
          <w:color w:val="000000"/>
          <w:sz w:val="20"/>
        </w:rPr>
      </w:pPr>
      <w:r>
        <w:rPr>
          <w:rFonts w:ascii="Times New Roman" w:hAnsi="Times New Roman"/>
          <w:color w:val="000000"/>
          <w:sz w:val="20"/>
        </w:rPr>
        <w:t>Attention: Chief Financial Officer</w:t>
      </w:r>
    </w:p>
    <w:p>
      <w:pPr>
        <w:pStyle w:val="TextBody"/>
        <w:bidi w:val="0"/>
        <w:ind w:left="360" w:right="0" w:hanging="0"/>
        <w:jc w:val="left"/>
        <w:rPr>
          <w:rFonts w:ascii="Times New Roman" w:hAnsi="Times New Roman"/>
          <w:color w:val="000000"/>
          <w:sz w:val="20"/>
        </w:rPr>
      </w:pPr>
      <w:r>
        <w:rPr>
          <w:rFonts w:ascii="Times New Roman" w:hAnsi="Times New Roman"/>
          <w:color w:val="000000"/>
          <w:sz w:val="20"/>
        </w:rPr>
        <w:t>Email: hshantharam@alxoncology.com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to the Holder, to its address or e-mail address set forth herein or on the books and records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in each of the above instances, to such other address or e-mail address as the recipient party has specified by written notice given to each other party at least five (5) days prior to the effectiveness of such 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both"/>
        <w:rPr>
          <w:rFonts w:ascii="Times New Roman" w:hAnsi="Times New Roman"/>
          <w:sz w:val="20"/>
        </w:rPr>
      </w:pPr>
      <w:r>
        <w:rPr>
          <w:rFonts w:ascii="Times New Roman" w:hAnsi="Times New Roman"/>
          <w:i/>
          <w:color w:val="000000"/>
          <w:sz w:val="20"/>
        </w:rPr>
        <w:t>Warrant Agent</w:t>
      </w:r>
      <w:r>
        <w:rPr>
          <w:rFonts w:ascii="Times New Roman" w:hAnsi="Times New Roman"/>
          <w:color w:val="000000"/>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both"/>
        <w:rPr>
          <w:rFonts w:ascii="Times New Roman" w:hAnsi="Times New Roman"/>
          <w:sz w:val="20"/>
        </w:rPr>
      </w:pPr>
      <w:r>
        <w:rPr>
          <w:rFonts w:ascii="Times New Roman" w:hAnsi="Times New Roman"/>
          <w:i/>
          <w:color w:val="000000"/>
          <w:sz w:val="20"/>
        </w:rPr>
        <w:t>Miscellaneous</w:t>
      </w:r>
      <w:r>
        <w:rPr>
          <w:rFonts w:ascii="Times New Roman" w:hAnsi="Times New Roman"/>
          <w:color w:val="000000"/>
          <w:sz w:val="20"/>
        </w:rPr>
        <w: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No Rights as a Stockholder</w:t>
      </w:r>
      <w:r>
        <w:rPr>
          <w:rFonts w:ascii="Times New Roman" w:hAnsi="Times New Roman"/>
          <w:color w:val="000000"/>
          <w:sz w:val="20"/>
        </w:rPr>
        <w:t>. The Holder, solely in such Person’s capacity as a holder of this Warrant, shall not be entitled to vote or, except as provided herein, receive dividends or be deemed the holder of capital stock of the Company for any purpose (other than for tax purposes),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except as provided herein,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Authorized Shares</w:t>
      </w:r>
      <w:r>
        <w:rPr>
          <w:rFonts w:ascii="Times New Roman" w:hAnsi="Times New Roman"/>
          <w:color w:val="000000"/>
          <w:sz w:val="20"/>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Successors and Assigns</w:t>
      </w:r>
      <w:r>
        <w:rPr>
          <w:rFonts w:ascii="Times New Roman" w:hAnsi="Times New Roman"/>
          <w:color w:val="000000"/>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Amendment and Waiver</w:t>
      </w:r>
      <w:r>
        <w:rPr>
          <w:rFonts w:ascii="Times New Roman" w:hAnsi="Times New Roman"/>
          <w:color w:val="000000"/>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Acceptance</w:t>
      </w:r>
      <w:r>
        <w:rPr>
          <w:rFonts w:ascii="Times New Roman" w:hAnsi="Times New Roman"/>
          <w:color w:val="000000"/>
          <w:sz w:val="20"/>
        </w:rPr>
        <w:t>. Receipt of this Warrant by the Holder shall constitute acceptance of and agreement to all of the terms and conditions contained herein.</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Tax Treatment</w:t>
      </w:r>
      <w:r>
        <w:rPr>
          <w:rFonts w:ascii="Times New Roman" w:hAnsi="Times New Roman"/>
          <w:color w:val="000000"/>
          <w:sz w:val="20"/>
        </w:rPr>
        <w:t>. The Holder and the Company intend that the Warrant be treated for United States federal and state income tax purposes as capital stock of the Company and (ii) that the exercise of the Warrant for Common Stock be treated as a “reorganization” within the meaning of Section 368(a) of the Internal Revenue Code of 1986 (the “</w:t>
      </w:r>
      <w:r>
        <w:rPr>
          <w:rFonts w:ascii="Times New Roman" w:hAnsi="Times New Roman"/>
          <w:b/>
          <w:color w:val="000000"/>
          <w:sz w:val="20"/>
        </w:rPr>
        <w:t>Code</w:t>
      </w:r>
      <w:r>
        <w:rPr>
          <w:rFonts w:ascii="Times New Roman" w:hAnsi="Times New Roman"/>
          <w:color w:val="000000"/>
          <w:sz w:val="20"/>
        </w:rPr>
        <w:t>”), such treatment described in this sentence, the “</w:t>
      </w:r>
      <w:r>
        <w:rPr>
          <w:rFonts w:ascii="Times New Roman" w:hAnsi="Times New Roman"/>
          <w:b/>
          <w:color w:val="000000"/>
          <w:sz w:val="20"/>
        </w:rPr>
        <w:t>Intended Tax Treatment</w:t>
      </w:r>
      <w:r>
        <w:rPr>
          <w:rFonts w:ascii="Times New Roman" w:hAnsi="Times New Roman"/>
          <w:color w:val="000000"/>
          <w:sz w:val="20"/>
        </w:rPr>
        <w:t>”. Absent a contrary “determination” (within the meaning of Section 1313(a) of the Code or any corresponding provision of state income tax law) the Holder and the Company shall file all relevant income tax returns consistent with the Intended Tax Treatment, shall notify the other party of any challenge to such treatment by a taxing authority, and shall use reasonable efforts to defend such treatment in connection with any United States federal or state income tax audit or other proceeding.</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Governing Law; Jurisdiction</w:t>
      </w:r>
      <w:r>
        <w:rPr>
          <w:rFonts w:ascii="Times New Roman" w:hAnsi="Times New Roman"/>
          <w:color w:val="000000"/>
          <w:sz w:val="20"/>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THE WARRANT OR ANY OF THE DOCUMENTS DELIVERED HEREUNDER),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Headings</w:t>
      </w:r>
      <w:r>
        <w:rPr>
          <w:rFonts w:ascii="Times New Roman" w:hAnsi="Times New Roman"/>
          <w:color w:val="000000"/>
          <w:sz w:val="20"/>
        </w:rPr>
        <w:t>. The headings herein are for convenience only, do not constitute a part of this Warrant and shall not be deemed to limit or affect any of the provisions hereof.</w:t>
      </w:r>
    </w:p>
    <w:p>
      <w:pPr>
        <w:pStyle w:val="TextBody"/>
        <w:bidi w:val="0"/>
        <w:spacing w:before="240" w:after="283"/>
        <w:ind w:left="36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Severability</w:t>
      </w:r>
      <w:r>
        <w:rPr>
          <w:rFonts w:ascii="Times New Roman" w:hAnsi="Times New Roman"/>
          <w:color w:val="000000"/>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[REMAINDER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WITNESS WHEREOF, the Company has caused this Warrant to be duly executed by its authorized officer as of the date first indicated above.</w:t>
      </w:r>
    </w:p>
    <w:tbl>
      <w:tblPr>
        <w:tblW w:w="3173" w:type="dxa"/>
        <w:jc w:val="left"/>
        <w:tblInd w:w="0" w:type="dxa"/>
        <w:tblLayout w:type="fixed"/>
        <w:tblCellMar>
          <w:top w:w="28" w:type="dxa"/>
          <w:left w:w="28" w:type="dxa"/>
          <w:bottom w:w="28" w:type="dxa"/>
          <w:right w:w="28" w:type="dxa"/>
        </w:tblCellMar>
      </w:tblPr>
      <w:tblGrid>
        <w:gridCol w:w="521"/>
        <w:gridCol w:w="146"/>
        <w:gridCol w:w="2506"/>
      </w:tblGrid>
      <w:tr>
        <w:trPr/>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ALX ONCOLOGY HOLDINGS INC.</w:t>
            </w:r>
          </w:p>
        </w:tc>
      </w:tr>
      <w:tr>
        <w:trPr/>
        <w:tc>
          <w:tcPr>
            <w:tcW w:w="5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 w:type="dxa"/>
            <w:tcBorders/>
            <w:tcMar>
              <w:top w:w="0" w:type="dxa"/>
              <w:left w:w="0" w:type="dxa"/>
              <w:bottom w:w="0" w:type="dxa"/>
              <w:right w:w="0" w:type="dxa"/>
            </w:tcMar>
            <w:vAlign w:val="center"/>
          </w:tcPr>
          <w:p>
            <w:pPr>
              <w:pStyle w:val="TableContents"/>
              <w:bidi w:val="0"/>
              <w:spacing w:before="0" w:after="283"/>
              <w:ind w:left="0" w:right="100" w:hanging="0"/>
              <w:jc w:val="righ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Harish Shantharam</w:t>
            </w:r>
          </w:p>
        </w:tc>
      </w:tr>
      <w:tr>
        <w:trPr/>
        <w:tc>
          <w:tcPr>
            <w:tcW w:w="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OF EXERCISE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[To be executed by the Holder to purchase Warrant Shares under the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undersigned is the Holder of Warrant No. ___ (the “Warrant”) issued by ALX Oncology Holdings Inc., a Delaware corporation (the “Company”). Capitalized terms used herein and not otherwise defined herein have the respective meanings set forth in the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undersigned hereby exercises its right to purchase Warrant Shares pursuant to the Warrant.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(3) The Holder intends that payment of the Exercise Price shall be made as (check one):</w:t>
      </w:r>
    </w:p>
    <w:tbl>
      <w:tblPr>
        <w:tblW w:w="9537" w:type="dxa"/>
        <w:jc w:val="left"/>
        <w:tblInd w:w="0" w:type="dxa"/>
        <w:tblLayout w:type="fixed"/>
        <w:tblCellMar>
          <w:top w:w="28" w:type="dxa"/>
          <w:left w:w="28" w:type="dxa"/>
          <w:bottom w:w="28" w:type="dxa"/>
          <w:right w:w="28" w:type="dxa"/>
        </w:tblCellMar>
      </w:tblPr>
      <w:tblGrid>
        <w:gridCol w:w="161"/>
        <w:gridCol w:w="109"/>
        <w:gridCol w:w="146"/>
        <w:gridCol w:w="91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Cashless Exercise” under Section 10 of the Warrant (assumed election absent express election to the contrary)</w:t>
            </w:r>
          </w:p>
        </w:tc>
      </w:tr>
    </w:tbl>
    <w:p>
      <w:pPr>
        <w:pStyle w:val="TextBody"/>
        <w:bidi w:val="0"/>
        <w:jc w:val="left"/>
        <w:rPr/>
      </w:pPr>
      <w:r>
        <w:rPr/>
        <w:t> </w:t>
      </w:r>
    </w:p>
    <w:tbl>
      <w:tblPr>
        <w:tblW w:w="1707" w:type="dxa"/>
        <w:jc w:val="left"/>
        <w:tblInd w:w="0" w:type="dxa"/>
        <w:tblLayout w:type="fixed"/>
        <w:tblCellMar>
          <w:top w:w="28" w:type="dxa"/>
          <w:left w:w="28" w:type="dxa"/>
          <w:bottom w:w="28" w:type="dxa"/>
          <w:right w:w="28" w:type="dxa"/>
        </w:tblCellMar>
      </w:tblPr>
      <w:tblGrid>
        <w:gridCol w:w="161"/>
        <w:gridCol w:w="109"/>
        <w:gridCol w:w="146"/>
        <w:gridCol w:w="12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Exercise</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(4) If the Holder has elected a Cash Exercise, the Holder shall pay the sum of $ __________ in immediately available funds to the Company in accordance with the terms of the Warrant.</w:t>
      </w:r>
    </w:p>
    <w:p>
      <w:pPr>
        <w:pStyle w:val="TextBody"/>
        <w:bidi w:val="0"/>
        <w:spacing w:before="240" w:after="283"/>
        <w:jc w:val="both"/>
        <w:rPr>
          <w:rFonts w:ascii="Times New Roman" w:hAnsi="Times New Roman"/>
          <w:sz w:val="20"/>
        </w:rPr>
      </w:pPr>
      <w:r>
        <w:rPr>
          <w:rFonts w:ascii="Times New Roman" w:hAnsi="Times New Roman"/>
          <w:color w:val="000000"/>
          <w:sz w:val="20"/>
        </w:rPr>
        <w:t>(5) Pursuant to this Exercise Notice, the Company shall deliver to the Holder Warrant Shares determined in accordance with the terms of the Warrant. The Warrant Shares shall be delivered to the following DWAC Account Number:</w:t>
      </w:r>
      <w:r>
        <w:rPr>
          <w:rFonts w:ascii="Times New Roman" w:hAnsi="Times New Roman"/>
          <w:color w:val="000000"/>
          <w:sz w:val="20"/>
          <w:u w:val="single"/>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(6) By its delivery of this Exercise Notice, the undersigned represents and warrants to the Company that in giving effect to the exercise evidenced hereby the Holder, its Affiliates and any other Person whose beneficial ownership of Common Stock would be aggregated with the Holder’s for purposes of Section 13(d) of the Exchange Act will not beneficially own in excess of the number of shares of Common Stock (as determined in accordance with Section 13(d) of the Securities Exchange Act of 1934, as amended) permitted to be owned under Section 11(a) of the Warrant to which this notice relates.</w:t>
      </w:r>
    </w:p>
    <w:tbl>
      <w:tblPr>
        <w:tblW w:w="1793" w:type="dxa"/>
        <w:jc w:val="left"/>
        <w:tblInd w:w="0" w:type="dxa"/>
        <w:tblLayout w:type="fixed"/>
        <w:tblCellMar>
          <w:top w:w="28" w:type="dxa"/>
          <w:left w:w="28" w:type="dxa"/>
          <w:bottom w:w="28" w:type="dxa"/>
          <w:right w:w="28" w:type="dxa"/>
        </w:tblCellMar>
      </w:tblPr>
      <w:tblGrid>
        <w:gridCol w:w="1456"/>
        <w:gridCol w:w="14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(Signature must conform in all respects to name of Holder as specified on the face of the Warrant)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alxo-ex10_1.htm"/>
      <w:bookmarkStart w:id="5" w:name="ksalxoex10_1"/>
      <w:bookmarkEnd w:id="4"/>
      <w:bookmarkEnd w:id="5"/>
      <w:r>
        <w:rPr>
          <w:rFonts w:ascii="Times New Roman" w:hAnsi="Times New Roman"/>
          <w:b/>
          <w:color w:val="000000"/>
          <w:sz w:val="20"/>
        </w:rPr>
        <w:t>Exhibit 10.1</w:t>
      </w:r>
      <w:r>
        <w:br w:type="page"/>
      </w:r>
    </w:p>
    <w:p>
      <w:pPr>
        <w:pStyle w:val="TextBody"/>
        <w:bidi w:val="0"/>
        <w:jc w:val="left"/>
        <w:rPr>
          <w:rFonts w:ascii="Times New Roman" w:hAnsi="Times New Roman"/>
          <w:color w:val="000000"/>
          <w:sz w:val="22"/>
        </w:rPr>
      </w:pPr>
      <w:r>
        <w:rPr>
          <w:rFonts w:ascii="Times New Roman" w:hAnsi="Times New Roman"/>
          <w:color w:val="000000"/>
          <w:sz w:val="22"/>
        </w:rPr>
        <w:t>October 14,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ALX Oncology Holdings Inc.</w:t>
      </w:r>
    </w:p>
    <w:p>
      <w:pPr>
        <w:pStyle w:val="TextBody"/>
        <w:bidi w:val="0"/>
        <w:jc w:val="left"/>
        <w:rPr>
          <w:rFonts w:ascii="Times New Roman" w:hAnsi="Times New Roman"/>
          <w:color w:val="000000"/>
          <w:sz w:val="22"/>
        </w:rPr>
      </w:pPr>
      <w:r>
        <w:rPr>
          <w:rFonts w:ascii="Times New Roman" w:hAnsi="Times New Roman"/>
          <w:color w:val="000000"/>
          <w:sz w:val="22"/>
        </w:rPr>
        <w:t>323 Allerton Avenue</w:t>
      </w:r>
    </w:p>
    <w:p>
      <w:pPr>
        <w:pStyle w:val="TextBody"/>
        <w:bidi w:val="0"/>
        <w:jc w:val="left"/>
        <w:rPr>
          <w:rFonts w:ascii="Times New Roman" w:hAnsi="Times New Roman"/>
          <w:color w:val="000000"/>
          <w:sz w:val="22"/>
        </w:rPr>
      </w:pPr>
      <w:r>
        <w:rPr>
          <w:rFonts w:ascii="Times New Roman" w:hAnsi="Times New Roman"/>
          <w:color w:val="000000"/>
          <w:sz w:val="22"/>
        </w:rPr>
        <w:t>South San Francisco, California 94080</w:t>
      </w:r>
    </w:p>
    <w:p>
      <w:pPr>
        <w:pStyle w:val="TextBody"/>
        <w:bidi w:val="0"/>
        <w:jc w:val="left"/>
        <w:rPr/>
      </w:pPr>
      <w:r>
        <w:rPr/>
        <w:t> </w:t>
      </w:r>
    </w:p>
    <w:p>
      <w:pPr>
        <w:pStyle w:val="TextBody"/>
        <w:bidi w:val="0"/>
        <w:ind w:left="0" w:right="0" w:firstLine="720"/>
        <w:jc w:val="left"/>
        <w:rPr>
          <w:rFonts w:ascii="Times New Roman" w:hAnsi="Times New Roman"/>
          <w:color w:val="000000"/>
          <w:sz w:val="22"/>
        </w:rPr>
      </w:pPr>
      <w:r>
        <w:rPr>
          <w:rFonts w:ascii="Times New Roman" w:hAnsi="Times New Roman"/>
          <w:color w:val="000000"/>
          <w:sz w:val="22"/>
        </w:rPr>
        <w:t xml:space="preserve">Re: Exchange Agreement </w:t>
      </w:r>
    </w:p>
    <w:p>
      <w:pPr>
        <w:pStyle w:val="TextBody"/>
        <w:bidi w:val="0"/>
        <w:ind w:left="0" w:right="0" w:firstLine="72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Ladies and Gentlemen:</w:t>
      </w:r>
    </w:p>
    <w:p>
      <w:pPr>
        <w:pStyle w:val="TextBody"/>
        <w:bidi w:val="0"/>
        <w:jc w:val="left"/>
        <w:rPr/>
      </w:pPr>
      <w:r>
        <w:rPr/>
        <w:t> </w:t>
      </w:r>
    </w:p>
    <w:p>
      <w:pPr>
        <w:pStyle w:val="TextBody"/>
        <w:bidi w:val="0"/>
        <w:ind w:left="0" w:right="0" w:firstLine="512"/>
        <w:jc w:val="both"/>
        <w:rPr>
          <w:rFonts w:ascii="Times New Roman" w:hAnsi="Times New Roman"/>
          <w:sz w:val="22"/>
        </w:rPr>
      </w:pPr>
      <w:r>
        <w:rPr>
          <w:rFonts w:ascii="Times New Roman" w:hAnsi="Times New Roman"/>
          <w:color w:val="000000"/>
          <w:sz w:val="22"/>
        </w:rPr>
        <w:t>This letter agreement (the “</w:t>
      </w:r>
      <w:r>
        <w:rPr>
          <w:rFonts w:ascii="Times New Roman" w:hAnsi="Times New Roman"/>
          <w:b/>
          <w:i/>
          <w:color w:val="000000"/>
          <w:sz w:val="22"/>
        </w:rPr>
        <w:t>Agreement</w:t>
      </w:r>
      <w:r>
        <w:rPr>
          <w:rFonts w:ascii="Times New Roman" w:hAnsi="Times New Roman"/>
          <w:color w:val="000000"/>
          <w:sz w:val="22"/>
        </w:rPr>
        <w:t>”) confirms the agreement of ALX Oncology Holdings Inc., a Delaware corporation (the “</w:t>
      </w:r>
      <w:r>
        <w:rPr>
          <w:rFonts w:ascii="Times New Roman" w:hAnsi="Times New Roman"/>
          <w:b/>
          <w:i/>
          <w:color w:val="000000"/>
          <w:sz w:val="22"/>
        </w:rPr>
        <w:t>Company</w:t>
      </w:r>
      <w:r>
        <w:rPr>
          <w:rFonts w:ascii="Times New Roman" w:hAnsi="Times New Roman"/>
          <w:color w:val="000000"/>
          <w:sz w:val="22"/>
        </w:rPr>
        <w:t>”), and the holders of the number of shares of the Company’s common stock, par value $0.001 per share (the “</w:t>
      </w:r>
      <w:r>
        <w:rPr>
          <w:rFonts w:ascii="Times New Roman" w:hAnsi="Times New Roman"/>
          <w:b/>
          <w:i/>
          <w:color w:val="000000"/>
          <w:sz w:val="22"/>
        </w:rPr>
        <w:t>Common Stock</w:t>
      </w:r>
      <w:r>
        <w:rPr>
          <w:rFonts w:ascii="Times New Roman" w:hAnsi="Times New Roman"/>
          <w:color w:val="000000"/>
          <w:sz w:val="22"/>
        </w:rPr>
        <w:t>”), listed on Schedule I attached hereto (the “</w:t>
      </w:r>
      <w:r>
        <w:rPr>
          <w:rFonts w:ascii="Times New Roman" w:hAnsi="Times New Roman"/>
          <w:b/>
          <w:i/>
          <w:color w:val="000000"/>
          <w:sz w:val="22"/>
        </w:rPr>
        <w:t>Stockholders</w:t>
      </w:r>
      <w:r>
        <w:rPr>
          <w:rFonts w:ascii="Times New Roman" w:hAnsi="Times New Roman"/>
          <w:color w:val="000000"/>
          <w:sz w:val="22"/>
        </w:rPr>
        <w:t>”), pursuant to which (i) the Stockholders have agreed to surrender an aggregate of [] shares (the “</w:t>
      </w:r>
      <w:r>
        <w:rPr>
          <w:rFonts w:ascii="Times New Roman" w:hAnsi="Times New Roman"/>
          <w:b/>
          <w:i/>
          <w:color w:val="000000"/>
          <w:sz w:val="22"/>
        </w:rPr>
        <w:t>Shares</w:t>
      </w:r>
      <w:r>
        <w:rPr>
          <w:rFonts w:ascii="Times New Roman" w:hAnsi="Times New Roman"/>
          <w:color w:val="000000"/>
          <w:sz w:val="22"/>
        </w:rPr>
        <w:t>”) of Common Stock beneficially owned by the Stockholders for no consideration and (ii) the Company has agreed to issue one or more pre-funded warrants in the form attached hereto as Exhibit A (each a “</w:t>
      </w:r>
      <w:r>
        <w:rPr>
          <w:rFonts w:ascii="Times New Roman" w:hAnsi="Times New Roman"/>
          <w:b/>
          <w:i/>
          <w:color w:val="000000"/>
          <w:sz w:val="22"/>
        </w:rPr>
        <w:t>Warrant</w:t>
      </w:r>
      <w:r>
        <w:rPr>
          <w:rFonts w:ascii="Times New Roman" w:hAnsi="Times New Roman"/>
          <w:color w:val="000000"/>
          <w:sz w:val="22"/>
        </w:rPr>
        <w:t>”) to purchase an aggregate of [] shares of Common Stock (the “</w:t>
      </w:r>
      <w:r>
        <w:rPr>
          <w:rFonts w:ascii="Times New Roman" w:hAnsi="Times New Roman"/>
          <w:b/>
          <w:i/>
          <w:color w:val="000000"/>
          <w:sz w:val="22"/>
        </w:rPr>
        <w:t>Warrant Shares</w:t>
      </w:r>
      <w:r>
        <w:rPr>
          <w:rFonts w:ascii="Times New Roman" w:hAnsi="Times New Roman"/>
          <w:color w:val="000000"/>
          <w:sz w:val="22"/>
        </w:rPr>
        <w:t>”) on the terms specified below.</w:t>
      </w:r>
    </w:p>
    <w:p>
      <w:pPr>
        <w:pStyle w:val="TextBody"/>
        <w:bidi w:val="0"/>
        <w:ind w:left="0" w:right="0" w:firstLine="512"/>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consideration of the foregoing, the Company and the Stockholders agree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sz w:val="22"/>
        </w:rPr>
      </w:pPr>
      <w:r>
        <w:rPr>
          <w:rFonts w:ascii="Times New Roman" w:hAnsi="Times New Roman"/>
          <w:color w:val="000000"/>
          <w:sz w:val="22"/>
        </w:rPr>
        <w:t>No later than the close of business on October 15, 2026, or such other date as mutually agreed upon by the parties to this Agreement (the “</w:t>
      </w:r>
      <w:r>
        <w:rPr>
          <w:rFonts w:ascii="Times New Roman" w:hAnsi="Times New Roman"/>
          <w:b/>
          <w:i/>
          <w:color w:val="000000"/>
          <w:sz w:val="22"/>
        </w:rPr>
        <w:t>Closing Date</w:t>
      </w:r>
      <w:r>
        <w:rPr>
          <w:rFonts w:ascii="Times New Roman" w:hAnsi="Times New Roman"/>
          <w:color w:val="000000"/>
          <w:sz w:val="22"/>
        </w:rPr>
        <w:t>”), and subject to the satisfaction or waiver of the conditions set forth herein, (i) the Stockholders shall surrender the Shares for no consideration (the “</w:t>
      </w:r>
      <w:r>
        <w:rPr>
          <w:rFonts w:ascii="Times New Roman" w:hAnsi="Times New Roman"/>
          <w:b/>
          <w:i/>
          <w:color w:val="000000"/>
          <w:sz w:val="22"/>
        </w:rPr>
        <w:t>Surrender</w:t>
      </w:r>
      <w:r>
        <w:rPr>
          <w:rFonts w:ascii="Times New Roman" w:hAnsi="Times New Roman"/>
          <w:color w:val="000000"/>
          <w:sz w:val="22"/>
        </w:rPr>
        <w:t>”) and (ii) the Company shall issue the Warrants (the “</w:t>
      </w:r>
      <w:r>
        <w:rPr>
          <w:rFonts w:ascii="Times New Roman" w:hAnsi="Times New Roman"/>
          <w:b/>
          <w:i/>
          <w:color w:val="000000"/>
          <w:sz w:val="22"/>
        </w:rPr>
        <w:t>Warrant Issuance</w:t>
      </w:r>
      <w:r>
        <w:rPr>
          <w:rFonts w:ascii="Times New Roman" w:hAnsi="Times New Roman"/>
          <w:color w:val="000000"/>
          <w:sz w:val="22"/>
        </w:rPr>
        <w:t>” and, together with the Surrender, the “</w:t>
      </w:r>
      <w:r>
        <w:rPr>
          <w:rFonts w:ascii="Times New Roman" w:hAnsi="Times New Roman"/>
          <w:b/>
          <w:i/>
          <w:color w:val="000000"/>
          <w:sz w:val="22"/>
        </w:rPr>
        <w:t>Exchange</w:t>
      </w:r>
      <w:r>
        <w:rPr>
          <w:rFonts w:ascii="Times New Roman" w:hAnsi="Times New Roman"/>
          <w:color w:val="000000"/>
          <w:sz w:val="22"/>
        </w:rPr>
        <w:t>”) in the respective amounts listed on Schedule I. The Exchange shall be consummated pursuant to Section 3(a)(9) of the Securities Act of 1933, as amended (the “</w:t>
      </w:r>
      <w:r>
        <w:rPr>
          <w:rFonts w:ascii="Times New Roman" w:hAnsi="Times New Roman"/>
          <w:b/>
          <w:i/>
          <w:color w:val="000000"/>
          <w:sz w:val="22"/>
        </w:rPr>
        <w:t>Securities Act</w:t>
      </w:r>
      <w:r>
        <w:rPr>
          <w:rFonts w:ascii="Times New Roman" w:hAnsi="Times New Roman"/>
          <w:color w:val="000000"/>
          <w:sz w:val="22"/>
        </w:rPr>
        <w:t>”). On or prior to the Closing Date: (a) the Company and the Stockholders shall jointly and irrevocably instruct Computershare Trust Company, N.A. (the “</w:t>
      </w:r>
      <w:r>
        <w:rPr>
          <w:rFonts w:ascii="Times New Roman" w:hAnsi="Times New Roman"/>
          <w:b/>
          <w:i/>
          <w:color w:val="000000"/>
          <w:sz w:val="22"/>
        </w:rPr>
        <w:t>Transfer Agent</w:t>
      </w:r>
      <w:r>
        <w:rPr>
          <w:rFonts w:ascii="Times New Roman" w:hAnsi="Times New Roman"/>
          <w:color w:val="000000"/>
          <w:sz w:val="22"/>
        </w:rPr>
        <w:t>”) to retire, cancel or re-register such Shares in the name of the Company; and (b) the Company shall issue and deliver to the Stockholders the Warrants exercisable for the Warrant Shares, in the amounts and in the names set forth on Schedule I and shall instruct the Transfer Agent to reserve [] shares of Common Stock issuable upon the exercise of the Warrants.</w:t>
      </w:r>
    </w:p>
    <w:p>
      <w:pPr>
        <w:pStyle w:val="TextBody"/>
        <w:bidi w:val="0"/>
        <w:ind w:left="360" w:right="0" w:hanging="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The Company represents and warrants to each Stockholder as follows:</w:t>
      </w:r>
    </w:p>
    <w:p>
      <w:pPr>
        <w:pStyle w:val="TextBody"/>
        <w:bidi w:val="0"/>
        <w:ind w:left="36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sz w:val="22"/>
        </w:rPr>
      </w:pPr>
      <w:r>
        <w:rPr>
          <w:rFonts w:ascii="Times New Roman" w:hAnsi="Times New Roman"/>
          <w:color w:val="000000"/>
          <w:sz w:val="22"/>
        </w:rPr>
        <w:t>Neither the Company nor any of its affiliates nor any person acting on behalf of or for the benefit of any of the foregoing, has paid or given, or agreed to pay or give, directly or indirectly, any commission or other remuneration (within the meaning of Section 3(a)(9) of the Securities Act and the rules and regulations of the U.S. Securities and Exchange Commission (the “</w:t>
      </w:r>
      <w:r>
        <w:rPr>
          <w:rFonts w:ascii="Times New Roman" w:hAnsi="Times New Roman"/>
          <w:b/>
          <w:i/>
          <w:color w:val="000000"/>
          <w:sz w:val="22"/>
        </w:rPr>
        <w:t>Commission</w:t>
      </w:r>
      <w:r>
        <w:rPr>
          <w:rFonts w:ascii="Times New Roman" w:hAnsi="Times New Roman"/>
          <w:color w:val="000000"/>
          <w:sz w:val="22"/>
        </w:rPr>
        <w:t>”) promulgated thereunder) for soliciting the Exchange. Assuming the representations and warranties of the Stockholders contained herein are true and complete, the Exchange will qualify for the registration exemption contained in Section 3(a)(9) of the Securities Act.</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2"/>
        </w:rPr>
      </w:pPr>
      <w:r>
        <w:rPr>
          <w:rFonts w:ascii="Times New Roman" w:hAnsi="Times New Roman"/>
          <w:color w:val="000000"/>
          <w:sz w:val="22"/>
        </w:rPr>
        <w:t>The Company has the requisite corporate power and authority to enter into this Agreement and to consummate the Exchange, and such transactions shall not contravene any contractual, regulatory, statutory or other obligation or restriction applicable to the Company.</w:t>
      </w:r>
    </w:p>
    <w:p>
      <w:pPr>
        <w:pStyle w:val="TextBody"/>
        <w:bidi w:val="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2"/>
        </w:rPr>
      </w:pPr>
      <w:r>
        <w:rPr>
          <w:rFonts w:ascii="Times New Roman" w:hAnsi="Times New Roman"/>
          <w:color w:val="000000"/>
          <w:sz w:val="22"/>
        </w:rPr>
        <w:t xml:space="preserve">The Company has reserved a sufficient number of shares of Common Stock as may be necessary to fully permit the exercise of the Warrants as of the date of issuance and the issuance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720" w:right="0" w:hanging="0"/>
        <w:jc w:val="both"/>
        <w:rPr>
          <w:rFonts w:ascii="Times New Roman" w:hAnsi="Times New Roman"/>
          <w:color w:val="000000"/>
          <w:sz w:val="22"/>
        </w:rPr>
      </w:pPr>
      <w:r>
        <w:rPr>
          <w:rFonts w:ascii="Times New Roman" w:hAnsi="Times New Roman"/>
          <w:color w:val="000000"/>
          <w:sz w:val="22"/>
        </w:rPr>
        <w:t>of the Warrant Shares, without regard to any adjustment provisions or beneficial ownership limits set forth in the Warrants.</w:t>
      </w:r>
    </w:p>
    <w:p>
      <w:pPr>
        <w:pStyle w:val="TextBody"/>
        <w:bidi w:val="0"/>
        <w:ind w:left="1080" w:right="0" w:hanging="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Each Stockholder, as to itself only, represents and warrants to the Company as follows:</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jc w:val="both"/>
        <w:rPr>
          <w:sz w:val="22"/>
        </w:rPr>
      </w:pPr>
      <w:r>
        <w:rPr>
          <w:rFonts w:ascii="Times New Roman" w:hAnsi="Times New Roman"/>
          <w:color w:val="000000"/>
          <w:sz w:val="22"/>
        </w:rPr>
        <w:t>Such Stockholder has the requisite power and authority to enter into this Agreement and consummate the Exchange</w:t>
      </w:r>
      <w:r>
        <w:rPr>
          <w:color w:val="000000"/>
          <w:sz w:val="22"/>
        </w:rPr>
        <w:t xml:space="preserve"> </w:t>
      </w:r>
      <w:r>
        <w:rPr>
          <w:rFonts w:ascii="Times New Roman" w:hAnsi="Times New Roman"/>
          <w:color w:val="000000"/>
          <w:sz w:val="22"/>
        </w:rPr>
        <w:t>and such transactions will not contravene any contractual, regulatory, statutory or other obligation or restriction applicable to such Stockholder.</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2"/>
        </w:rPr>
      </w:pPr>
      <w:r>
        <w:rPr>
          <w:rFonts w:ascii="Times New Roman" w:hAnsi="Times New Roman"/>
          <w:color w:val="000000"/>
          <w:sz w:val="22"/>
        </w:rPr>
        <w:t>Such Stockholder is the record and beneficial owner of, and has valid and marketable title to, the Shares being surrendered for no consideration by it pursuant to this Agreement, free and clear of any lien, pledge, restriction or other encumbrance (other than restrictions arising pursuant to applicable securities laws), and has the absolute and unrestricted right, power and capacity to surrender the Shares being surrendered for no consideration by it pursuant to this Agreement, free and clear of any lien, pledge, restriction or other encumbrance. It is not a party to or bound by, and the Shares being surrendered for no consideration by it pursuant to this Agreement are not subject to, any agreement, understanding or other arrangement (i) granting any option, warrant or right of first refusal with respect to such Shares to any person, (ii) restricting its right to surrender such Shares for no consideration as contemplated by this Agreement, or (iii) restricting any other of its rights with respect to such Shares, and it has received no consideration for the surrender of the Shares.</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2"/>
        </w:rPr>
      </w:pPr>
      <w:r>
        <w:rPr>
          <w:rFonts w:ascii="Times New Roman" w:hAnsi="Times New Roman"/>
          <w:color w:val="000000"/>
          <w:sz w:val="22"/>
        </w:rPr>
        <w:t>Neither it nor any of its affiliates nor any person acting on behalf of or for the benefit of any of the foregoing, has paid or given, or agreed to pay or give, directly or indirectly, any commission or other remuneration (within the meaning of Section 3(a)(9) of the Securities Act and the rules and regulations of the Commission promulgated thereunder) for soliciting the Exchange.</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2"/>
        </w:rPr>
      </w:pPr>
      <w:r>
        <w:rPr>
          <w:rFonts w:ascii="Times New Roman" w:hAnsi="Times New Roman"/>
          <w:color w:val="000000"/>
          <w:sz w:val="22"/>
        </w:rPr>
        <w:t>Such Stockholder can bear the economic risk of the Exchange and has such knowledge and experience in financial and business matters that it is capable of evaluating the merits and risks of the Exchange and any subsequent exercise of the Warrants, and upon exercise, any subsequent sales of the Warrant Shares. Such Stockholder is an accredited investor as defined in Rule 501(a) of Regulation D promulgated under the Securities Act.</w:t>
      </w:r>
    </w:p>
    <w:p>
      <w:pPr>
        <w:pStyle w:val="TextBody"/>
        <w:bidi w:val="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2"/>
        </w:rPr>
      </w:pPr>
      <w:r>
        <w:rPr>
          <w:rFonts w:ascii="Times New Roman" w:hAnsi="Times New Roman"/>
          <w:color w:val="000000"/>
          <w:sz w:val="22"/>
        </w:rPr>
        <w:t>Such Stockholder acknowledges that the default form of exercise for the Warrant is a “cashless exercise,” but such Stockholder may elect to exercise the Warrant for cash, all as specified in the Warrant. If such Stockholder elects to exercise the Warrant for cash, such Stockholder acknowledges that the shares of common stock issued upon the exercise of the Warrant will not have the benefit of tacking of the holding period of the Warrant under Rule 144(d)(3)(x) under the Securities Act.</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2"/>
        </w:rPr>
      </w:pPr>
      <w:r>
        <w:rPr>
          <w:rFonts w:ascii="Times New Roman" w:hAnsi="Times New Roman"/>
          <w:color w:val="000000"/>
          <w:sz w:val="22"/>
        </w:rPr>
        <w:t>Such Stockholder understands that no public market currently exists for the Warrants.</w:t>
      </w:r>
    </w:p>
    <w:p>
      <w:pPr>
        <w:pStyle w:val="TextBody"/>
        <w:bidi w:val="0"/>
        <w:ind w:left="1080" w:right="0" w:hanging="0"/>
        <w:jc w:val="both"/>
        <w:rPr/>
      </w:pPr>
      <w:r>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2"/>
        </w:rPr>
      </w:pPr>
      <w:r>
        <w:rPr>
          <w:rFonts w:ascii="Times New Roman" w:hAnsi="Times New Roman"/>
          <w:color w:val="000000"/>
          <w:sz w:val="22"/>
        </w:rPr>
        <w:t>Such Stockholder acknowledges that the Exchange is being made in reliance upon the exemption from registration provided by Section 3(a)(9) of the Securities Act. Accordingly, the Warrants and the Warrant Shares may bear restrictive legends required under the Securities Act or applicable state securities laws.</w:t>
      </w:r>
    </w:p>
    <w:p>
      <w:pPr>
        <w:pStyle w:val="TextBody"/>
        <w:bidi w:val="0"/>
        <w:ind w:left="360" w:right="0" w:hanging="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Each of the Company and the Stockholders is liable for, and will pay, its own expenses incurred in connection with the negotiation, preparation, execution and delivery of this Agreement, including, without limitation, attorneys’ and consultants’ fees and expenses.</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360" w:right="0" w:hanging="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sz w:val="22"/>
        </w:rPr>
      </w:pPr>
      <w:r>
        <w:rPr>
          <w:rFonts w:ascii="Times New Roman" w:hAnsi="Times New Roman"/>
          <w:color w:val="000000"/>
          <w:sz w:val="22"/>
        </w:rPr>
        <w:t>The Company and the Stockholders shall execute and/or deliver such other documents and agreements as are customary and reasonably necessary to effectuate the Surrender and the Warrant Issuance, including, at the request of the Company or the Transfer Agent, executed stock powers or share transfer forms in customary form.</w:t>
      </w:r>
      <w:r>
        <w:rPr>
          <w:color w:val="000000"/>
          <w:sz w:val="22"/>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This Agreement, and any action or proceeding arising out of or relating to this Agreement, shall be exclusively governed by the laws of the State of Delaware without regard to the principles of conflicts of law thereof.</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Any and all notices or other communications or deliveries hereunder shall be in writing and shall be deemed given and effective the earlier of (i) upon actual receipt by the party to whom such notice is required to be given and (ii) when sent, if sent by electronic mail during normal business hours of the recipient, and if not sent during normal business hours, then on the recipient’s next business day. The addresses and email addresses for such communications shall be:</w:t>
      </w:r>
    </w:p>
    <w:p>
      <w:pPr>
        <w:pStyle w:val="TextBody"/>
        <w:bidi w:val="0"/>
        <w:ind w:left="360" w:right="0" w:hanging="0"/>
        <w:jc w:val="both"/>
        <w:rPr/>
      </w:pPr>
      <w:r>
        <w:rPr/>
        <w:t> </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If to the Company:</w:t>
      </w:r>
    </w:p>
    <w:p>
      <w:pPr>
        <w:pStyle w:val="TextBody"/>
        <w:bidi w:val="0"/>
        <w:ind w:left="360" w:right="0" w:hanging="0"/>
        <w:jc w:val="both"/>
        <w:rPr/>
      </w:pPr>
      <w:r>
        <w:rPr/>
        <w:t> </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ALX Oncology Holdings Inc.</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323 Allerton Avenue</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South San Francisco, California 94080</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Attention: Chief Financial Officer</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Email: hshantharam@alxoncology.com</w:t>
      </w:r>
    </w:p>
    <w:p>
      <w:pPr>
        <w:pStyle w:val="TextBody"/>
        <w:bidi w:val="0"/>
        <w:ind w:left="360" w:right="0" w:hanging="0"/>
        <w:jc w:val="both"/>
        <w:rPr/>
      </w:pPr>
      <w:r>
        <w:rPr/>
        <w:t> </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If to a Stockholder, to its address or e-mail address set forth herein or on the books and records of the Company.</w:t>
      </w:r>
    </w:p>
    <w:p>
      <w:pPr>
        <w:pStyle w:val="TextBody"/>
        <w:bidi w:val="0"/>
        <w:ind w:left="360" w:right="0" w:hanging="0"/>
        <w:jc w:val="both"/>
        <w:rPr/>
      </w:pPr>
      <w:r>
        <w:rPr/>
        <w:t> </w:t>
      </w:r>
    </w:p>
    <w:p>
      <w:pPr>
        <w:pStyle w:val="TextBody"/>
        <w:bidi w:val="0"/>
        <w:ind w:left="360" w:right="0" w:hanging="0"/>
        <w:jc w:val="both"/>
        <w:rPr>
          <w:rFonts w:ascii="Times New Roman" w:hAnsi="Times New Roman"/>
          <w:color w:val="000000"/>
          <w:sz w:val="22"/>
        </w:rPr>
      </w:pPr>
      <w:r>
        <w:rPr>
          <w:rFonts w:ascii="Times New Roman" w:hAnsi="Times New Roman"/>
          <w:color w:val="000000"/>
          <w:sz w:val="22"/>
        </w:rPr>
        <w:t>Or, in each of the above instances, to such other address or e-mail address as the recipient party has specified by written notice given to each other party at least five (5) days prior to the effectiveness of such change.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 xml:space="preserve">This Agreement will be binding upon and inure to the benefit of the parties and their respective heirs, successors and assigns. None of the parties may assign or otherwise transfer this Agreement or any rights or obligations hereunder, in whole or in part, whether voluntarily or by operation of law without the prior written consent of the Company and the Stockholders.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This Agreement supersedes all prior agreements, written or oral, between the parties relating to the subject matter of this Agreement. This Agreement may not be amended, modified, changed or discharged, in whole or in part, except by an agreement in writing signed by the Company and the Stockholders, or their successors and assigns.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rFonts w:ascii="Times New Roman" w:hAnsi="Times New Roman"/>
          <w:color w:val="000000"/>
          <w:sz w:val="22"/>
        </w:rPr>
      </w:pPr>
      <w:r>
        <w:rPr>
          <w:rFonts w:ascii="Times New Roman" w:hAnsi="Times New Roman"/>
          <w:color w:val="000000"/>
          <w:sz w:val="22"/>
        </w:rPr>
        <w:t>In the event that any part of this Agreement is declared by any court or other judicial or administrative body to be null, void or unenforceable, said provision shall survive to the extent it is not so declared, and all of the other provisions of this Agreement shall remain in full force and effect. In such an event, the Stockholders and the Company shall endeavor in good faith negotiations to modify this Agreement so as to effect the original intent of the parties as closely as possible.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rFonts w:ascii="Times New Roman" w:hAnsi="Times New Roman"/>
          <w:color w:val="000000"/>
          <w:sz w:val="22"/>
        </w:rPr>
      </w:pPr>
      <w:r>
        <w:rPr>
          <w:rFonts w:ascii="Times New Roman" w:hAnsi="Times New Roman"/>
          <w:color w:val="000000"/>
          <w:sz w:val="22"/>
        </w:rPr>
        <w:t xml:space="preserve">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Act, or other applicable law, e.g., www.docusign.com) or other transmission method and any counterpart so delivered shall be deemed to have been duly and validly delivered and be valid and effective for all purposes.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xml:space="preserve">[SIGNATURE PAGE FOLLOWS]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0" w:right="0" w:firstLine="720"/>
        <w:jc w:val="left"/>
        <w:rPr>
          <w:rFonts w:ascii="Times New Roman" w:hAnsi="Times New Roman"/>
          <w:color w:val="000000"/>
          <w:sz w:val="22"/>
        </w:rPr>
      </w:pPr>
      <w:r>
        <w:rPr>
          <w:rFonts w:ascii="Times New Roman" w:hAnsi="Times New Roman"/>
          <w:color w:val="000000"/>
          <w:sz w:val="22"/>
        </w:rPr>
        <w:t>Please sign to acknowledge agreement with the above terms and return to the undersigned.</w:t>
      </w:r>
    </w:p>
    <w:tbl>
      <w:tblPr>
        <w:tblW w:w="1898" w:type="dxa"/>
        <w:jc w:val="left"/>
        <w:tblInd w:w="0" w:type="dxa"/>
        <w:tblLayout w:type="fixed"/>
        <w:tblCellMar>
          <w:top w:w="28" w:type="dxa"/>
          <w:left w:w="28" w:type="dxa"/>
          <w:bottom w:w="28" w:type="dxa"/>
          <w:right w:w="28" w:type="dxa"/>
        </w:tblCellMar>
      </w:tblPr>
      <w:tblGrid>
        <w:gridCol w:w="332"/>
        <w:gridCol w:w="1055"/>
        <w:gridCol w:w="511"/>
      </w:tblGrid>
      <w:tr>
        <w:trPr/>
        <w:tc>
          <w:tcPr>
            <w:tcW w:w="3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231"/>
              <w:jc w:val="left"/>
              <w:rPr>
                <w:sz w:val="4"/>
                <w:szCs w:val="4"/>
              </w:rPr>
            </w:pPr>
            <w:r>
              <w:rPr>
                <w:sz w:val="4"/>
                <w:szCs w:val="4"/>
              </w:rPr>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before="0" w:after="283"/>
              <w:ind w:left="0" w:right="0" w:firstLine="231"/>
              <w:jc w:val="left"/>
              <w:rPr>
                <w:rFonts w:ascii="Times New Roman" w:hAnsi="Times New Roman"/>
                <w:color w:val="000000"/>
                <w:sz w:val="22"/>
              </w:rPr>
            </w:pPr>
            <w:r>
              <w:rPr>
                <w:rFonts w:ascii="Times New Roman" w:hAnsi="Times New Roman"/>
                <w:color w:val="000000"/>
                <w:sz w:val="22"/>
              </w:rPr>
              <w:t>Stockholder:</w:t>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[Stockholder]</w:t>
            </w:r>
          </w:p>
          <w:p>
            <w:pPr>
              <w:pStyle w:val="TableContents"/>
              <w:bidi w:val="0"/>
              <w:spacing w:before="0" w:after="283"/>
              <w:ind w:left="0" w:right="0" w:firstLine="231"/>
              <w:jc w:val="left"/>
              <w:rPr>
                <w:rFonts w:ascii="Times New Roman" w:hAnsi="Times New Roman"/>
                <w:color w:val="000000"/>
                <w:sz w:val="22"/>
              </w:rPr>
            </w:pPr>
            <w:r>
              <w:rPr>
                <w:rFonts w:ascii="Times New Roman" w:hAnsi="Times New Roman"/>
                <w:color w:val="000000"/>
                <w:sz w:val="22"/>
              </w:rPr>
              <w:t xml:space="preserve">By: </w:t>
            </w:r>
          </w:p>
        </w:tc>
      </w:tr>
      <w:tr>
        <w:trPr/>
        <w:tc>
          <w:tcPr>
            <w:tcW w:w="1898" w:type="dxa"/>
            <w:gridSpan w:val="3"/>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31"/>
              <w:jc w:val="left"/>
              <w:rPr/>
            </w:pPr>
            <w:r>
              <w:rPr/>
              <w:t> </w:t>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511" w:type="dxa"/>
            <w:tcBorders/>
            <w:tcMar>
              <w:top w:w="0" w:type="dxa"/>
              <w:left w:w="0" w:type="dxa"/>
              <w:bottom w:w="0" w:type="dxa"/>
              <w:right w:w="0" w:type="dxa"/>
            </w:tcMar>
            <w:vAlign w:val="center"/>
          </w:tcPr>
          <w:p>
            <w:pPr>
              <w:pStyle w:val="TableContents"/>
              <w:bidi w:val="0"/>
              <w:spacing w:before="0" w:after="283"/>
              <w:ind w:left="0" w:right="0" w:firstLine="231"/>
              <w:jc w:val="left"/>
              <w:rPr/>
            </w:pPr>
            <w:r>
              <w:rPr/>
              <w:t> </w:t>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511" w:type="dxa"/>
            <w:tcBorders/>
            <w:tcMar>
              <w:top w:w="0" w:type="dxa"/>
              <w:left w:w="0" w:type="dxa"/>
              <w:bottom w:w="0" w:type="dxa"/>
              <w:right w:w="0" w:type="dxa"/>
            </w:tcMar>
            <w:vAlign w:val="center"/>
          </w:tcPr>
          <w:p>
            <w:pPr>
              <w:pStyle w:val="TableContents"/>
              <w:bidi w:val="0"/>
              <w:spacing w:before="0" w:after="283"/>
              <w:ind w:left="0" w:right="0" w:firstLine="231"/>
              <w:jc w:val="left"/>
              <w:rPr/>
            </w:pPr>
            <w:r>
              <w:rPr/>
              <w:t> </w:t>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w:t>
            </w:r>
          </w:p>
        </w:tc>
        <w:tc>
          <w:tcPr>
            <w:tcW w:w="511"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r>
      <w:tr>
        <w:trPr/>
        <w:tc>
          <w:tcPr>
            <w:tcW w:w="332" w:type="dxa"/>
            <w:tcBorders/>
            <w:tcMar>
              <w:top w:w="0" w:type="dxa"/>
              <w:left w:w="0" w:type="dxa"/>
              <w:bottom w:w="0" w:type="dxa"/>
              <w:right w:w="0" w:type="dxa"/>
            </w:tcMar>
            <w:vAlign w:val="center"/>
          </w:tcPr>
          <w:p>
            <w:pPr>
              <w:pStyle w:val="TableContents"/>
              <w:bidi w:val="0"/>
              <w:spacing w:before="0" w:after="283"/>
              <w:ind w:left="0" w:right="0" w:firstLine="231"/>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Exchange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Acknowledged and agreed to:</w:t>
      </w:r>
    </w:p>
    <w:tbl>
      <w:tblPr>
        <w:tblW w:w="4009" w:type="dxa"/>
        <w:jc w:val="left"/>
        <w:tblInd w:w="0" w:type="dxa"/>
        <w:tblLayout w:type="fixed"/>
        <w:tblCellMar>
          <w:top w:w="28" w:type="dxa"/>
          <w:left w:w="28" w:type="dxa"/>
          <w:bottom w:w="28" w:type="dxa"/>
          <w:right w:w="28" w:type="dxa"/>
        </w:tblCellMar>
      </w:tblPr>
      <w:tblGrid>
        <w:gridCol w:w="950"/>
        <w:gridCol w:w="2905"/>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ALX ONCOLOGY HOLDINGS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9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9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Harish Shantharam</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Exchange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I</w:t>
      </w:r>
    </w:p>
    <w:tbl>
      <w:tblPr>
        <w:tblW w:w="5013" w:type="dxa"/>
        <w:jc w:val="left"/>
        <w:tblInd w:w="0" w:type="dxa"/>
        <w:tblLayout w:type="fixed"/>
        <w:tblCellMar>
          <w:top w:w="28" w:type="dxa"/>
          <w:left w:w="28" w:type="dxa"/>
          <w:bottom w:w="28" w:type="dxa"/>
          <w:right w:w="28" w:type="dxa"/>
        </w:tblCellMar>
      </w:tblPr>
      <w:tblGrid>
        <w:gridCol w:w="1231"/>
        <w:gridCol w:w="2266"/>
        <w:gridCol w:w="1516"/>
      </w:tblGrid>
      <w:tr>
        <w:trPr/>
        <w:tc>
          <w:tcPr>
            <w:tcW w:w="123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2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w:t>
            </w:r>
          </w:p>
        </w:tc>
        <w:tc>
          <w:tcPr>
            <w:tcW w:w="22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Shares of Common Stock</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 be Exchanged</w:t>
            </w:r>
          </w:p>
        </w:tc>
        <w:tc>
          <w:tcPr>
            <w:tcW w:w="15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Shares</w:t>
            </w:r>
          </w:p>
        </w:tc>
      </w:tr>
      <w:tr>
        <w:trPr/>
        <w:tc>
          <w:tcPr>
            <w:tcW w:w="12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w:t>
            </w:r>
          </w:p>
        </w:tc>
        <w:tc>
          <w:tcPr>
            <w:tcW w:w="2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2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rFonts w:ascii="Times New Roman" w:hAnsi="Times New Roman"/>
          <w:b/>
          <w:color w:val="000000"/>
          <w:sz w:val="22"/>
        </w:rPr>
      </w:pPr>
      <w:r>
        <w:rPr>
          <w:rFonts w:ascii="Times New Roman" w:hAnsi="Times New Roman"/>
          <w:b/>
          <w:color w:val="000000"/>
          <w:sz w:val="22"/>
        </w:rPr>
        <w:t>FORM OF PRE-FUNDED WARRANT TO PURCHASE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11675</Words>
  <Characters>60155</Characters>
  <CharactersWithSpaces>71656</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