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Lettmann Jason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ALX ONCOLOGY HOLDINGS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323 ALLERTON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 SAN FRANCISCO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ALX ONCOLOGY HOLDINGS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ALXO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77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966"/>
        <w:gridCol w:w="276"/>
        <w:gridCol w:w="906"/>
        <w:gridCol w:w="801"/>
        <w:gridCol w:w="891"/>
        <w:gridCol w:w="1101"/>
        <w:gridCol w:w="801"/>
        <w:gridCol w:w="966"/>
        <w:gridCol w:w="831"/>
        <w:gridCol w:w="846"/>
      </w:tblGrid>
      <w:tr>
        <w:trPr>
          <w:tblHeader w:val="true"/>
        </w:trPr>
        <w:tc>
          <w:tcPr>
            <w:tcW w:w="1277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2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9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4.92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09/08/2023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1,200,000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09/07/2033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1,200,000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1,200,000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One-fourth of the shares subject to the option vest on September 5, 2024 and 1/48th of the shares vest monthly thereafter.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Peter Garcia,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09/12/2023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688269" TargetMode="External"/><Relationship Id="rId4" Type="http://schemas.openxmlformats.org/officeDocument/2006/relationships/hyperlink" Target="http://www.sec.gov/cgi-bin/browse-edgar?action=getcompany&amp;CIK=0001810182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597</Words>
  <Characters>3250</Characters>
  <CharactersWithSpaces>3781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