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-232410</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66675</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2" w:lineRule="exact"/>
        <w:rPr>
          <w:sz w:val="24"/>
          <w:szCs w:val="24"/>
          <w:color w:val="auto"/>
        </w:rPr>
      </w:pPr>
    </w:p>
    <w:p>
      <w:pPr>
        <w:ind w:left="460" w:right="760" w:hanging="452"/>
        <w:spacing w:after="0"/>
        <w:tabs>
          <w:tab w:leader="none" w:pos="460" w:val="left"/>
        </w:tabs>
        <w:numPr>
          <w:ilvl w:val="0"/>
          <w:numId w:val="2"/>
        </w:numPr>
        <w:rPr>
          <w:rFonts w:ascii="MS PGothic" w:cs="MS PGothic" w:eastAsia="MS PGothic" w:hAnsi="MS PGothic"/>
          <w:sz w:val="29"/>
          <w:szCs w:val="29"/>
          <w:color w:val="auto"/>
          <w:highlight w:val="black"/>
          <w:vertAlign w:val="subscript"/>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52" w:lineRule="exact"/>
        <w:rPr>
          <w:sz w:val="24"/>
          <w:szCs w:val="24"/>
          <w:color w:val="auto"/>
        </w:rPr>
      </w:pPr>
    </w:p>
    <w:tbl>
      <w:tblPr>
        <w:tblLayout w:type="fixed"/>
        <w:tblInd w:w="1580" w:type="dxa"/>
        <w:tblCellMar>
          <w:top w:w="0" w:type="dxa"/>
          <w:left w:w="0" w:type="dxa"/>
          <w:bottom w:w="0" w:type="dxa"/>
          <w:right w:w="0" w:type="dxa"/>
        </w:tblCellMar>
      </w:tblPr>
      <w:tr>
        <w:trPr>
          <w:trHeight w:val="234"/>
        </w:trPr>
        <w:tc>
          <w:tcPr>
            <w:tcW w:w="6180" w:type="dxa"/>
            <w:vAlign w:val="bottom"/>
            <w:gridSpan w:val="3"/>
          </w:tcPr>
          <w:p>
            <w:pPr>
              <w:jc w:val="center"/>
              <w:ind w:left="1816"/>
              <w:spacing w:after="0"/>
              <w:rPr>
                <w:sz w:val="20"/>
                <w:szCs w:val="20"/>
                <w:color w:val="auto"/>
              </w:rPr>
            </w:pPr>
            <w:r>
              <w:rPr>
                <w:rFonts w:ascii="Arial" w:cs="Arial" w:eastAsia="Arial" w:hAnsi="Arial"/>
                <w:sz w:val="18"/>
                <w:szCs w:val="18"/>
                <w:b w:val="1"/>
                <w:bCs w:val="1"/>
                <w:color w:val="auto"/>
                <w:w w:val="90"/>
              </w:rPr>
              <w:t>Commission File Number 001-39386</w:t>
            </w:r>
          </w:p>
        </w:tc>
        <w:tc>
          <w:tcPr>
            <w:tcW w:w="1240" w:type="dxa"/>
            <w:vAlign w:val="bottom"/>
          </w:tcPr>
          <w:p>
            <w:pPr>
              <w:spacing w:after="0"/>
              <w:rPr>
                <w:sz w:val="20"/>
                <w:szCs w:val="20"/>
                <w:color w:val="auto"/>
              </w:rPr>
            </w:pPr>
          </w:p>
        </w:tc>
      </w:tr>
      <w:tr>
        <w:trPr>
          <w:trHeight w:val="67"/>
        </w:trPr>
        <w:tc>
          <w:tcPr>
            <w:tcW w:w="362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18"/>
        </w:trPr>
        <w:tc>
          <w:tcPr>
            <w:tcW w:w="6180" w:type="dxa"/>
            <w:vAlign w:val="bottom"/>
            <w:gridSpan w:val="3"/>
          </w:tcPr>
          <w:p>
            <w:pPr>
              <w:jc w:val="center"/>
              <w:ind w:left="1816"/>
              <w:spacing w:after="0"/>
              <w:rPr>
                <w:sz w:val="20"/>
                <w:szCs w:val="20"/>
                <w:color w:val="auto"/>
              </w:rPr>
            </w:pPr>
            <w:r>
              <w:rPr>
                <w:rFonts w:ascii="Arial" w:cs="Arial" w:eastAsia="Arial" w:hAnsi="Arial"/>
                <w:sz w:val="18"/>
                <w:szCs w:val="18"/>
                <w:b w:val="1"/>
                <w:bCs w:val="1"/>
                <w:color w:val="auto"/>
              </w:rPr>
              <w:t>ALX ONCOLOGY HOLDINGS INC.</w:t>
            </w:r>
          </w:p>
        </w:tc>
        <w:tc>
          <w:tcPr>
            <w:tcW w:w="1240" w:type="dxa"/>
            <w:vAlign w:val="bottom"/>
          </w:tcPr>
          <w:p>
            <w:pPr>
              <w:spacing w:after="0"/>
              <w:rPr>
                <w:sz w:val="18"/>
                <w:szCs w:val="18"/>
                <w:color w:val="auto"/>
              </w:rPr>
            </w:pPr>
          </w:p>
        </w:tc>
      </w:tr>
      <w:tr>
        <w:trPr>
          <w:trHeight w:val="234"/>
        </w:trPr>
        <w:tc>
          <w:tcPr>
            <w:tcW w:w="6180" w:type="dxa"/>
            <w:vAlign w:val="bottom"/>
            <w:gridSpan w:val="3"/>
          </w:tcPr>
          <w:p>
            <w:pPr>
              <w:jc w:val="center"/>
              <w:ind w:left="1816"/>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240" w:type="dxa"/>
            <w:vAlign w:val="bottom"/>
          </w:tcPr>
          <w:p>
            <w:pPr>
              <w:spacing w:after="0"/>
              <w:rPr>
                <w:sz w:val="20"/>
                <w:szCs w:val="20"/>
                <w:color w:val="auto"/>
              </w:rPr>
            </w:pPr>
          </w:p>
        </w:tc>
      </w:tr>
      <w:tr>
        <w:trPr>
          <w:trHeight w:val="67"/>
        </w:trPr>
        <w:tc>
          <w:tcPr>
            <w:tcW w:w="362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27"/>
        </w:trPr>
        <w:tc>
          <w:tcPr>
            <w:tcW w:w="618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w w:val="91"/>
              </w:rPr>
              <w:t>Delaware</w:t>
            </w:r>
          </w:p>
        </w:tc>
        <w:tc>
          <w:tcPr>
            <w:tcW w:w="1240" w:type="dxa"/>
            <w:vAlign w:val="bottom"/>
          </w:tcPr>
          <w:p>
            <w:pPr>
              <w:jc w:val="right"/>
              <w:ind w:right="61"/>
              <w:spacing w:after="0"/>
              <w:rPr>
                <w:sz w:val="20"/>
                <w:szCs w:val="20"/>
                <w:color w:val="auto"/>
              </w:rPr>
            </w:pPr>
            <w:r>
              <w:rPr>
                <w:rFonts w:ascii="Arial" w:cs="Arial" w:eastAsia="Arial" w:hAnsi="Arial"/>
                <w:sz w:val="18"/>
                <w:szCs w:val="18"/>
                <w:b w:val="1"/>
                <w:bCs w:val="1"/>
                <w:color w:val="auto"/>
              </w:rPr>
              <w:t>85-0642577</w:t>
            </w:r>
          </w:p>
        </w:tc>
      </w:tr>
      <w:tr>
        <w:trPr>
          <w:trHeight w:val="148"/>
        </w:trPr>
        <w:tc>
          <w:tcPr>
            <w:tcW w:w="6180" w:type="dxa"/>
            <w:vAlign w:val="bottom"/>
            <w:gridSpan w:val="3"/>
          </w:tcPr>
          <w:p>
            <w:pPr>
              <w:jc w:val="center"/>
              <w:ind w:right="37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0"/>
        </w:trPr>
        <w:tc>
          <w:tcPr>
            <w:tcW w:w="6180" w:type="dxa"/>
            <w:vAlign w:val="bottom"/>
            <w:gridSpan w:val="3"/>
          </w:tcPr>
          <w:p>
            <w:pPr>
              <w:jc w:val="center"/>
              <w:ind w:right="3700"/>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Identification No.)</w:t>
            </w:r>
          </w:p>
        </w:tc>
      </w:tr>
      <w:tr>
        <w:trPr>
          <w:trHeight w:val="234"/>
        </w:trPr>
        <w:tc>
          <w:tcPr>
            <w:tcW w:w="6180" w:type="dxa"/>
            <w:vAlign w:val="bottom"/>
            <w:gridSpan w:val="3"/>
          </w:tcPr>
          <w:p>
            <w:pPr>
              <w:ind w:left="400"/>
              <w:spacing w:after="0"/>
              <w:rPr>
                <w:sz w:val="20"/>
                <w:szCs w:val="20"/>
                <w:color w:val="auto"/>
              </w:rPr>
            </w:pPr>
            <w:r>
              <w:rPr>
                <w:rFonts w:ascii="Arial" w:cs="Arial" w:eastAsia="Arial" w:hAnsi="Arial"/>
                <w:sz w:val="18"/>
                <w:szCs w:val="18"/>
                <w:b w:val="1"/>
                <w:bCs w:val="1"/>
                <w:color w:val="auto"/>
              </w:rPr>
              <w:t>323 Allerton Avenue</w:t>
            </w:r>
          </w:p>
        </w:tc>
        <w:tc>
          <w:tcPr>
            <w:tcW w:w="1240" w:type="dxa"/>
            <w:vAlign w:val="bottom"/>
          </w:tcPr>
          <w:p>
            <w:pPr>
              <w:spacing w:after="0"/>
              <w:rPr>
                <w:sz w:val="20"/>
                <w:szCs w:val="20"/>
                <w:color w:val="auto"/>
              </w:rPr>
            </w:pPr>
          </w:p>
        </w:tc>
      </w:tr>
      <w:tr>
        <w:trPr>
          <w:trHeight w:val="234"/>
        </w:trPr>
        <w:tc>
          <w:tcPr>
            <w:tcW w:w="6180" w:type="dxa"/>
            <w:vAlign w:val="bottom"/>
            <w:gridSpan w:val="3"/>
          </w:tcPr>
          <w:p>
            <w:pPr>
              <w:jc w:val="center"/>
              <w:ind w:right="3720"/>
              <w:spacing w:after="0"/>
              <w:rPr>
                <w:sz w:val="20"/>
                <w:szCs w:val="20"/>
                <w:color w:val="auto"/>
              </w:rPr>
            </w:pPr>
            <w:r>
              <w:rPr>
                <w:rFonts w:ascii="Arial" w:cs="Arial" w:eastAsia="Arial" w:hAnsi="Arial"/>
                <w:sz w:val="18"/>
                <w:szCs w:val="18"/>
                <w:b w:val="1"/>
                <w:bCs w:val="1"/>
                <w:color w:val="auto"/>
                <w:w w:val="90"/>
              </w:rPr>
              <w:t>South San Francisco, California</w:t>
            </w:r>
          </w:p>
        </w:tc>
        <w:tc>
          <w:tcPr>
            <w:tcW w:w="124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6180" w:type="dxa"/>
            <w:vAlign w:val="bottom"/>
            <w:gridSpan w:val="3"/>
          </w:tcPr>
          <w:p>
            <w:pPr>
              <w:jc w:val="center"/>
              <w:ind w:right="37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650-466-7125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56515</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5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line="151" w:lineRule="exact"/>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4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color w:val="auto"/>
                <w:w w:val="91"/>
              </w:rPr>
              <w:t>Common Stock, par value $0.001 per share</w:t>
            </w:r>
          </w:p>
        </w:tc>
        <w:tc>
          <w:tcPr>
            <w:tcW w:w="120" w:type="dxa"/>
            <w:vAlign w:val="bottom"/>
          </w:tcPr>
          <w:p>
            <w:pPr>
              <w:spacing w:after="0"/>
              <w:rPr>
                <w:sz w:val="13"/>
                <w:szCs w:val="13"/>
                <w:color w:val="auto"/>
              </w:rPr>
            </w:pPr>
          </w:p>
        </w:tc>
        <w:tc>
          <w:tcPr>
            <w:tcW w:w="224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color w:val="auto"/>
              </w:rPr>
              <w:t>ALXO</w:t>
            </w:r>
          </w:p>
        </w:tc>
        <w:tc>
          <w:tcPr>
            <w:tcW w:w="100" w:type="dxa"/>
            <w:vAlign w:val="bottom"/>
          </w:tcPr>
          <w:p>
            <w:pPr>
              <w:spacing w:after="0"/>
              <w:rPr>
                <w:sz w:val="13"/>
                <w:szCs w:val="13"/>
                <w:color w:val="auto"/>
              </w:rPr>
            </w:pPr>
          </w:p>
        </w:tc>
        <w:tc>
          <w:tcPr>
            <w:tcW w:w="438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86"/>
        </w:trPr>
        <w:tc>
          <w:tcPr>
            <w:tcW w:w="452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right="3540"/>
        <w:spacing w:after="0" w:line="21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4"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3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20"/>
        <w:spacing w:after="0" w:line="233"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on June 30, 2021, the last business day of its most recently completed second fiscal quarter, was $960.0 million based on the closing sales price of the Registrant’s common stock on that date. Shares of common stock owned by each executive officer, director, and holder of more than 5% of the Registrant’s common stock have been excluded in that such persons may be deemed to be affiliates of the Registrant. This calculation does not reflect a determination that certain persons are affiliates of the Registrant for any other purpose.</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22, 2022 was 40,630,885.</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21" w:lineRule="exact"/>
        <w:rPr>
          <w:sz w:val="24"/>
          <w:szCs w:val="24"/>
          <w:color w:val="auto"/>
        </w:rPr>
      </w:pPr>
    </w:p>
    <w:p>
      <w:pPr>
        <w:ind w:right="200"/>
        <w:spacing w:after="0" w:line="290" w:lineRule="auto"/>
        <w:rPr>
          <w:sz w:val="20"/>
          <w:szCs w:val="20"/>
          <w:color w:val="auto"/>
        </w:rPr>
      </w:pPr>
      <w:r>
        <w:rPr>
          <w:rFonts w:ascii="Arial" w:cs="Arial" w:eastAsia="Arial" w:hAnsi="Arial"/>
          <w:sz w:val="13"/>
          <w:szCs w:val="13"/>
          <w:color w:val="auto"/>
        </w:rPr>
        <w:t>Certain portions of the registrant's definitive proxy statement relating to the Company's 2022 Annual Meeting of Stockholders, to be filed with the Securities and Exchange Commission within 120 days of the registrant's fiscal year ended December 31, 2021,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146685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00" w:type="dxa"/>
            <w:vAlign w:val="bottom"/>
            <w:gridSpan w:val="9"/>
          </w:tcPr>
          <w:p>
            <w:pPr>
              <w:ind w:left="46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8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line="190" w:lineRule="exact"/>
              <w:rPr>
                <w:rFonts w:ascii="Arial" w:cs="Arial" w:eastAsia="Arial" w:hAnsi="Arial"/>
                <w:sz w:val="18"/>
                <w:szCs w:val="18"/>
                <w:color w:val="0000EE"/>
                <w:w w:val="82"/>
              </w:rPr>
            </w:pPr>
            <w:hyperlink w:anchor="page5">
              <w:r>
                <w:rPr>
                  <w:rFonts w:ascii="Arial" w:cs="Arial" w:eastAsia="Arial" w:hAnsi="Arial"/>
                  <w:sz w:val="18"/>
                  <w:szCs w:val="18"/>
                  <w:color w:val="0000EE"/>
                  <w:w w:val="82"/>
                </w:rPr>
                <w:t>Business</w:t>
              </w:r>
            </w:hyperlink>
          </w:p>
        </w:tc>
        <w:tc>
          <w:tcPr>
            <w:tcW w:w="8780" w:type="dxa"/>
            <w:vAlign w:val="bottom"/>
            <w:gridSpan w:val="20"/>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1A.</w:t>
            </w:r>
          </w:p>
        </w:tc>
        <w:tc>
          <w:tcPr>
            <w:tcW w:w="940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1B.</w:t>
            </w:r>
          </w:p>
        </w:tc>
        <w:tc>
          <w:tcPr>
            <w:tcW w:w="9400" w:type="dxa"/>
            <w:vAlign w:val="bottom"/>
            <w:gridSpan w:val="21"/>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Unresolved Staff Comments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2.</w:t>
            </w:r>
          </w:p>
        </w:tc>
        <w:tc>
          <w:tcPr>
            <w:tcW w:w="2020" w:type="dxa"/>
            <w:vAlign w:val="bottom"/>
            <w:tcBorders>
              <w:top w:val="single" w:sz="8" w:color="0000EE"/>
            </w:tcBorders>
            <w:gridSpan w:val="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Properties</w:t>
              </w:r>
            </w:hyperlink>
          </w:p>
        </w:tc>
        <w:tc>
          <w:tcPr>
            <w:tcW w:w="7380" w:type="dxa"/>
            <w:vAlign w:val="bottom"/>
            <w:gridSpan w:val="1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3.</w:t>
            </w:r>
          </w:p>
        </w:tc>
        <w:tc>
          <w:tcPr>
            <w:tcW w:w="9400" w:type="dxa"/>
            <w:vAlign w:val="bottom"/>
            <w:gridSpan w:val="21"/>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140"/>
              <w:spacing w:after="0"/>
              <w:rPr>
                <w:sz w:val="20"/>
                <w:szCs w:val="20"/>
                <w:color w:val="auto"/>
              </w:rPr>
            </w:pPr>
            <w:r>
              <w:rPr>
                <w:rFonts w:ascii="Arial" w:cs="Arial" w:eastAsia="Arial" w:hAnsi="Arial"/>
                <w:sz w:val="18"/>
                <w:szCs w:val="18"/>
                <w:color w:val="auto"/>
              </w:rPr>
              <w:t>Item 4.</w:t>
            </w:r>
          </w:p>
        </w:tc>
        <w:tc>
          <w:tcPr>
            <w:tcW w:w="9400" w:type="dxa"/>
            <w:vAlign w:val="bottom"/>
            <w:gridSpan w:val="21"/>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479"/>
        </w:trPr>
        <w:tc>
          <w:tcPr>
            <w:tcW w:w="11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8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400" w:type="dxa"/>
            <w:vAlign w:val="bottom"/>
            <w:gridSpan w:val="21"/>
          </w:tcPr>
          <w:p>
            <w:pPr>
              <w:spacing w:after="0" w:line="190" w:lineRule="exact"/>
              <w:rPr>
                <w:rFonts w:ascii="Arial" w:cs="Arial" w:eastAsia="Arial" w:hAnsi="Arial"/>
                <w:sz w:val="18"/>
                <w:szCs w:val="18"/>
                <w:color w:val="0000EE"/>
              </w:rPr>
            </w:pPr>
            <w:hyperlink w:anchor="page102">
              <w:r>
                <w:rPr>
                  <w:rFonts w:ascii="Arial" w:cs="Arial" w:eastAsia="Arial" w:hAnsi="Arial"/>
                  <w:sz w:val="18"/>
                  <w:szCs w:val="18"/>
                  <w:color w:val="0000EE"/>
                </w:rPr>
                <w:t>Market for Registrant’s Common Equity, Related Stockholder Matters and Issuer Purchases of Equity Securities</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6.</w:t>
            </w:r>
          </w:p>
        </w:tc>
        <w:tc>
          <w:tcPr>
            <w:tcW w:w="8040" w:type="dxa"/>
            <w:vAlign w:val="bottom"/>
            <w:tcBorders>
              <w:top w:val="single" w:sz="8" w:color="0000EE"/>
            </w:tcBorders>
            <w:gridSpan w:val="20"/>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[Reserved]</w:t>
              </w:r>
            </w:hyperlink>
          </w:p>
        </w:tc>
        <w:tc>
          <w:tcPr>
            <w:tcW w:w="1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140"/>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Management’s Discussion and Analysis of Financial Condition and Results of Operations</w:t>
              </w:r>
            </w:hyperlink>
          </w:p>
        </w:tc>
        <w:tc>
          <w:tcPr>
            <w:tcW w:w="296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118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15">
              <w:r>
                <w:rPr>
                  <w:rFonts w:ascii="Arial" w:cs="Arial" w:eastAsia="Arial" w:hAnsi="Arial"/>
                  <w:sz w:val="18"/>
                  <w:szCs w:val="18"/>
                  <w:color w:val="0000EE"/>
                  <w:w w:val="91"/>
                </w:rPr>
                <w:t>Quantitative and Qualitative Disclosures About Market Risk</w:t>
              </w:r>
            </w:hyperlink>
          </w:p>
        </w:tc>
        <w:tc>
          <w:tcPr>
            <w:tcW w:w="506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8.</w:t>
            </w:r>
          </w:p>
        </w:tc>
        <w:tc>
          <w:tcPr>
            <w:tcW w:w="9400" w:type="dxa"/>
            <w:vAlign w:val="bottom"/>
            <w:gridSpan w:val="21"/>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Financial Statements and Supplementary Data</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9.</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47">
              <w:r>
                <w:rPr>
                  <w:rFonts w:ascii="Arial" w:cs="Arial" w:eastAsia="Arial" w:hAnsi="Arial"/>
                  <w:sz w:val="18"/>
                  <w:szCs w:val="18"/>
                  <w:color w:val="0000EE"/>
                  <w:w w:val="90"/>
                </w:rPr>
                <w:t>Changes in and Disagreements with Accountants on Accounting and Financial Disclosure</w:t>
              </w:r>
            </w:hyperlink>
          </w:p>
        </w:tc>
        <w:tc>
          <w:tcPr>
            <w:tcW w:w="294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1180" w:type="dxa"/>
            <w:vAlign w:val="bottom"/>
          </w:tcPr>
          <w:p>
            <w:pPr>
              <w:ind w:left="140"/>
              <w:spacing w:after="0"/>
              <w:rPr>
                <w:sz w:val="20"/>
                <w:szCs w:val="20"/>
                <w:color w:val="auto"/>
              </w:rPr>
            </w:pPr>
            <w:r>
              <w:rPr>
                <w:rFonts w:ascii="Arial" w:cs="Arial" w:eastAsia="Arial" w:hAnsi="Arial"/>
                <w:sz w:val="18"/>
                <w:szCs w:val="18"/>
                <w:color w:val="auto"/>
              </w:rPr>
              <w:t>Item 9A.</w:t>
            </w:r>
          </w:p>
        </w:tc>
        <w:tc>
          <w:tcPr>
            <w:tcW w:w="9400" w:type="dxa"/>
            <w:vAlign w:val="bottom"/>
            <w:gridSpan w:val="21"/>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40" w:type="dxa"/>
            <w:vAlign w:val="bottom"/>
            <w:tcBorders>
              <w:top w:val="single" w:sz="8" w:color="0000EE"/>
            </w:tcBorders>
            <w:gridSpan w:val="7"/>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Other Information</w:t>
              </w:r>
            </w:hyperlink>
          </w:p>
        </w:tc>
        <w:tc>
          <w:tcPr>
            <w:tcW w:w="7660" w:type="dxa"/>
            <w:vAlign w:val="bottom"/>
            <w:gridSpan w:val="1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140"/>
              <w:spacing w:after="0"/>
              <w:rPr>
                <w:sz w:val="20"/>
                <w:szCs w:val="20"/>
                <w:color w:val="auto"/>
              </w:rPr>
            </w:pPr>
            <w:r>
              <w:rPr>
                <w:rFonts w:ascii="Arial" w:cs="Arial" w:eastAsia="Arial" w:hAnsi="Arial"/>
                <w:sz w:val="18"/>
                <w:szCs w:val="18"/>
                <w:color w:val="auto"/>
              </w:rPr>
              <w:t>Item 9C.</w:t>
            </w:r>
          </w:p>
        </w:tc>
        <w:tc>
          <w:tcPr>
            <w:tcW w:w="9400" w:type="dxa"/>
            <w:vAlign w:val="bottom"/>
            <w:gridSpan w:val="21"/>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Disclosure Regarding Foreign Jurisdictions that Prevent Inspections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479"/>
        </w:trPr>
        <w:tc>
          <w:tcPr>
            <w:tcW w:w="118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8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400" w:type="dxa"/>
            <w:vAlign w:val="bottom"/>
            <w:gridSpan w:val="21"/>
          </w:tcPr>
          <w:p>
            <w:pPr>
              <w:spacing w:after="0" w:line="190" w:lineRule="exact"/>
              <w:rPr>
                <w:rFonts w:ascii="Arial" w:cs="Arial" w:eastAsia="Arial" w:hAnsi="Arial"/>
                <w:sz w:val="18"/>
                <w:szCs w:val="18"/>
                <w:color w:val="0000EE"/>
              </w:rPr>
            </w:pPr>
            <w:hyperlink w:anchor="page149">
              <w:r>
                <w:rPr>
                  <w:rFonts w:ascii="Arial" w:cs="Arial" w:eastAsia="Arial" w:hAnsi="Arial"/>
                  <w:sz w:val="18"/>
                  <w:szCs w:val="18"/>
                  <w:color w:val="0000EE"/>
                </w:rPr>
                <w:t>Directors, Executive Officers and Corporate Governance</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11.</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49">
              <w:r>
                <w:rPr>
                  <w:rFonts w:ascii="Arial" w:cs="Arial" w:eastAsia="Arial" w:hAnsi="Arial"/>
                  <w:sz w:val="18"/>
                  <w:szCs w:val="18"/>
                  <w:color w:val="0000EE"/>
                  <w:w w:val="88"/>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340" w:type="dxa"/>
            <w:vAlign w:val="bottom"/>
            <w:gridSpan w:val="8"/>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0"/>
        </w:trPr>
        <w:tc>
          <w:tcPr>
            <w:tcW w:w="1180" w:type="dxa"/>
            <w:vAlign w:val="bottom"/>
          </w:tcPr>
          <w:p>
            <w:pPr>
              <w:ind w:left="140"/>
              <w:spacing w:after="0"/>
              <w:rPr>
                <w:sz w:val="20"/>
                <w:szCs w:val="20"/>
                <w:color w:val="auto"/>
              </w:rPr>
            </w:pPr>
            <w:r>
              <w:rPr>
                <w:rFonts w:ascii="Arial" w:cs="Arial" w:eastAsia="Arial" w:hAnsi="Arial"/>
                <w:sz w:val="18"/>
                <w:szCs w:val="18"/>
                <w:color w:val="auto"/>
              </w:rPr>
              <w:t>Item 12.</w:t>
            </w:r>
          </w:p>
        </w:tc>
        <w:tc>
          <w:tcPr>
            <w:tcW w:w="9400" w:type="dxa"/>
            <w:vAlign w:val="bottom"/>
            <w:gridSpan w:val="21"/>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Security Ownership of Certain Beneficial Owners and Management and Related Stockholder Matters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9"/>
        </w:trPr>
        <w:tc>
          <w:tcPr>
            <w:tcW w:w="1180" w:type="dxa"/>
            <w:vAlign w:val="bottom"/>
          </w:tcPr>
          <w:p>
            <w:pPr>
              <w:ind w:left="140"/>
              <w:spacing w:after="0"/>
              <w:rPr>
                <w:sz w:val="20"/>
                <w:szCs w:val="20"/>
                <w:color w:val="auto"/>
              </w:rPr>
            </w:pPr>
            <w:r>
              <w:rPr>
                <w:rFonts w:ascii="Arial" w:cs="Arial" w:eastAsia="Arial" w:hAnsi="Arial"/>
                <w:sz w:val="18"/>
                <w:szCs w:val="18"/>
                <w:color w:val="auto"/>
              </w:rPr>
              <w:t>Item 13.</w:t>
            </w:r>
          </w:p>
        </w:tc>
        <w:tc>
          <w:tcPr>
            <w:tcW w:w="7260" w:type="dxa"/>
            <w:vAlign w:val="bottom"/>
            <w:tcBorders>
              <w:top w:val="single" w:sz="8" w:color="0000EE"/>
            </w:tcBorders>
            <w:gridSpan w:val="19"/>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Certain Relationships and Related Transactions, and Director Independence</w:t>
              </w:r>
            </w:hyperlink>
          </w:p>
        </w:tc>
        <w:tc>
          <w:tcPr>
            <w:tcW w:w="21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0"/>
        </w:trPr>
        <w:tc>
          <w:tcPr>
            <w:tcW w:w="118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20" w:type="dxa"/>
            <w:vAlign w:val="bottom"/>
            <w:tcBorders>
              <w:top w:val="single" w:sz="8" w:color="0000EE"/>
            </w:tcBorders>
            <w:gridSpan w:val="16"/>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Principal Accounting Fees and Services</w:t>
              </w:r>
            </w:hyperlink>
          </w:p>
        </w:tc>
        <w:tc>
          <w:tcPr>
            <w:tcW w:w="398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479"/>
        </w:trPr>
        <w:tc>
          <w:tcPr>
            <w:tcW w:w="118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8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288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w:anchor="page150">
              <w:r>
                <w:rPr>
                  <w:rFonts w:ascii="Arial" w:cs="Arial" w:eastAsia="Arial" w:hAnsi="Arial"/>
                  <w:sz w:val="18"/>
                  <w:szCs w:val="18"/>
                  <w:color w:val="0000EE"/>
                  <w:w w:val="89"/>
                </w:rPr>
                <w:t>Exhibits, Financial Statement Schedules</w:t>
              </w:r>
            </w:hyperlink>
          </w:p>
        </w:tc>
        <w:tc>
          <w:tcPr>
            <w:tcW w:w="6520" w:type="dxa"/>
            <w:vAlign w:val="bottom"/>
            <w:gridSpan w:val="10"/>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1180" w:type="dxa"/>
            <w:vAlign w:val="bottom"/>
          </w:tcPr>
          <w:p>
            <w:pPr>
              <w:ind w:left="140"/>
              <w:spacing w:after="0"/>
              <w:rPr>
                <w:sz w:val="20"/>
                <w:szCs w:val="20"/>
                <w:color w:val="auto"/>
              </w:rPr>
            </w:pPr>
            <w:r>
              <w:rPr>
                <w:rFonts w:ascii="Arial" w:cs="Arial" w:eastAsia="Arial" w:hAnsi="Arial"/>
                <w:sz w:val="18"/>
                <w:szCs w:val="18"/>
                <w:color w:val="auto"/>
              </w:rPr>
              <w:t>Item 16.</w:t>
            </w:r>
          </w:p>
        </w:tc>
        <w:tc>
          <w:tcPr>
            <w:tcW w:w="9400" w:type="dxa"/>
            <w:vAlign w:val="bottom"/>
            <w:gridSpan w:val="21"/>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Form 10-K Summary</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7880" w:type="dxa"/>
            <w:vAlign w:val="bottom"/>
            <w:gridSpan w:val="1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8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154">
              <w:r>
                <w:rPr>
                  <w:rFonts w:ascii="Arial" w:cs="Arial" w:eastAsia="Arial" w:hAnsi="Arial"/>
                  <w:sz w:val="18"/>
                  <w:szCs w:val="18"/>
                  <w:b w:val="1"/>
                  <w:bCs w:val="1"/>
                  <w:color w:val="0000EE"/>
                  <w:w w:val="96"/>
                </w:rPr>
                <w:t>SIGNATURES</w:t>
              </w:r>
            </w:hyperlink>
          </w:p>
        </w:tc>
        <w:tc>
          <w:tcPr>
            <w:tcW w:w="9400" w:type="dxa"/>
            <w:vAlign w:val="bottom"/>
            <w:gridSpan w:val="21"/>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This Annual Report on Form 10-K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w:t>
      </w:r>
    </w:p>
    <w:p>
      <w:pPr>
        <w:spacing w:after="0" w:line="89" w:lineRule="exact"/>
        <w:rPr>
          <w:sz w:val="20"/>
          <w:szCs w:val="20"/>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117"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128" w:lineRule="exact"/>
        <w:rPr>
          <w:rFonts w:ascii="Arial" w:cs="Arial" w:eastAsia="Arial" w:hAnsi="Arial"/>
          <w:sz w:val="17"/>
          <w:szCs w:val="17"/>
          <w:color w:val="auto"/>
        </w:rPr>
      </w:pPr>
    </w:p>
    <w:p>
      <w:pPr>
        <w:ind w:left="1460" w:right="280" w:hanging="440"/>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the geographic areas of focus and our ability to grow a sales team;</w:t>
      </w:r>
    </w:p>
    <w:p>
      <w:pPr>
        <w:spacing w:after="0" w:line="62"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rFonts w:ascii="Arial" w:cs="Arial" w:eastAsia="Arial" w:hAnsi="Arial"/>
          <w:sz w:val="18"/>
          <w:szCs w:val="18"/>
          <w:color w:val="auto"/>
        </w:rPr>
      </w:pPr>
    </w:p>
    <w:p>
      <w:pPr>
        <w:ind w:left="1460" w:right="200" w:hanging="440"/>
        <w:spacing w:after="0" w:line="263"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75"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preclinical research activities, and for the manufacture of our product candidates;</w:t>
      </w:r>
    </w:p>
    <w:p>
      <w:pPr>
        <w:spacing w:after="0" w:line="117"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and the reporting of data from those trials;</w:t>
      </w:r>
    </w:p>
    <w:p>
      <w:pPr>
        <w:spacing w:after="0" w:line="117"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17"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product candidates, and other positive results;</w:t>
      </w:r>
    </w:p>
    <w:p>
      <w:pPr>
        <w:spacing w:after="0" w:line="117"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117" w:lineRule="exact"/>
        <w:rPr>
          <w:rFonts w:ascii="Arial" w:cs="Arial" w:eastAsia="Arial" w:hAnsi="Arial"/>
          <w:sz w:val="18"/>
          <w:szCs w:val="18"/>
          <w:color w:val="auto"/>
        </w:rPr>
      </w:pPr>
    </w:p>
    <w:p>
      <w:pPr>
        <w:ind w:left="1460" w:right="360" w:hanging="440"/>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that we may pursue;</w:t>
      </w:r>
    </w:p>
    <w:p>
      <w:pPr>
        <w:spacing w:after="0" w:line="62"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17" w:lineRule="exact"/>
        <w:rPr>
          <w:rFonts w:ascii="Arial" w:cs="Arial" w:eastAsia="Arial" w:hAnsi="Arial"/>
          <w:sz w:val="18"/>
          <w:szCs w:val="18"/>
          <w:color w:val="auto"/>
        </w:rPr>
      </w:pPr>
    </w:p>
    <w:p>
      <w:pPr>
        <w:ind w:left="1460" w:right="320" w:hanging="440"/>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62" w:lineRule="exact"/>
        <w:rPr>
          <w:rFonts w:ascii="Arial" w:cs="Arial" w:eastAsia="Arial" w:hAnsi="Arial"/>
          <w:sz w:val="18"/>
          <w:szCs w:val="18"/>
          <w:color w:val="auto"/>
        </w:rPr>
      </w:pPr>
    </w:p>
    <w:p>
      <w:pPr>
        <w:ind w:left="1460" w:right="320" w:hanging="440"/>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w:t>
      </w:r>
    </w:p>
    <w:p>
      <w:pPr>
        <w:spacing w:after="0" w:line="62" w:lineRule="exact"/>
        <w:rPr>
          <w:rFonts w:ascii="Arial" w:cs="Arial" w:eastAsia="Arial" w:hAnsi="Arial"/>
          <w:sz w:val="18"/>
          <w:szCs w:val="18"/>
          <w:color w:val="auto"/>
        </w:rPr>
      </w:pPr>
    </w:p>
    <w:p>
      <w:pPr>
        <w:ind w:left="1460" w:hanging="440"/>
        <w:spacing w:after="0"/>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1460" w:right="300" w:hanging="440"/>
        <w:spacing w:after="0" w:line="277"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62" w:lineRule="exact"/>
        <w:rPr>
          <w:rFonts w:ascii="Arial" w:cs="Arial" w:eastAsia="Arial" w:hAnsi="Arial"/>
          <w:sz w:val="18"/>
          <w:szCs w:val="18"/>
          <w:color w:val="auto"/>
        </w:rPr>
      </w:pPr>
    </w:p>
    <w:p>
      <w:pPr>
        <w:ind w:left="1460" w:hanging="440"/>
        <w:spacing w:after="0"/>
        <w:tabs>
          <w:tab w:leader="none" w:pos="1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128" w:lineRule="exact"/>
        <w:rPr>
          <w:rFonts w:ascii="Arial" w:cs="Arial" w:eastAsia="Arial" w:hAnsi="Arial"/>
          <w:sz w:val="17"/>
          <w:szCs w:val="17"/>
          <w:color w:val="auto"/>
        </w:rPr>
      </w:pPr>
    </w:p>
    <w:p>
      <w:pPr>
        <w:ind w:left="1460" w:hanging="44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impact of the ongoing COVID-19 pandemic on our business;</w:t>
      </w:r>
    </w:p>
    <w:p>
      <w:pPr>
        <w:spacing w:after="0" w:line="117" w:lineRule="exact"/>
        <w:rPr>
          <w:rFonts w:ascii="Arial" w:cs="Arial" w:eastAsia="Arial" w:hAnsi="Arial"/>
          <w:sz w:val="18"/>
          <w:szCs w:val="18"/>
          <w:color w:val="auto"/>
        </w:rPr>
      </w:pPr>
    </w:p>
    <w:p>
      <w:pPr>
        <w:ind w:left="1460" w:right="140" w:hanging="440"/>
        <w:spacing w:after="0" w:line="277"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for and prospects of our acquisitions and other business development activities, and our ability to successfully capitalize on these opportunities; and</w:t>
      </w:r>
    </w:p>
    <w:p>
      <w:pPr>
        <w:spacing w:after="0" w:line="62" w:lineRule="exact"/>
        <w:rPr>
          <w:rFonts w:ascii="Arial" w:cs="Arial" w:eastAsia="Arial" w:hAnsi="Arial"/>
          <w:sz w:val="18"/>
          <w:szCs w:val="18"/>
          <w:color w:val="auto"/>
        </w:rPr>
      </w:pPr>
    </w:p>
    <w:p>
      <w:pPr>
        <w:ind w:left="1460" w:hanging="44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our anticipated use of our existing cash and cash equivalents.</w:t>
      </w:r>
    </w:p>
    <w:p>
      <w:pPr>
        <w:spacing w:after="0" w:line="225"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Annual Report, whether as a result of any new information, future events or otherwise.</w:t>
      </w:r>
    </w:p>
    <w:p>
      <w:pPr>
        <w:spacing w:after="0" w:line="18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89"/>
        <w:spacing w:after="0" w:line="267"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a pipeline of product candidates based on expertise in protein engineering and oncology led by the CD47 blocker, evorpacept (evorpacept is the recommended United States Adopted Name (USAN); this product is also known as ALX148), currently in phase 1 and 2 clinical trials.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evorpacept will have a wide therapeutic window to block the “don’t eat me” signal on cancer cells, and will leverage the immune activation of broadly used anti-cancer agents through combination strategies. As of December 31, 2021, we had dosed over 185 subjects with evorpacept across a range of hematologic and solid malignancies in combination with a number of leading anti-cancer agents. We plan to initiate additional studies in combination with leading anti-cancer agents. In solid tumors, we have initiated two randomized Phase 2 trials of evorpacept for the treatment of first-line advanced head and neck squamous cell carcinoma, or HNSCC, and enrolled the first subject in the first trial in May 2021 and enrolled the first subject in the second trial in July 2021. Our collaborator, Zymeworks, also initiated a Phase 1 trial for the treatment of advanced HER2-expressing breast cancer and enrolled the first subject in October 2021. We intend to initiate a randomized Phase 2 trial of evorpacept for the treatment of second-line advanced HER2-overexpressing gastric/gastroesophageal junction, or GEJ, cancer in the first quarter of 2022. In hematologic malignancies, we have dosed 13 subjects with myelodysplastic syndromes, or MDS, and also advanced evorpacept into clinical development for the treatment of acute myeloid leukemia, or AML, enrolling the first patient in a Phase 1 trial in October 2021. Based on our early clinical results to date in multiple oncology indications showing encouraging anti-tumor activity and tolerability and our clinical development plans, our strategy is to pursue evorpacept as a potentially critical component of future oncology combination treatments. Our second program, which is a collaboration between ALX Oncology (ALX) and Tallac Therapeutics (Tallac), combines our company’s SIRPα antibodies with Tallac’s toll-like receptor 9 agonist antibody conjugate to deliver ALTA-002, a potent immune activator to myeloid cells in the tumor to promote innate and adaptive anti-cancer immune responses. This novel Toll-like receptor agonist antibody conjugation platform (TRAAC) enables systemic delivery of targeted TLR9 activation. An IND for ALTA-002 is planned for 2023. Additionally, with our recent acquisition of ScalmiBio, Inc, we seek to expand our pipeline of drug candidates to antibody drug conjugates based on expertise in protein engineering and oncology.</w:t>
      </w:r>
    </w:p>
    <w:p>
      <w:pPr>
        <w:spacing w:after="0" w:line="184" w:lineRule="exact"/>
        <w:rPr>
          <w:sz w:val="20"/>
          <w:szCs w:val="20"/>
          <w:color w:val="auto"/>
        </w:rPr>
      </w:pPr>
    </w:p>
    <w:p>
      <w:pPr>
        <w:ind w:right="100" w:firstLine="589"/>
        <w:spacing w:after="0" w:line="288" w:lineRule="auto"/>
        <w:rPr>
          <w:sz w:val="20"/>
          <w:szCs w:val="20"/>
          <w:color w:val="auto"/>
        </w:rPr>
      </w:pPr>
      <w:r>
        <w:rPr>
          <w:rFonts w:ascii="Arial" w:cs="Arial" w:eastAsia="Arial" w:hAnsi="Arial"/>
          <w:sz w:val="16"/>
          <w:szCs w:val="16"/>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ind w:right="140" w:firstLine="589"/>
        <w:spacing w:after="0" w:line="291" w:lineRule="auto"/>
        <w:rPr>
          <w:sz w:val="20"/>
          <w:szCs w:val="20"/>
          <w:color w:val="auto"/>
        </w:rPr>
      </w:pPr>
      <w:r>
        <w:rPr>
          <w:rFonts w:ascii="Arial" w:cs="Arial" w:eastAsia="Arial" w:hAnsi="Arial"/>
          <w:sz w:val="16"/>
          <w:szCs w:val="16"/>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by designing a CD47 blocker with an inactivated Fc region. Clinical data on competing CD47 blockers to date have come from molecules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166"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Our lead product candidate, 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that is the natural receptor to CD47 found on myeloid cells.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spacing w:after="0" w:line="195"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Evorpacept’s design has several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and greater combination potential with other leading anti-cancer agents. Additionally, the molecular weight of evorpacept is half that of a typical antibody. The relatively smaller size of our molecule may facilitate increased penetrance into the tumor microenvironment. We believe these properties may enable evorpacept to provide superior therapeutic benefits.</w:t>
      </w:r>
    </w:p>
    <w:p>
      <w:pPr>
        <w:spacing w:after="0" w:line="161" w:lineRule="exact"/>
        <w:rPr>
          <w:sz w:val="20"/>
          <w:szCs w:val="20"/>
          <w:color w:val="auto"/>
        </w:rPr>
      </w:pPr>
    </w:p>
    <w:p>
      <w:pPr>
        <w:jc w:val="both"/>
        <w:ind w:right="260" w:firstLine="589"/>
        <w:spacing w:after="0" w:line="311" w:lineRule="auto"/>
        <w:rPr>
          <w:sz w:val="20"/>
          <w:szCs w:val="20"/>
          <w:color w:val="auto"/>
        </w:rPr>
      </w:pPr>
      <w:r>
        <w:rPr>
          <w:rFonts w:ascii="Arial" w:cs="Arial" w:eastAsia="Arial" w:hAnsi="Arial"/>
          <w:sz w:val="16"/>
          <w:szCs w:val="16"/>
          <w:color w:val="auto"/>
        </w:rPr>
        <w:t>Clinical data to date in evorpacept have not shown dose-dependent hematologic toxicities, which are characteristic of other CD47 blockers that incorporate an active Fc domain. Over 185 subjects have been treated with evorpacept in combination with targeted anti-cancer agents, small molecules, and checkpoint inhibitors as of December 31, 2021. Evorpacept has not reached a maximum tolerated dose in any of the combinations evaluated to date.</w:t>
      </w:r>
    </w:p>
    <w:p>
      <w:pPr>
        <w:spacing w:after="0" w:line="149"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In our first-in-human (FIH) Phase 1b trial of evorpacept in combination with an anti-CD20 agent, rituximab, to treat subjects with relapsed/refractory non-Hodgkin’s lymphoma, or NHL, evorpacept demonstrated a higher response rate at higher doses and achieved a 70.0% objective response rate, or ORR, in the highest dose (15 mg/kg once per week, or QW, cohort as compared to a 40.9% ORR at the lower dose (10 mg/kg QW) cohort. We view this ORR as compelling evidence for the role of evorpacept in treating hematologic malignancies and as a favorable comparison to outcomes reported by other CD47 blocking agents in a similar patient population. Furthermore, other CD47 blocking agents in development have demonstrated clinical evidence supporting the role of CD47 blockade in treating hematologic malignances, specifically in both MDS and AML, albeit with high rates of cytopenias. We initially conducted preclinical studies of evorpacept combined with azacitidine or venetoclax that support our clinical development plan in MDS and AML. Azacitidine is a standard of care agent for the treatment of MDS. Azacitidine and venetoclax are both standard of care regimen components for the treatment of AML in older patients and those who are not candidates for intensive induction chemotherapy due to comorbidities. We have conducted preclinical studies that show that azacitidine and venetoclax increase both the display of the “eat me” signal calreticulin and the “don’t eat me” signal CD47 on AML cells, suggesting that a CD47 blocking agent could maximize the activity of venetoclax and azacitidine in these models. Additionally, we have shown that azacitidine and evorpacept in combination produce increased phagocytosis in vitro and anti-tumor activity in mouse models compared to azacitidine alone.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ind w:firstLine="589"/>
        <w:spacing w:after="0" w:line="275" w:lineRule="auto"/>
        <w:rPr>
          <w:sz w:val="20"/>
          <w:szCs w:val="20"/>
          <w:color w:val="auto"/>
        </w:rPr>
      </w:pPr>
      <w:r>
        <w:rPr>
          <w:rFonts w:ascii="Arial" w:cs="Arial" w:eastAsia="Arial" w:hAnsi="Arial"/>
          <w:sz w:val="17"/>
          <w:szCs w:val="17"/>
          <w:color w:val="auto"/>
        </w:rPr>
        <w:t>Furthermore, we have demonstrated that combination treatment of evorpacept with azacitidine and/or venetoclax leads to tumor elimination and prolonged survival in leukemia mouse models. In October 2020, the first subjects received evorpacept in ASPEN-02, a Phase 1b/2 trial in combination with azacitidine for the treatment of subjects with higher-risk MDS. Initial Phase 1a clinical data from the ASPEN-02 trial was presented at the 63</w:t>
      </w:r>
      <w:r>
        <w:rPr>
          <w:rFonts w:ascii="Arial" w:cs="Arial" w:eastAsia="Arial" w:hAnsi="Arial"/>
          <w:sz w:val="14"/>
          <w:szCs w:val="14"/>
          <w:color w:val="auto"/>
        </w:rPr>
        <w:t>rd</w:t>
      </w:r>
      <w:r>
        <w:rPr>
          <w:rFonts w:ascii="Arial" w:cs="Arial" w:eastAsia="Arial" w:hAnsi="Arial"/>
          <w:sz w:val="17"/>
          <w:szCs w:val="17"/>
          <w:color w:val="auto"/>
        </w:rPr>
        <w:t xml:space="preserve"> American Society of Hematology (ASH) Annual Meeting in December 2021. We also advanced evorpacept into a Phase 1/2 trial in combination with venetoclax and azacitidine for the first-line treatment of subjects with AML in October of 2021.</w:t>
      </w:r>
    </w:p>
    <w:p>
      <w:pPr>
        <w:spacing w:after="0" w:line="176" w:lineRule="exact"/>
        <w:rPr>
          <w:sz w:val="20"/>
          <w:szCs w:val="20"/>
          <w:color w:val="auto"/>
        </w:rPr>
      </w:pPr>
    </w:p>
    <w:p>
      <w:pPr>
        <w:ind w:firstLine="589"/>
        <w:spacing w:after="0" w:line="267" w:lineRule="auto"/>
        <w:rPr>
          <w:sz w:val="20"/>
          <w:szCs w:val="20"/>
          <w:color w:val="auto"/>
        </w:rPr>
      </w:pPr>
      <w:r>
        <w:rPr>
          <w:rFonts w:ascii="Arial" w:cs="Arial" w:eastAsia="Arial" w:hAnsi="Arial"/>
          <w:sz w:val="17"/>
          <w:szCs w:val="17"/>
          <w:color w:val="auto"/>
        </w:rPr>
        <w:t>Evorpacept has also generated clinical data in solid tumors in various combinations, including with a leading tumor antigen targeting antibody, a leading checkpoint inhibitor and chemotherapy. We believe that evorpacept induces multiple responses that bridge innate and adaptive immunity. We are investigating evorpacept for the treatment of advanced head and neck squamous cell carcinoma, or HNSCC, human epidermal growth factor receptor 2, or HER2-positive advanced gastric/GEJ carcinoma, and HER2-expressing breast cancer and other solid tumors. In the FIH Phase 1b clinical trial, evorpacept demonstrated both objective clinical response per the Response Evaluation Criteria in Solid Tumors, or RECIST, criteria and tolerability in combination with other broadly used cancer agents. Based on these results, the Food and Drug Administration, or the FDA, has granted Fast Track designation for evorpacept in combination with pembrolizumab, platinum, and fluorouracil for the first-line treatment of adult patients with metastatic or unresectable, recurrent HNSCC (February 2020) and for evorpacept in combination with trastuzumab, ramucirumab and paclitaxel for the treatment of patients with HER2 overexpressing advanced gastric or GEJ adenocarcinoma with disease progression on or after prior trastuzumab, and fluoropyrimidine or platinum-containing chemotherapy (January 2020). While other CD47 blockers have failed to achieve meaningful clinical activity in the treatment of solid tumors, we believe evorpacept’s properties, including favorable tolerability and ability to escalate to higher doses, coupled with high affinity and small size for enhanced solid tumor penetration, may underlie the observed anti-tumor activity in solid tumors. In 2021, we advanced evorpacept into two randomized Phase 2 trials in patients with previously untreated advanced HNSCC in combination with pembrolizumab, marketed as KEYTRUDAÒ, the market leading anti-programmed cell death protein-1, or PD-1, checkpoint inhibitor, with or without chemotherapy. These trials are being conducted in collaboration with Merck. We are also planning to advance evorpacept into randomized Phase 2 trials in subjects with previously treated advanced HER2-positive gastric/GEJ carcinoma in combination with trastuzumab, marketed as HERCEPTINÒ, the market-leading anti-HER2 antibody, with the second line standard of care, ramucirumab, marketed as CYRAMZAÒ, plus paclitaxel in the first quarter of 2022. These trials will be conducted in collaboration with Eli Lilly. In January 2022, the FDA’s Office of Orphan Products Development granted Orphan Drug Designation to evorpacept for the treatment of patients with gastric/GEJ cancer. We entered into a clinical trial collaboration with Zymeworks to initiate a Phase 1 trial of evorpacept in combination with Zymeworks’ HER2-targeted bispecific antibody zanidatamab for the treatment of patients with HER2-expressing breast cancer and other solid tumors and the first patient was enrolled in October of 2021. In our collaborations will Merck, Eli Lilly, and Zymeworks, ALX Oncology has maintained worldwide commercial rights to evorpacept.</w:t>
      </w:r>
    </w:p>
    <w:p>
      <w:pPr>
        <w:spacing w:after="0" w:line="184"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Our team of industry veterans plans to continue to advance a broad development plan for evorpacept that balances speed to market, scale of unmet need and existing clinical evidence for evorpacept’s combination mechanisms. Members of our management team have brought multiple drugs to the FDA approval. Our President, Chief Executive Officer and founder, Jaume Pons, Ph.D., was Chief Science Officer of Rinat (a subsidiary of Pfizer), invented fremanezumab (the FDA approved in 2018), tanezumab (Biologics License Application, or BLA, filed in 2020) and additional antibodies in late-stage development at Pfizer and advanced nine more drugs into human trials. Our Chief Medical Officer, Sophia Randolph, M.D., Ph.D., was the global clinical franchise lead for IBRANCEÒ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Peter Garcia, has over 20 years of experience guiding public and private life science companies and has raised over $2.0 billion in debt and equity offerings. We have funded ALX Oncology to date primarily through the issuance and sale of our convertible preferred stock and the issuance and sale of our common stock through an initial public offering in July 2020 and a follow-on public offering in December 2020.</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goal is to transform treatment options for patients with cancer by developing evorpacept as a foundational checkpoint immunotherapy.</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Key elements of our strategy to support this goal include:</w:t>
      </w:r>
    </w:p>
    <w:p>
      <w:pPr>
        <w:spacing w:after="0" w:line="113" w:lineRule="exact"/>
        <w:rPr>
          <w:sz w:val="20"/>
          <w:szCs w:val="20"/>
          <w:color w:val="auto"/>
        </w:rPr>
      </w:pPr>
    </w:p>
    <w:p>
      <w:pPr>
        <w:ind w:left="1160" w:hanging="572"/>
        <w:spacing w:after="0" w:line="286"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Expanding the therapeutic potential of CD47 blockade into solid tumors. </w:t>
      </w:r>
      <w:r>
        <w:rPr>
          <w:rFonts w:ascii="Arial" w:cs="Arial" w:eastAsia="Arial" w:hAnsi="Arial"/>
          <w:sz w:val="16"/>
          <w:szCs w:val="16"/>
          <w:color w:val="auto"/>
        </w:rPr>
        <w:t>We believe evorpacept can overcome the limitations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other CD47 blocking approaches in solid tumors. We have generated encouraging early clinical data in subjects with advanced HNSCC treated with evorpacept in combination with a PD-1 checkpoint inhibitor with and without chemotherapy as well as in subjects with advanced HER2-positive gastric/GEJ cancer, who have progressed on prior HER2-targeted therapy, treated in combination with a HER2-targeted antibody with ramucirumab and chemotherapy. The FDA has granted Fast Track designation for evorpacept in combination pembrolizumab, platinum, and fluorouracil for the first-line treatment of adult patients with metastatic or unresectable, recurrent HNSCC (February 2020) and for evorpacept in combination with trastuzumab, ramucirumab and paclitaxel for the treatment of patients with HER2-overexpressing advanced gastric or GEJ adenocarcinoma with disease progression on or after prior trastuzumab, and fluoropyrimidine or platinum-containing chemotherapy (January 2020). On 27 January 2022, the FDA’s Office of Orphan Products Development granted Orphan Drug Designation to evorpacept for treatment for gastric/GEJ cancer. Our Phase 2 studies of evorpacept in combination with pembrolizumab with and without chemotherapy in HNSCC are designed to potentially support registration via the FDA’s accelerated approval pathway if the outcomes are positive. We are also planning a randomized Phase 2 trial of evorpacept, trastuzumab, ramucirumab and chemotherapy in second and third-line HER2-positive gastric/GEJ cancer. Additionally, Zymeworks initiated a Phase 1 trial of evorpacept in patients with HER2-expressing breast cancer and other solid tumors in combination with zanidatamab.</w:t>
      </w:r>
    </w:p>
    <w:p>
      <w:pPr>
        <w:spacing w:after="0" w:line="62" w:lineRule="exact"/>
        <w:rPr>
          <w:rFonts w:ascii="Arial" w:cs="Arial" w:eastAsia="Arial" w:hAnsi="Arial"/>
          <w:sz w:val="16"/>
          <w:szCs w:val="16"/>
          <w:color w:val="auto"/>
        </w:rPr>
      </w:pPr>
    </w:p>
    <w:p>
      <w:pPr>
        <w:ind w:left="1160" w:right="20" w:hanging="572"/>
        <w:spacing w:after="0" w:line="289"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Advance our lead product candidate, evorpacept, through clinical development for MDS and AML. </w:t>
      </w:r>
      <w:r>
        <w:rPr>
          <w:rFonts w:ascii="Arial" w:cs="Arial" w:eastAsia="Arial" w:hAnsi="Arial"/>
          <w:sz w:val="16"/>
          <w:szCs w:val="16"/>
          <w:color w:val="auto"/>
        </w:rPr>
        <w:t>We have initiated a Phase 1b/2</w:t>
      </w:r>
      <w:r>
        <w:rPr>
          <w:rFonts w:ascii="Arial" w:cs="Arial" w:eastAsia="Arial" w:hAnsi="Arial"/>
          <w:sz w:val="16"/>
          <w:szCs w:val="16"/>
          <w:b w:val="1"/>
          <w:bCs w:val="1"/>
          <w:color w:val="auto"/>
        </w:rPr>
        <w:t xml:space="preserve"> </w:t>
      </w:r>
      <w:r>
        <w:rPr>
          <w:rFonts w:ascii="Arial" w:cs="Arial" w:eastAsia="Arial" w:hAnsi="Arial"/>
          <w:sz w:val="16"/>
          <w:szCs w:val="16"/>
          <w:color w:val="auto"/>
        </w:rPr>
        <w:t>trial of evorpacept, in combination with azacitidine, for the treatment of patients with relapsed/refractory or previously untreated higher risk MDS who are considered suitable candidates for treatment with single-agent azacitidine, and a Phase 1/2 trial in combination with venetoclax and azacitidine for treatment of patients with AML that are relapsed/refractory (Phase 1a and 1b) or previously untreated and who are not considered suitable candidates for intensive therapy (Phase 1a and 2). We intend to pursue a strategy in which we will leverage the data generated from this Phase 1b/2 study to request from the FDA that evorpacept be a candidate for registration for the first line treatment of higher risk MDS. Similarly, we believe evorpacept combination therapies could address the significant unmet need for more active tolerable regimens in the majority of patients with AML who are not fit for intensive induction chemotherapy. While we plan to seek approval by the FDA for the use of evorpacept in higher risk MDS, and potentially AML, and may do so opportunistically for other indications in the future, there is no assurance that this approach will be successful for these as well as other indications.</w:t>
      </w:r>
    </w:p>
    <w:p>
      <w:pPr>
        <w:spacing w:after="0" w:line="52" w:lineRule="exact"/>
        <w:rPr>
          <w:rFonts w:ascii="Arial" w:cs="Arial" w:eastAsia="Arial" w:hAnsi="Arial"/>
          <w:sz w:val="16"/>
          <w:szCs w:val="16"/>
          <w:color w:val="auto"/>
        </w:rPr>
      </w:pPr>
    </w:p>
    <w:p>
      <w:pPr>
        <w:ind w:left="1160" w:hanging="572"/>
        <w:spacing w:after="0" w:line="256"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8"/>
          <w:szCs w:val="18"/>
          <w:color w:val="auto"/>
        </w:rPr>
        <w:t>We specialize in designing and developing drug candidates that engage the immune system. We are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a pipeline of immuno-oncology programs that represent complementary, but differentiated, approaches to engaging the innate and adaptive immune systems. With our collaboration with Tallac, novel Toll-like receptor agonist antibody conjugation platform (TRAAC) enables systemic delivery of targeted TLR9 activation. Additionally, with our recent acquisition of ScalmiBio, we seek to expand our pipeline of drug candidates.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 w:name="page9"/>
    <w:bookmarkEnd w:id="8"/>
    <w:p>
      <w:pPr>
        <w:ind w:left="1160" w:hanging="572"/>
        <w:spacing w:after="0" w:line="269" w:lineRule="auto"/>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Continuing to develop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have in the past and may in the future partner with</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companies with complementary resources that will maximize the value of our current and future product candidates. Such partnerships may allow us to pair evorpacept and any future product candidates with other novel agents owned fully or in part by strategic partners. Partnerships may and will also help realize the full potential of our product candidates in markets where we are unlikely to pursue development or commercialization on our own. We intend to maintain significant economic interest in our product candidates and selectively consider partnership opportunities. In September 2020, we announced a clinical trial collaboration with Merck on a Phase 2 trial evaluating evorpacept in combination with pembrolizumab with and without chemotherapy in patients with advanced head and neck cancer. In November 2020, we announced a clinical trial collaboration with Zymeworks on a Phase 1 trial evaluating evorpacept with the HER2-targeting bispecific antibody, zanidatamab, in patients with advanced HER2-expressing breast cancer and other solid tumors. In June 2021, we announced a clinical trial collaboration with Eli Lilly on a randomized Phase 2/3 study to evaluate the efficacy of evorpacept in combination with ramucirumab, trastuzumab, and paclitaxel for the treatment of patients whose gastric/GEJ tumors have progressed following treatment with HER2-targeted therapy and chemotherapy.</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12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Our initial programs are focused on targeting CD47 across various oncology indications. Many forms of cancer use CD47 expression as a means of evading immune response. We are targeting solid tumor and hematologic malignancies indications where we believe we have the greatest potential to address unmet medical needs.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chart below summarizes the development status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2460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246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We also have a preclinical program focused on developing ALTA-002, a SIRPα TRAAC that may offer additional ways to engage the innate and adaptive immune response to cancer. An IND for ALTA-002 is planned for 2023.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CD47 Scientific Background</w:t>
      </w:r>
    </w:p>
    <w:p>
      <w:pPr>
        <w:spacing w:after="0" w:line="121"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Cancer immunotherapies targeting adaptive immune system checkpoints, notably those related to T cells, have transformed the standard of care in oncology across multiple cancer types. Initial clinical successes in this area have focused on stimulating the adaptive immune system. However, emerging evidence demonstrates that the innate immune system plays a crucial role in the first line of defense to eliminate transformed malignant cells and the subsequent activation of the adaptive immune system. Dendritic cells and macrophages are a type of myeloid cell and are important parts of the innate immune system. These cells eliminate cancer cells by phagocytosis and present tumor-derived antigens to T cells, a process known as cross-priming, which activates the adaptive immune system.</w:t>
      </w:r>
    </w:p>
    <w:p>
      <w:pPr>
        <w:spacing w:after="0" w:line="192"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Cancer cells evade phagocytosis by up-regulating CD47, a transmembrane protein that mainly functions as an anti-phagocytic “don’t eat me” signal for healthy cells. CD47 interacts with its cognate receptor SIRPα, a regulatory membrane glycoprotein, that is expressed on macrophages and other myeloid cells and serves to prevent phagocytosis when bound to CD47. By overexpressing CD47, cancer cells are able to avoid phagocytosis by macrophages and thereby evade subsequent detection by the adaptive immune system.</w:t>
      </w:r>
    </w:p>
    <w:p>
      <w:pPr>
        <w:spacing w:after="0" w:line="18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High CD47 expression in cancer cells has been shown to be a prognostic indicator of decreased survival in multiple oncology indications. A study published by Majeti, et al. in 2009, assessed this association in a validation cohort of 137 subjects with AML. As shown in the figure below, normal karyotype AML, or NK-AML, subjects with high levels of CD47 expression had shorter median overall survival, or mOS, of 9.1 months compared to subjects with low levels of CD47 expression who had an mOS of 22.1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127635</wp:posOffset>
            </wp:positionV>
            <wp:extent cx="3806190" cy="213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0619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CD47 as a therapeutic checkpoint target</w:t>
      </w:r>
    </w:p>
    <w:p>
      <w:pPr>
        <w:spacing w:after="0" w:line="117" w:lineRule="exact"/>
        <w:rPr>
          <w:sz w:val="20"/>
          <w:szCs w:val="20"/>
          <w:color w:val="auto"/>
        </w:rPr>
      </w:pPr>
    </w:p>
    <w:p>
      <w:pPr>
        <w:ind w:right="280" w:firstLine="589"/>
        <w:spacing w:after="0" w:line="311" w:lineRule="auto"/>
        <w:rPr>
          <w:sz w:val="20"/>
          <w:szCs w:val="20"/>
          <w:color w:val="auto"/>
        </w:rPr>
      </w:pPr>
      <w:r>
        <w:rPr>
          <w:rFonts w:ascii="Arial" w:cs="Arial" w:eastAsia="Arial" w:hAnsi="Arial"/>
          <w:sz w:val="16"/>
          <w:szCs w:val="16"/>
          <w:color w:val="auto"/>
        </w:rPr>
        <w:t>Data generated by our and other studies in the field have demonstrated that activating the immune system against cancer requires both blocking phagocytosis checkpoints and inducing pro-phagocytic signals. This can be achieved by combining CD47 blockade with either conventional chemotherapies or targeted therapies, which together promote phagocytosis by macrophages and maximize adaptive immune system response.</w:t>
      </w:r>
    </w:p>
    <w:p>
      <w:pPr>
        <w:spacing w:after="0" w:line="149"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Existing anti-cancer therapeutics can increase “eat me” signals on cancer cells. For example, the hypomethylating agent, or HMA, azacitidine activates the immune system by increasing display of calreticulin, a multifunctional protein, on cancer cells. Calreticulin is an important example of a pro-phagocytic “eat me” signal that potentiates immune response when expressed on cancer cells. Therapeutic antibodies that target tumor-specific antigens, such as the HER2 receptor, also induce cellular phagocytosis, but through a slightly different mechanism. These antibodies direct macrophages to cancer cells by binding to the tumor-specific antigen and activating the macrophage by engaging the Fcγ receptors to induce phagocytosis. However, if CD47 is not blocked, the “don’t eat me” signal can limit the activity of this mechanism. CD47 blocking therapies can therefore maximize a combination agent’s clinical efficacy by overcoming the “don’t eat me” signal that is co-opted by cancer cells.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0" w:name="page11"/>
    <w:bookmarkEnd w:id="10"/>
    <w:p>
      <w:pPr>
        <w:spacing w:after="0"/>
        <w:rPr>
          <w:sz w:val="20"/>
          <w:szCs w:val="20"/>
          <w:color w:val="auto"/>
        </w:rPr>
      </w:pPr>
      <w:r>
        <w:rPr>
          <w:rFonts w:ascii="Arial" w:cs="Arial" w:eastAsia="Arial" w:hAnsi="Arial"/>
          <w:sz w:val="17"/>
          <w:szCs w:val="17"/>
          <w:i w:val="1"/>
          <w:iCs w:val="1"/>
          <w:color w:val="auto"/>
        </w:rPr>
        <w:t>Our lead product candidate, evorpacept, targets CD47 to maximize phagocytosis of cancer cells and activation of the adaptive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159385</wp:posOffset>
            </wp:positionV>
            <wp:extent cx="5349240" cy="2057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Cancer cells can also modulate their environment to suppress detection by immune cells. Overexpression of CD47 helps cancer cells avoid innate immune system detection by dendritic cells and subsequent antigen presentation to T cells, thereby limiting anti-tumor immune response. PD(L)-1 targeting immunotherapies are designed to reduce the suppression of T cells but do not address the initial evasion of the innate immune system by cancer cells. By removing the suppression of dendritic cells, CD47 blocking therapies in combination with PD(L)-1 targeted therapies can complement their T cell stimulatory activities.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Approaches to Blocking CD47</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There have been a number of approaches to blocking CD47, including monoclonal antibodies and fusion proteins that include an active Fc region.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approaches have encountered limitations that have challenged their ability to maximize the full potential of CD47 blockade. These include:</w:t>
      </w:r>
    </w:p>
    <w:p>
      <w:pPr>
        <w:spacing w:after="0" w:line="110" w:lineRule="exact"/>
        <w:rPr>
          <w:sz w:val="20"/>
          <w:szCs w:val="20"/>
          <w:color w:val="auto"/>
        </w:rPr>
      </w:pPr>
    </w:p>
    <w:p>
      <w:pPr>
        <w:ind w:left="1160" w:right="60" w:hanging="572"/>
        <w:spacing w:after="0" w:line="255"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Limited dosing and therapeutic window</w:t>
      </w:r>
      <w:r>
        <w:rPr>
          <w:rFonts w:ascii="Arial" w:cs="Arial" w:eastAsia="Arial" w:hAnsi="Arial"/>
          <w:sz w:val="18"/>
          <w:szCs w:val="18"/>
          <w:color w:val="auto"/>
        </w:rPr>
        <w:t>: The majority of clinical data to date from other CD47 blocking agents have come from</w:t>
      </w:r>
      <w:r>
        <w:rPr>
          <w:rFonts w:ascii="Arial" w:cs="Arial" w:eastAsia="Arial" w:hAnsi="Arial"/>
          <w:sz w:val="18"/>
          <w:szCs w:val="18"/>
          <w:b w:val="1"/>
          <w:bCs w:val="1"/>
          <w:color w:val="auto"/>
        </w:rPr>
        <w:t xml:space="preserve"> </w:t>
      </w:r>
      <w:r>
        <w:rPr>
          <w:rFonts w:ascii="Arial" w:cs="Arial" w:eastAsia="Arial" w:hAnsi="Arial"/>
          <w:sz w:val="18"/>
          <w:szCs w:val="18"/>
          <w:color w:val="auto"/>
        </w:rPr>
        <w:t>approaches that incorporate an active Fc region that provides an “eat me” signal to macrophages. Given that healthy blood cells express CD47, the presence of an “eat me” signal coupled with CD47 binding in a single-agent leads to destruction of blood cells. This mechanism is illustrated in the figure below. The trials of these other CD47 blocking agents have resulted in frequent occurrence of treatment-related cytopenias that we believe limits the therapeutic window of these agents. In addition to limiting the dosing, cytopenias can be dangerous for patients undergoing treatment for cancer as they may already have a compromised immune system related to intensive treatment regimens and disease progression.</w:t>
      </w:r>
    </w:p>
    <w:p>
      <w:pPr>
        <w:spacing w:after="0" w:line="80" w:lineRule="exact"/>
        <w:rPr>
          <w:rFonts w:ascii="Arial" w:cs="Arial" w:eastAsia="Arial" w:hAnsi="Arial"/>
          <w:sz w:val="18"/>
          <w:szCs w:val="18"/>
          <w:color w:val="auto"/>
        </w:rPr>
      </w:pPr>
    </w:p>
    <w:p>
      <w:pPr>
        <w:ind w:left="1160" w:right="20" w:hanging="572"/>
        <w:spacing w:after="0" w:line="255"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Limited ability to combine with other anti-cancer agents</w:t>
      </w:r>
      <w:r>
        <w:rPr>
          <w:rFonts w:ascii="Arial" w:cs="Arial" w:eastAsia="Arial" w:hAnsi="Arial"/>
          <w:sz w:val="18"/>
          <w:szCs w:val="18"/>
          <w:color w:val="auto"/>
        </w:rPr>
        <w:t>: Combination therapies continue to play an important role in treating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cancer. Overlapping toxicities of these agents dictate which agents can and cannot be combined. The overlapping toxicity profiles of other CD47 blocking agents and most other anti-cancer agents create challenges for combination dosing. When combination dosing is possible, the therapeutic benefit of the combination is limited due to the minimal amount of the CD47 blocking agent that can be safely dosed. Moreover, many combinations are precluded entirely due to overlapping toxicity. In addition, an active Fc domain can compete with anti-cancer antibodies when used in combination treatments and can prevent such antibodies from binding with Fcγ receptors on immune cells.</w:t>
      </w:r>
    </w:p>
    <w:p>
      <w:pPr>
        <w:spacing w:after="0" w:line="80" w:lineRule="exact"/>
        <w:rPr>
          <w:rFonts w:ascii="Arial" w:cs="Arial" w:eastAsia="Arial" w:hAnsi="Arial"/>
          <w:sz w:val="18"/>
          <w:szCs w:val="18"/>
          <w:color w:val="auto"/>
        </w:rPr>
      </w:pPr>
    </w:p>
    <w:p>
      <w:pPr>
        <w:ind w:left="1160" w:right="260" w:hanging="572"/>
        <w:spacing w:after="0" w:line="266"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Limited efficacy in solid tumors</w:t>
      </w:r>
      <w:r>
        <w:rPr>
          <w:rFonts w:ascii="Arial" w:cs="Arial" w:eastAsia="Arial" w:hAnsi="Arial"/>
          <w:sz w:val="18"/>
          <w:szCs w:val="18"/>
          <w:color w:val="auto"/>
        </w:rPr>
        <w:t>: To date, other CD47 blocking agents have failed to achieve meaningful clinical activity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solid tumors, as the balance between managing cytopenias and maximizing efficacy may lead to tolerable doses that are too low to facilitate tumor penetration and efficacy.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ind w:left="1160" w:right="60" w:hanging="572"/>
        <w:spacing w:after="0" w:line="277" w:lineRule="auto"/>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Limited indications due to patient selection</w:t>
      </w:r>
      <w:r>
        <w:rPr>
          <w:rFonts w:ascii="Arial" w:cs="Arial" w:eastAsia="Arial" w:hAnsi="Arial"/>
          <w:sz w:val="17"/>
          <w:szCs w:val="17"/>
          <w:color w:val="auto"/>
        </w:rPr>
        <w:t>: Toxicities associated with other CD47 blocking agents may require careful patient selection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when evaluating potential indications. In some cases, only subjects with lower risk of hematologic complications have been selected for treatment for other CD47 blocking agents due to drug related risk of severe cytopenias. Sponsors have chosen to initially develop these investigational medicines in indications such as MDS, where patients are often already cytopenic upon presentation and receive regular transfusions, potentially obscuring the side effects of their CD47 blocking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118110</wp:posOffset>
            </wp:positionV>
            <wp:extent cx="5280660" cy="2125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8066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ALX’s Approach to Blocking CD47</w:t>
      </w:r>
    </w:p>
    <w:p>
      <w:pPr>
        <w:spacing w:after="0" w:line="121"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founded ALX Oncology because we believed the limitations described above would prevent CD47 blockade from reaching its full potential as a therapy for patients with cancer. From the company’s inception, we designed evorpacept to overcome these limitations and to maximize the utility of CD47 blockade as an effective anti-cancer therapeutic for a broad range of tumors. Specifically, we believe evorpacept may provide the following significant advantages:</w:t>
      </w:r>
    </w:p>
    <w:p>
      <w:pPr>
        <w:spacing w:after="0" w:line="75" w:lineRule="exact"/>
        <w:rPr>
          <w:sz w:val="20"/>
          <w:szCs w:val="20"/>
          <w:color w:val="auto"/>
        </w:rPr>
      </w:pPr>
    </w:p>
    <w:p>
      <w:pPr>
        <w:ind w:left="1160" w:right="20" w:hanging="572"/>
        <w:spacing w:after="0" w:line="277" w:lineRule="auto"/>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Broader therapeutic window</w:t>
      </w:r>
      <w:r>
        <w:rPr>
          <w:rFonts w:ascii="Arial" w:cs="Arial" w:eastAsia="Arial" w:hAnsi="Arial"/>
          <w:sz w:val="17"/>
          <w:szCs w:val="17"/>
          <w:color w:val="auto"/>
        </w:rPr>
        <w:t>: We believe evorpacept’s broader therapeutic window will allow for greater drug exposure than other</w:t>
      </w:r>
      <w:r>
        <w:rPr>
          <w:rFonts w:ascii="Arial" w:cs="Arial" w:eastAsia="Arial" w:hAnsi="Arial"/>
          <w:sz w:val="17"/>
          <w:szCs w:val="17"/>
          <w:b w:val="1"/>
          <w:bCs w:val="1"/>
          <w:color w:val="auto"/>
        </w:rPr>
        <w:t xml:space="preserve"> </w:t>
      </w:r>
      <w:r>
        <w:rPr>
          <w:rFonts w:ascii="Arial" w:cs="Arial" w:eastAsia="Arial" w:hAnsi="Arial"/>
          <w:sz w:val="17"/>
          <w:szCs w:val="17"/>
          <w:color w:val="auto"/>
        </w:rPr>
        <w:t>CD47 blocking agents potentially translating into improved efficacy across a range of cancers, including MDS and AML, compared to other CD47 blocking agents. To date, we have not yet reached a maximum tolerated dose, or MTD, for evorpacept. Furthermore, flexibility in dosing has allowed for several administration schedules (weekly, bi-weekly, every three weeks, monthly) that are more amenable to combination therapy dosing schedules and potentially improve a patient’s quality of life.</w:t>
      </w:r>
    </w:p>
    <w:p>
      <w:pPr>
        <w:spacing w:after="0" w:line="59" w:lineRule="exact"/>
        <w:rPr>
          <w:rFonts w:ascii="Arial" w:cs="Arial" w:eastAsia="Arial" w:hAnsi="Arial"/>
          <w:sz w:val="17"/>
          <w:szCs w:val="17"/>
          <w:color w:val="auto"/>
        </w:rPr>
      </w:pPr>
    </w:p>
    <w:p>
      <w:pPr>
        <w:ind w:left="1160" w:hanging="572"/>
        <w:spacing w:after="0" w:line="256"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Strong potential for combination with other anti-cancer agents</w:t>
      </w:r>
      <w:r>
        <w:rPr>
          <w:rFonts w:ascii="Arial" w:cs="Arial" w:eastAsia="Arial" w:hAnsi="Arial"/>
          <w:sz w:val="18"/>
          <w:szCs w:val="18"/>
          <w:color w:val="auto"/>
        </w:rPr>
        <w:t>: CD47 blocking agents are combined with other therapeutics in order</w:t>
      </w:r>
      <w:r>
        <w:rPr>
          <w:rFonts w:ascii="Arial" w:cs="Arial" w:eastAsia="Arial" w:hAnsi="Arial"/>
          <w:sz w:val="18"/>
          <w:szCs w:val="18"/>
          <w:b w:val="1"/>
          <w:bCs w:val="1"/>
          <w:color w:val="auto"/>
        </w:rPr>
        <w:t xml:space="preserve"> </w:t>
      </w:r>
      <w:r>
        <w:rPr>
          <w:rFonts w:ascii="Arial" w:cs="Arial" w:eastAsia="Arial" w:hAnsi="Arial"/>
          <w:sz w:val="18"/>
          <w:szCs w:val="18"/>
          <w:color w:val="auto"/>
        </w:rPr>
        <w:t>to maximize their potential in treating patients with cancer. Unlike other CD47 blocking agents, evorpacept was specifically designed to be combined with other anti-cancer agents. We believe evorpacept’s favorable toxicity profile will enable it to be combined with a wider range of anti-cancer agents, including chemotherapy and cytotoxic containing regimens, compared to other CD47 blocking agents. Furthermore, we believe that evorpacept’s inactive Fc domain will neither compete with nor potentially limit the efficacy of anti-cancer antibodies when used in combination treatments.</w:t>
      </w:r>
    </w:p>
    <w:p>
      <w:pPr>
        <w:spacing w:after="0" w:line="79" w:lineRule="exact"/>
        <w:rPr>
          <w:rFonts w:ascii="Arial" w:cs="Arial" w:eastAsia="Arial" w:hAnsi="Arial"/>
          <w:sz w:val="18"/>
          <w:szCs w:val="18"/>
          <w:color w:val="auto"/>
        </w:rPr>
      </w:pPr>
    </w:p>
    <w:p>
      <w:pPr>
        <w:ind w:left="1160" w:right="20" w:hanging="572"/>
        <w:spacing w:after="0" w:line="258"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Encouraging responses in solid tumors</w:t>
      </w:r>
      <w:r>
        <w:rPr>
          <w:rFonts w:ascii="Arial" w:cs="Arial" w:eastAsia="Arial" w:hAnsi="Arial"/>
          <w:sz w:val="18"/>
          <w:szCs w:val="18"/>
          <w:color w:val="auto"/>
        </w:rPr>
        <w:t>: Evorpacept has demonstrated encouraging FIH Phase 1b clinical data in the treatment of solid</w:t>
      </w:r>
      <w:r>
        <w:rPr>
          <w:rFonts w:ascii="Arial" w:cs="Arial" w:eastAsia="Arial" w:hAnsi="Arial"/>
          <w:sz w:val="18"/>
          <w:szCs w:val="18"/>
          <w:b w:val="1"/>
          <w:bCs w:val="1"/>
          <w:color w:val="auto"/>
        </w:rPr>
        <w:t xml:space="preserve"> </w:t>
      </w:r>
      <w:r>
        <w:rPr>
          <w:rFonts w:ascii="Arial" w:cs="Arial" w:eastAsia="Arial" w:hAnsi="Arial"/>
          <w:sz w:val="18"/>
          <w:szCs w:val="18"/>
          <w:color w:val="auto"/>
        </w:rPr>
        <w:t>tumors. While other CD47 blocking agents have failed to demonstrate meaningful clinical activity in solid tumors, evorpacept’s differentiated properties may underlie its encouraging results. Based on the data generated with evorpacept in combination with anti-cancer antibodies and checkpoint inhibitors with and without chemotherapy, our strategy is to pursue evorpacept as a potentially important component for future combination treatment of solid tumors.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2" w:name="page13"/>
    <w:bookmarkEnd w:id="12"/>
    <w:p>
      <w:pPr>
        <w:ind w:left="1160" w:right="100" w:hanging="572"/>
        <w:spacing w:after="0" w:line="274"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Broader potential indications</w:t>
      </w:r>
      <w:r>
        <w:rPr>
          <w:rFonts w:ascii="Arial" w:cs="Arial" w:eastAsia="Arial" w:hAnsi="Arial"/>
          <w:sz w:val="17"/>
          <w:szCs w:val="17"/>
          <w:color w:val="auto"/>
        </w:rPr>
        <w:t>: We believe evorpacept’s tolerability profile will allow for broad treatment of patient populations in a</w:t>
      </w:r>
      <w:r>
        <w:rPr>
          <w:rFonts w:ascii="Arial" w:cs="Arial" w:eastAsia="Arial" w:hAnsi="Arial"/>
          <w:sz w:val="17"/>
          <w:szCs w:val="17"/>
          <w:b w:val="1"/>
          <w:bCs w:val="1"/>
          <w:color w:val="auto"/>
        </w:rPr>
        <w:t xml:space="preserve"> </w:t>
      </w:r>
      <w:r>
        <w:rPr>
          <w:rFonts w:ascii="Arial" w:cs="Arial" w:eastAsia="Arial" w:hAnsi="Arial"/>
          <w:sz w:val="17"/>
          <w:szCs w:val="17"/>
          <w:color w:val="auto"/>
        </w:rPr>
        <w:t>wide range of oncology indications. Toxicities such as cytopenias associated with other CD47 blocking agents may potentially constrain their development strategies. While initial activity of other CD47 blocking agents has been reported in indications such as MDS and AML where many patients already suffer from disease-induced cytopenias, their development in oncology indications that do not include associated cytopenias may be challenged. We believe evorpacept is well positioned to expand the therapeutic potential of CD47 blockade across a broad spectrum of hematologic and solid tumor indications.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Evorpacept</w:t>
      </w:r>
    </w:p>
    <w:p>
      <w:pPr>
        <w:spacing w:after="0" w:line="121"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Our lead product candidate, evorpacept, is a CD47 blocking biologic in development as a combination therapy with other anti-cancer agents for treatment of various oncology indications, including MDS, AML, HNSCC, gastric/GEJ and breast cancer. We engineered evorpacept to maximize CD47 blockade and to avoid hematologic toxicities. We believe evorpacept enhances the efficacy of both anti-cancer targeted antibodies, numerous small molecule drugs and T cell checkpoint inhibitors and exhibits no dose-dependent cytopenias. Evorpacept has demonstrated encouraging clinical responses in combination with multiple anti-cancer regimens for both hematologic and solid malignancies.</w:t>
      </w:r>
    </w:p>
    <w:p>
      <w:pPr>
        <w:spacing w:after="0" w:line="176" w:lineRule="exact"/>
        <w:rPr>
          <w:sz w:val="20"/>
          <w:szCs w:val="20"/>
          <w:color w:val="auto"/>
        </w:rPr>
      </w:pPr>
    </w:p>
    <w:p>
      <w:pPr>
        <w:ind w:right="100" w:firstLine="589"/>
        <w:spacing w:after="0" w:line="301" w:lineRule="auto"/>
        <w:rPr>
          <w:sz w:val="20"/>
          <w:szCs w:val="20"/>
          <w:color w:val="auto"/>
        </w:rPr>
      </w:pPr>
      <w:r>
        <w:rPr>
          <w:rFonts w:ascii="Arial" w:cs="Arial" w:eastAsia="Arial" w:hAnsi="Arial"/>
          <w:sz w:val="16"/>
          <w:szCs w:val="16"/>
          <w:color w:val="auto"/>
        </w:rPr>
        <w:t>Other companies have pursued CD47 blocking approaches that prioritize single-agent activity, albeit with limited success. Rather than designing a molecule for monotherapy activity that has been associated with cytopenias, we designed evorpacept for use in combination with anti-cancer agents. Our product candidate exclusively blocks the “don’t eat me” pathway. A combination anti-cancer agent provides a specific pro-phagocytic signal on cancer cells. This approach may both increase the specificity to cancer cells and avoid dose-dependent destruction of healthy blood cells.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Fusion Protein Design</w:t>
      </w:r>
    </w:p>
    <w:p>
      <w:pPr>
        <w:spacing w:after="0" w:line="11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Evorpacept is a fusion protein designed to provide a high CD47 blocking potency while potentially eliminating any associated toxicities. Our fusion protein comprises an engineered CD47-binding domain of SIRPα that has been genetically linked to a modified human immunoglobulin-derived Fc domain that does not bind to Fcγ receptors. We engineered evorpacept in two important ways:</w:t>
      </w:r>
    </w:p>
    <w:p>
      <w:pPr>
        <w:spacing w:after="0" w:line="76" w:lineRule="exact"/>
        <w:rPr>
          <w:sz w:val="20"/>
          <w:szCs w:val="20"/>
          <w:color w:val="auto"/>
        </w:rPr>
      </w:pPr>
    </w:p>
    <w:p>
      <w:pPr>
        <w:ind w:left="1160" w:right="260" w:hanging="585"/>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mutated the binding domain to optimize CD47 affinity. Evorpacept binding domain demonstrates an affinity that is over 3,000 times stronger than wildtype SIRPα.</w:t>
      </w:r>
    </w:p>
    <w:p>
      <w:pPr>
        <w:spacing w:after="0" w:line="62" w:lineRule="exact"/>
        <w:rPr>
          <w:rFonts w:ascii="Arial" w:cs="Arial" w:eastAsia="Arial" w:hAnsi="Arial"/>
          <w:sz w:val="18"/>
          <w:szCs w:val="18"/>
          <w:color w:val="auto"/>
        </w:rPr>
      </w:pPr>
    </w:p>
    <w:p>
      <w:pPr>
        <w:ind w:left="1160" w:right="400" w:hanging="572"/>
        <w:spacing w:after="0" w:line="308" w:lineRule="auto"/>
        <w:tabs>
          <w:tab w:leader="none" w:pos="11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We fused the CD47-binding region of SIRPα to an inactive Fc domain. Incorporating an inactive Fc domain was intended to eliminate single-agent activation of macrophages while still maintaining an antibody-like pharmacokinetic, or PK, profile.</w:t>
      </w:r>
    </w:p>
    <w:p>
      <w:pPr>
        <w:spacing w:after="0" w:line="146"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The successful design of evorpacept required in-house generation of approximately 280 different protein constructs to thoroughly evaluate and optimize the impact of differing designs on multiple important evaluation criteria.</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order to optimize evorpacept’s properties we conducted the following processes: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Design of the high-affinity CD47 binding domain:</w:t>
      </w:r>
    </w:p>
    <w:p>
      <w:pPr>
        <w:spacing w:after="0" w:line="117" w:lineRule="exact"/>
        <w:rPr>
          <w:sz w:val="20"/>
          <w:szCs w:val="20"/>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Optimization of binding affinity for human CD47;</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Optimization of cross-reactivity to rodent and monkey CD47 to enable key translational experiments;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Elimination of partially glycosylated sites in SIRPα to remove heterogeneity and enable consistent manufacturing.</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 of the optimal fusion combination for PK extension: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Selection of an immunoglobulin isotype to prevent hemagglutination;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 w:name="page14"/>
    <w:bookmarkEnd w:id="13"/>
    <w:p>
      <w:pPr>
        <w:ind w:left="1160" w:right="54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Selection of mutations to immunoglobulin G1, or IgG1, to functionally eliminate Fcγ binding and avoid associated cytopenias while maintaining neonatal Fc receptor binding that enables antibody-like PK.</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illustrated in the figure below, evorpacept comprises:</w:t>
      </w:r>
    </w:p>
    <w:p>
      <w:pPr>
        <w:spacing w:after="0" w:line="117" w:lineRule="exact"/>
        <w:rPr>
          <w:sz w:val="20"/>
          <w:szCs w:val="20"/>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SIRPα binding domain optimized to bind to CD47 with high affinity at a picomolar level;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inactive Fc domain that reduces cytopenias while preserving the desired PK properties of antibodies with an active Fc domain.</w:t>
      </w:r>
    </w:p>
    <w:p>
      <w:pPr>
        <w:spacing w:after="0" w:line="264" w:lineRule="exact"/>
        <w:rPr>
          <w:sz w:val="20"/>
          <w:szCs w:val="20"/>
          <w:color w:val="auto"/>
        </w:rPr>
      </w:pPr>
    </w:p>
    <w:p>
      <w:pPr>
        <w:ind w:firstLine="447"/>
        <w:spacing w:after="0" w:line="273" w:lineRule="auto"/>
        <w:rPr>
          <w:sz w:val="20"/>
          <w:szCs w:val="20"/>
          <w:color w:val="auto"/>
        </w:rPr>
      </w:pPr>
      <w:r>
        <w:rPr>
          <w:rFonts w:ascii="Arial" w:cs="Arial" w:eastAsia="Arial" w:hAnsi="Arial"/>
          <w:sz w:val="17"/>
          <w:szCs w:val="17"/>
          <w:color w:val="auto"/>
        </w:rPr>
        <w:t>The resulting fusion protein has approximately one-half the molecular weight of a typical antibody. evorpacept’s lower molecular weight enables it to deliver the molar equivalent of an antibody at one half the dose. For example, a 60 mg/kg dose of evorpacept, the highest level that we have dosed to date, is approximately equivalent to a 120 mg/kg dose of an antibody. Evorpacept’s lower molecular weight may also facilitate increased solid tumor penetration and provide greater potency within the tumor microenvironment. Furthermore, evorpacept can be efficiently and consistently produced at high yield at commercial scale utilizing standard monoclonal antibody manufacturing techniques. We believe evorpacept’s differentiated properties potentially overcome the limitations of other CD47 blocking agents and may have utility as a combination agent in oncology.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lead candidate, evorpacept, is a fusion protein that potently and selectively binds CD47 to block the SIRP</w:t>
      </w:r>
      <w:r>
        <w:rPr>
          <w:rFonts w:ascii="Arial" w:cs="Arial" w:eastAsia="Arial" w:hAnsi="Arial"/>
          <w:sz w:val="18"/>
          <w:szCs w:val="18"/>
          <w:color w:val="auto"/>
        </w:rPr>
        <w:t>α</w:t>
      </w:r>
      <w:r>
        <w:rPr>
          <w:rFonts w:ascii="Arial" w:cs="Arial" w:eastAsia="Arial" w:hAnsi="Arial"/>
          <w:sz w:val="18"/>
          <w:szCs w:val="18"/>
          <w:i w:val="1"/>
          <w:iCs w:val="1"/>
          <w:color w:val="auto"/>
        </w:rPr>
        <w:t xml:space="preserve">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151765</wp:posOffset>
            </wp:positionV>
            <wp:extent cx="5332095" cy="2245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3209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Differentiation</w:t>
      </w:r>
    </w:p>
    <w:p>
      <w:pPr>
        <w:spacing w:after="0" w:line="117"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Our preclinical studies of evorpacept support a target product profile of favorable tolerability, the ability to be dosed at high levels and increased anti-tumor activity as compared to other CD47 blocking agents. These data include the following: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Lack of hematologic side effects</w:t>
      </w:r>
    </w:p>
    <w:p>
      <w:pPr>
        <w:spacing w:after="0" w:line="117"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Our preclinical data demonstrate that CD47 blocking agents with an active Fc domain directly cause adverse hematologic side effects. To support this hypothesis, we engineered a fusion protein with a SIRPα CD47-binding domain identical to evorpacept’s binding domain but fused to an active, wild-type IgG1 Fc domain, ALX377. We administered 30 mg/kg evorpacept and 30 mg/kg ALX377 in mouse models and measured red blood cell, or RBC, platelet and white blood cell (lymphocyte, monocytes and granulocytes) counts. As shown in the figure below, mice treated with evorpacept having an inactive Fc domain showed blood count levels that were similar to the pre-dose baseline. In contrast, mice treated with ALX377 having an active Fc domain showed average decreases of 34% in RBC count, 70% in platelet count and 67% in white blood cell count three days post-dosing as compared to baseline counts.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The inactive Fc domain on evorpacept is responsible for improved hematologic tolerability in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1448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p&lt;0.001</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p&lt;0.0001</w:t>
      </w:r>
    </w:p>
    <w:p>
      <w:pPr>
        <w:spacing w:after="0" w:line="225"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In vitro and in vivo toxicology studies show that evorpacept was well-tolerated at intravenous doses of up to 100 mg/kg/week in the 1-month study and up to 30 mg/kg every other week in the 3-month study with no target organ toxicity or toxicity related to the exaggerated pharmacology of evorpacept.Together, these preclinical studies demonstrate that inactivation of the Fc domain of evorpacept avoids adverse effects on normal blood cells seen on other CD47 blocking agents with an active Fc domain. They also support our expectation that evorpacept’s lack of overlapping toxicities with other anti-cancer therapies may result in fewer adverse outcomes in the clinic when combined with these therapies than combinations with conventional CD47 blocking agents.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Evorpacept elicits superior phagocytosis in combination with anti-cancer antibodies</w:t>
      </w:r>
    </w:p>
    <w:p>
      <w:pPr>
        <w:spacing w:after="0" w:line="117"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The inactive Fc of evorpacept does not compete with the active Fc domain of other therapeutic antibodies for binding with Fcγ receptors on effector cells of the immune system. This fact, coupled with the high-affinity CD47 binding of our agent, results in enhanced phagocytosis from evorpacept in combination with other anti-cancer antibodies to a greater extent than other CD47 blockers. We believe this will allow us to explore evorpacept in combination with a higher number of leading anti-cancer antibodies compared to other CD47 blocking agents in both hematologic malignancies and solid tumors. In order to investigate the potential effects of the Fc domain and CD47 binding affinity on phagocytic activity, we produced two CD47 blocking agents with either an IgG4 or IgG1 active Fc domain, based on published sequences from two other clinical CD47 blockade programs. We combined these agents and evorpacept with cetuximab, an epidermal growth factor receptor, or EGFR, inhibitor that is the FDA approved for several solid tumors, to assess phagocytic activity as compared to single-agent cetuximab. Both cetuximab and the active Fc domain of a CD47 blocking agent bind to the same cell surface Fcγ receptors on a macrophage, potentially creating competition. IgG1 binds to receptors with higher affinity than IgG4 does, and evorpacept’s inactive Fc does not bind. This experiment shows that CD47 blocking agents with active Fc domains and lower affinity, combined with cetuximab result in lower phagocytic activity from macrophages as compared to evorpacept with cetuximab. This experiment suggests evorpacept, the only clinical CD47 blocking agent with an inactive Fc domain and high-affinity CD47 binding, may be unique in its anti-tumor activity when combined with anti-tumor antibodies.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5" w:name="page16"/>
    <w:bookmarkEnd w:id="15"/>
    <w:p>
      <w:pPr>
        <w:ind w:right="280"/>
        <w:spacing w:after="0" w:line="277" w:lineRule="auto"/>
        <w:rPr>
          <w:sz w:val="20"/>
          <w:szCs w:val="20"/>
          <w:color w:val="auto"/>
        </w:rPr>
      </w:pPr>
      <w:r>
        <w:rPr>
          <w:rFonts w:ascii="Arial" w:cs="Arial" w:eastAsia="Arial" w:hAnsi="Arial"/>
          <w:sz w:val="18"/>
          <w:szCs w:val="18"/>
          <w:i w:val="1"/>
          <w:iCs w:val="1"/>
          <w:color w:val="auto"/>
        </w:rPr>
        <w:t>Evorpacept has shown superior antibody-dependent cellular phagocytosis, or ADCP, of solid tumor cells compared to CD47 blockers with an active Fc domain and lower CD47 affinity when combined with an anti-tumor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37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Favorable tolerability profile</w:t>
      </w:r>
    </w:p>
    <w:p>
      <w:pPr>
        <w:spacing w:after="0" w:line="11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Clinical trials to date continue to support evorpacept’s differentiated approach to CD47 blockade. Evorpacept has been administered in over 185 subjects with advanced solid or hematologic malignancies, including in combination with a range of standard of care anti-cancer regimens. Based on ALX’s routine and ongoing reviews of safety data, evorpacept has been consistently well-tolerated, with low occurrences of cytopenias and other toxicities. Adverse events are reported as of April 1, 2020 for evorpacept combined with KEYTRUDAÒ, as of September 1, 2021 for evorpacept combined with KEYTRUDAÒ plus chemotherapy and HERCEPTINÒ plus chemotherapy, and as of October 25, 2021 for evorpacept combined with azacitidine.</w:t>
      </w:r>
    </w:p>
    <w:p>
      <w:pPr>
        <w:spacing w:after="0" w:line="161" w:lineRule="exact"/>
        <w:rPr>
          <w:sz w:val="20"/>
          <w:szCs w:val="20"/>
          <w:color w:val="auto"/>
        </w:rPr>
      </w:pPr>
    </w:p>
    <w:p>
      <w:pPr>
        <w:ind w:right="160" w:firstLine="589"/>
        <w:spacing w:after="0" w:line="273" w:lineRule="auto"/>
        <w:rPr>
          <w:sz w:val="20"/>
          <w:szCs w:val="20"/>
          <w:color w:val="auto"/>
        </w:rPr>
      </w:pPr>
      <w:r>
        <w:rPr>
          <w:rFonts w:ascii="Arial" w:cs="Arial" w:eastAsia="Arial" w:hAnsi="Arial"/>
          <w:sz w:val="17"/>
          <w:szCs w:val="17"/>
          <w:color w:val="auto"/>
        </w:rPr>
        <w:t>We have not yet reached a maximum tolerated dose in any trial of evorpacept and are continuing to test higher doses. Because the half-life of evorpacept is longer with higher dose levels, such dosing may allow up to every four weeks, or Q4W, administration schedule. Furthermore, evorpacept’s tolerability profile could potentially result in a broad therapeutic window. We believe its tolerability profile to date supports initiation of trials in combination with highly effective, but more toxic, standard of care agents, such as chemotherapies that can cause cytopenias. Many other CD47 blocking agents are unable to combine with these anti-cancer agents due to overlapping toxicity profiles. We believe evorpacept may be uniquely positioned in its ability to combine with standard of care agents including those with associated cytopenias.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Initial data suggests that evorpacept demonstrates a consistent tolerability profile in FIH Phase 1 trial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288925</wp:posOffset>
            </wp:positionV>
            <wp:extent cx="5349240" cy="257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540"/>
        <w:spacing w:after="0" w:line="257" w:lineRule="auto"/>
        <w:rPr>
          <w:sz w:val="20"/>
          <w:szCs w:val="20"/>
          <w:color w:val="auto"/>
        </w:rPr>
      </w:pPr>
      <w:r>
        <w:rPr>
          <w:rFonts w:ascii="Arial" w:cs="Arial" w:eastAsia="Arial" w:hAnsi="Arial"/>
          <w:sz w:val="18"/>
          <w:szCs w:val="18"/>
          <w:color w:val="auto"/>
        </w:rPr>
        <w:t>For combination cohort of evorpacept plus KEYTRUDAÒ, treatment related adverse events occurring in &gt;1 subject in all histologies at 10 &amp; 15 mg/kg QW; data as of April 1, 2020. For combination cohorts of evorpacept plus KEYTRUDAÒ and chemotherapy (5FU, platinum) or plus HERCEPTINÒ and chemotherapy (CyramzaÒ, paclitaxel), all treatment related adverse events are reported; data as of September 1, 2021. For combination cohort of evorpacept plus azacitidine, treatment related adverse events occurring in &gt;1 subject at 20 &amp; 30 mg/kg Q2W &amp; 60 mg/kg Q4W; data as of October 25, 2021.</w:t>
      </w:r>
    </w:p>
    <w:p>
      <w:pPr>
        <w:spacing w:after="0" w:line="188"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Zero to single-digit incident rates of treatment-related grade three or higher cytopenias occurred in more than 1 subject across each of the FIH Phase 1 combination cohorts in this heavily pre-treated group who are typical participants in early stage cancer trials and are often hematologically fragile at baseline. Additionally, the majority of treatment-related adverse events were of low-grade and were easily managed. Overall, evorpacept continues to be well tolerated in an advanced cancer population and can be combined with a wide range of anti-cancer therapeutics.</w:t>
      </w:r>
    </w:p>
    <w:p>
      <w:pPr>
        <w:spacing w:after="0" w:line="157"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All other CD47 blockers that have reported clinical data have reported high rates of both all grade and high grade cytopenias. A magrolimab clinical trial in solid tumors resulted in 56% anemia in the first 48 subjects dosed, despite each subject receiving an initial priming dose to mitigate anemia. A trial of magrolimab in 68 subjects with higher-risk MDS or AML presented in November 2020 (Sallman, SITC 2020, Session 304) reported over 35% grade 3 or 4 treatment-related anemia, over 15% grade 3 or 4 treatment-related neutropenia and over 10% grade 4 treatment-related thrombocytopenia. Such a tolerability profile could present challenges to the administration of this compound as a single agent and in combination. In contrast, evorpacept’s tolerability profile may enhance the breadth of clinical development by providing better treatment options for patients with cancer.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PK and PD Data</w:t>
      </w:r>
    </w:p>
    <w:p>
      <w:pPr>
        <w:spacing w:after="0" w:line="117"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Initial clinical trials have confirmed that evorpacept exhibits favorable PK, and CD47 peripheral target occupancy, or TO. Human PK following intravenous, or IV, doses of evorpacept ranging from 0.3 to 30 mg/kg either as a single-agent, or in combination with pembrolizumab, trastuzumab or rituximab have been characterized in 159 subjects as of October 1, 2020. Evorpacept single agent PK profiles showed a trend of non-linear PK with faster clearance at lower doses and slower clearance at higher doses of 10 mg/kg QW and 30 mg/kg once every other week, or QOW, indicating saturation of target mediated clearance.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right="40" w:firstLine="589"/>
        <w:spacing w:after="0" w:line="272" w:lineRule="auto"/>
        <w:rPr>
          <w:sz w:val="20"/>
          <w:szCs w:val="20"/>
          <w:color w:val="auto"/>
        </w:rPr>
      </w:pPr>
      <w:r>
        <w:rPr>
          <w:rFonts w:ascii="Arial" w:cs="Arial" w:eastAsia="Arial" w:hAnsi="Arial"/>
          <w:sz w:val="17"/>
          <w:szCs w:val="17"/>
          <w:color w:val="auto"/>
        </w:rPr>
        <w:t>The pharmacodynamics, or PD, following AXL148 IV infusion either as a single-agent or in combination with pembrolizumab, trastuzumab or rituximab have been characterized in 156 subjects as of October 1, 2020. Target engagement has been confirmed based on CD47 TO in peripheral blood T lymphocytes and erythrocytes measured by a flow cytometry assay. At lower doses of 0.3 mg/kg and 1 mg/kg evorpacept monotherapy, dose dependent increase of TO was observed. Increased TO was observed following the subsequent IV dosing compared to the first IV dose. Complete TO in periphery across the dosing interval, where TO &gt;85%, was observed at evorpacept single agent doses ≥3 mg/kg QW and at doses of 30 mg/kg QOW. Complete TO in periphery was observed with evorpacept at doses of 10 mg/kg QW in combination with trastuzumab, or at doses of 10mg/kg QW or 15 mg/kg QW in combination with trastuzumab, ramucirumab and paclitaxel.</w:t>
      </w:r>
    </w:p>
    <w:p>
      <w:pPr>
        <w:spacing w:after="0" w:line="17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In our FIH Phase 1b expansion trial to date, we have observed a statistically significant positive evorpacept exposure-response relationship in subjects with NHL, HNSCC and gastric/GEJ cancer. While our data support full TO in the periphery at 10 mg/kg, enhanced tumor penetration may explain the higher response rate seen at 15 mg/kg in the clinic. Given the favorable tolerability observed to date at doses up to 15 mg/kg QW, we are evaluating these higher doses of evorpacept, with a flexible dosing schedule of weekly, every other week, every three weeks, or every four weeks, to match the standard of care.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Evorpacept in Solid Tumors</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We have generated clinical data with evorpacept in combination with multiple anti-cancer agents in solid tumors. We believe the smaller molecular weight of evorpacept as compared to a typical antibody may facilitate greater penetration into solid tumors. In addition, we believe the favorable tolerability profile of evorpacept will allow for higher administered doses in a range of combination strategies with leading therapies for solid tumors. Solid tumors represent the largest markets within oncology and many of these oncology indications are poorly served by current therapies, both in front-line as well as in the relapsed and refractory settings. We have demonstrated proof of concept with evorpacept in combination treatment in two solid tumor settings in the FIH Phase 1 clinical trial: HNSCC and HER2-positive gastric/GEJ cancer. We believe these indications offer registration pathways in combination with existing approved therapies and have advanced evorpacept into randomized Phase 2 trials in HNSCC in 2021, and expect to begin a randomized Phase 2 trial in HER2-positive gastric/GEJ cancer in the first quarter of 2022.</w:t>
      </w:r>
    </w:p>
    <w:p>
      <w:pPr>
        <w:spacing w:after="0" w:line="178"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Evorpacept can be combined with PD-1/programmed death-ligand 1, or PD-(L)1, agents in a broad range of solid tumors. As part of our development strategy, we are exploring the use of evorpacept in combination with a PD-1 inhibitor with and without chemotherapy in HNSCC. PD-(L)1 inhibitors are currently approved by the FDA for over 20 indications and had over $30 billion in 2021 sales. Other CD47 blocking approaches may be limited in their ability to combine with PD-(L)1 inhibitors due to cumulative or overlapping toxicities.</w:t>
      </w:r>
    </w:p>
    <w:p>
      <w:pPr>
        <w:spacing w:after="0" w:line="187" w:lineRule="exact"/>
        <w:rPr>
          <w:sz w:val="20"/>
          <w:szCs w:val="20"/>
          <w:color w:val="auto"/>
        </w:rPr>
      </w:pPr>
    </w:p>
    <w:p>
      <w:pPr>
        <w:ind w:right="200" w:firstLine="589"/>
        <w:spacing w:after="0" w:line="296" w:lineRule="auto"/>
        <w:rPr>
          <w:sz w:val="20"/>
          <w:szCs w:val="20"/>
          <w:color w:val="auto"/>
        </w:rPr>
      </w:pPr>
      <w:r>
        <w:rPr>
          <w:rFonts w:ascii="Arial" w:cs="Arial" w:eastAsia="Arial" w:hAnsi="Arial"/>
          <w:sz w:val="16"/>
          <w:szCs w:val="16"/>
          <w:color w:val="auto"/>
        </w:rPr>
        <w:t>We investigated evorpacept in subjects with solid tumors in additional cohorts as part of an extensive Phase 1 FIH trial. Part 1 was a dose escalation trial of single-agent evorpacept intended to examine tolerability and recommended dosing and was not expected to show single-agent activity. Sixteen subjects with solid tumors received evorpacept as a single-agent on a QW schedule at doses ranging from 0.1 mg/kg to 10 mg/kg and 12 subjects received evorpacept as a single-agent on a QoW dosing schedule at a dose of 30 mg/kg. The maximum tolerated dose was not determined on either schedule. However, the maximum administered dose was 30 mg/kg for the Q2W dosing schedule and 10 mg/kg for the QW schedule.</w:t>
      </w:r>
    </w:p>
    <w:p>
      <w:pPr>
        <w:spacing w:after="0" w:line="161"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FIH Phase 1 Part 2 was comprised of evorpacept escalation and expansion cohorts. In subjects with solid tumors, evorpacept was combined with various anti-cancer agents including pembrolizumab, trastuzumab and chemotherapy. Adverse events from these cohorts are reported above. As previously discussed, evorpacept has consistently displayed a favorable tolerability profile. Many of the reported adverse events have been associated with either pembrolizumab or trastuzumab.</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firstLine="589"/>
        <w:spacing w:after="0" w:line="270" w:lineRule="auto"/>
        <w:rPr>
          <w:sz w:val="20"/>
          <w:szCs w:val="20"/>
          <w:color w:val="auto"/>
        </w:rPr>
      </w:pPr>
      <w:r>
        <w:rPr>
          <w:rFonts w:ascii="Arial" w:cs="Arial" w:eastAsia="Arial" w:hAnsi="Arial"/>
          <w:sz w:val="17"/>
          <w:szCs w:val="17"/>
          <w:color w:val="auto"/>
        </w:rPr>
        <w:t>In HNSCC, our initial FIH Phase 1b expansion trial combined evorpacept with pembrolizumab, an anti-PD-1 agent, which is a standard of care for subjects with HNSCC. Final results from the cohort of evorpacept combined with pembrolizumab were reported at the 2020 American Society of Clinical Oncology, Virtual Scientific Program, or ASCO 2020, and provided the first demonstration of evorpacept’s ability to enhance checkpoint inhibitor antibody activity in solid tumors and is the basis for the FDA granting Fast Track designation for evorpacept in combination with pembrolizumab, platinum, and fluorouracil for the first-line treatment of adult patients with metastatic or unresectable, recurrent HNSCC (February 2020). Data from this trial supported our second trial in HNSCC that adds chemotherapy (5-fluoropyrimidine plus cisplatin) to the combination of pembrolizumab and evorpacept and preliminary data for this cohort was presented at the Society for Immunotherapy of Cancer’s 35</w:t>
      </w:r>
      <w:r>
        <w:rPr>
          <w:rFonts w:ascii="Arial" w:cs="Arial" w:eastAsia="Arial" w:hAnsi="Arial"/>
          <w:sz w:val="14"/>
          <w:szCs w:val="14"/>
          <w:color w:val="auto"/>
        </w:rPr>
        <w:t>th</w:t>
      </w:r>
      <w:r>
        <w:rPr>
          <w:rFonts w:ascii="Arial" w:cs="Arial" w:eastAsia="Arial" w:hAnsi="Arial"/>
          <w:sz w:val="17"/>
          <w:szCs w:val="17"/>
          <w:color w:val="auto"/>
        </w:rPr>
        <w:t xml:space="preserve"> Anniversary Annual Meeting, or SITC 2020. We also recently entered into a clinical trial collaboration with Merck to study the combination of evorpacept and pembrolizumab with and without chemotherapy in a randomized Phase 2 trial.</w:t>
      </w:r>
    </w:p>
    <w:p>
      <w:pPr>
        <w:spacing w:after="0" w:line="181"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In HER2-positive gastric/GEJ cancer, our FIH Phase 1b expansion trial included a combination with trastuzumab, an anti-HER2 agent, that is the standard of care for subjects with HER2-positive gastric/GEJ cancer and is FDA-approved for other HER2-expressing tumors. Final results from the cohort of evorpacept combined with trastuzumab were reported at ASCO 2020 and provided the first demonstration of evorpacept activity with an anti-tumor targeted antibody in subjects with solid tumors. Data from this trial formed the basis for the FDA granting Fast Track designation for evorpacept in combination with trastuzumab, ramucirumab and paclitaxel for the treatment of patients with HER2-overexpressing advanced gastric or GEJ adenocarcinoma with disease progression on or after prior trastuzumab, and fluoropyrimidine or platinum-containing chemotherapy (January 2020). Preliminary data for this cohort was also presented at SITC 2020. In January 2022, the FDA’s Office of Orphan Products Development granted Orphan Drug Designation to evorpacept for the treatment of patients with gastric/GEJ cancer.</w:t>
      </w:r>
    </w:p>
    <w:p>
      <w:pPr>
        <w:spacing w:after="0" w:line="178" w:lineRule="exact"/>
        <w:rPr>
          <w:sz w:val="20"/>
          <w:szCs w:val="20"/>
          <w:color w:val="auto"/>
        </w:rPr>
      </w:pPr>
    </w:p>
    <w:p>
      <w:pPr>
        <w:ind w:right="400" w:firstLine="589"/>
        <w:spacing w:after="0" w:line="286" w:lineRule="auto"/>
        <w:rPr>
          <w:sz w:val="20"/>
          <w:szCs w:val="20"/>
          <w:color w:val="auto"/>
        </w:rPr>
      </w:pPr>
      <w:r>
        <w:rPr>
          <w:rFonts w:ascii="Arial" w:cs="Arial" w:eastAsia="Arial" w:hAnsi="Arial"/>
          <w:sz w:val="17"/>
          <w:szCs w:val="17"/>
          <w:color w:val="auto"/>
        </w:rPr>
        <w:t>In 2021, an investigator-sponsored trial (IST) of evorpacept was initiated in combination with rituximab and lenalidomide for the treatment of patients with indolent and aggressive non-Hodgkin lymphoma at MD Anderson Cancer Center. In 2022, an IST in metastatic colorectal cancer of evorpacept in combination with pembrolizumab and cetuximab was initiated at the University of Colorado.</w:t>
      </w:r>
    </w:p>
    <w:p>
      <w:pPr>
        <w:spacing w:after="0" w:line="165"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Overall, we believe our development plan for evorpacept in solid tumors has significant potential and represents a strong complement to our program in hematologic malignancies. With encouraging data in multiple drug combinations initially evaluated in the clinic, we plan to advance trials to assess efficacy in the solid tumor indications with substantial unmet medical need.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Evorpacept in HNSCC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background</w:t>
      </w:r>
    </w:p>
    <w:p>
      <w:pPr>
        <w:spacing w:after="0" w:line="117" w:lineRule="exact"/>
        <w:rPr>
          <w:sz w:val="20"/>
          <w:szCs w:val="20"/>
          <w:color w:val="auto"/>
        </w:rPr>
      </w:pPr>
    </w:p>
    <w:p>
      <w:pPr>
        <w:jc w:val="both"/>
        <w:ind w:right="420" w:firstLine="589"/>
        <w:spacing w:after="0" w:line="263" w:lineRule="auto"/>
        <w:rPr>
          <w:sz w:val="20"/>
          <w:szCs w:val="20"/>
          <w:color w:val="auto"/>
        </w:rPr>
      </w:pPr>
      <w:r>
        <w:rPr>
          <w:rFonts w:ascii="Arial" w:cs="Arial" w:eastAsia="Arial" w:hAnsi="Arial"/>
          <w:sz w:val="18"/>
          <w:szCs w:val="18"/>
          <w:color w:val="auto"/>
        </w:rPr>
        <w:t>There are estimated to be over 38,000 people living in the United States with metastatic HNSCC, with over 50,000 newly incident cases at all stages estimated to be diagnosed in 2020. Five-year survival is 85% for patients diagnosed with localized disease but decreases to only 40% for those diagnosed with metastatic disease, underlying the need for improved treatment options.</w:t>
      </w:r>
    </w:p>
    <w:p>
      <w:pPr>
        <w:spacing w:after="0" w:line="184"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FDA-approved and National Comprehensive Cancer Network, or NCCN, recommended therapies for the first-line treatment of recurrent/metastatic disease include pembrolizumab monotherapy, pembrolizumab combined with chemotherapy, platinum and fluorouracil, and cetuximab, an anti-epidermal growth factor receptor antibody, combined with chemotherapy among other treatments. The KEYNOTE-048 clinical trial led to the FDA approval of pembrolizumab monotherapy as a first-line treatment in patients with HNSCC whose tumors express PD-L1 on a Combined Positive Score, or CPS, ≥1 and approval of pembrolizumab plus chemotherapy as a first-line treatment in patients with HNSCC regardless of CPS. In KEYNOTE-048, pembrolizumab monotherapy achieved 17% ORR with a median progression-free survival, or mPFS, of 2.3 months in subjects with HNSCC regardless of CPS. Of particular note, in subjects with CPS &lt;1 pembrolizumab monotherapy only achieved a 5% ORR.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9" w:name="page20"/>
    <w:bookmarkEnd w:id="19"/>
    <w:p>
      <w:pPr>
        <w:ind w:right="60" w:firstLine="589"/>
        <w:spacing w:after="0" w:line="259" w:lineRule="auto"/>
        <w:rPr>
          <w:sz w:val="20"/>
          <w:szCs w:val="20"/>
          <w:color w:val="auto"/>
        </w:rPr>
      </w:pPr>
      <w:r>
        <w:rPr>
          <w:rFonts w:ascii="Arial" w:cs="Arial" w:eastAsia="Arial" w:hAnsi="Arial"/>
          <w:sz w:val="18"/>
          <w:szCs w:val="18"/>
          <w:color w:val="auto"/>
        </w:rPr>
        <w:t>Pembrolizumab monotherapy in previously treated HNSCC was reported in the Phase 3 KEYNOTE-040 trial. Subjects were excluded if they had prior therapy with an anti-PD-1 or anti-PD-L1 therapy. In KEYNOTE-040, pembrolizumab achieved a 15% ORR, mPFS of only 2.1 months and mOS of 8.4 months. While we believe pembrolizumab is an important treatment option for both first- and second-line HNSCC, the majority of patients do not have an objective response to pembrolizumab-based therapy.</w:t>
      </w:r>
    </w:p>
    <w:p>
      <w:pPr>
        <w:spacing w:after="0" w:line="18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Despite the recent approval of pembrolizumab, we believe that there is significant unmet need remaining for patients with HNSCC. The addition of evorpacept to pembrolizumab, or pembrolizumab plus chemotherapy, may have the potential to improve response rates and provide additional clinical benefit to patients with metastatic HNSCC. We have evaluated evorpacept in subjects with metastatic HNSCC and continue to develop evorpacept in this setting.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design</w:t>
      </w:r>
    </w:p>
    <w:p>
      <w:pPr>
        <w:spacing w:after="0" w:line="117" w:lineRule="exact"/>
        <w:rPr>
          <w:sz w:val="20"/>
          <w:szCs w:val="20"/>
          <w:color w:val="auto"/>
        </w:rPr>
      </w:pPr>
    </w:p>
    <w:p>
      <w:pPr>
        <w:ind w:right="140" w:firstLine="589"/>
        <w:spacing w:after="0" w:line="271" w:lineRule="auto"/>
        <w:rPr>
          <w:sz w:val="20"/>
          <w:szCs w:val="20"/>
          <w:color w:val="auto"/>
        </w:rPr>
      </w:pPr>
      <w:r>
        <w:rPr>
          <w:rFonts w:ascii="Arial" w:cs="Arial" w:eastAsia="Arial" w:hAnsi="Arial"/>
          <w:sz w:val="17"/>
          <w:szCs w:val="17"/>
          <w:color w:val="auto"/>
        </w:rPr>
        <w:t>Evorpacept was investigated in two combinations and lines of therapy in subjects with recurrent/metastatic HNSCC. First, evorpacept was investigated in combination with pembrolizumab in subjects with recurrent/metastatic HNSCC who had received at least one prior systemic therapy. The clinical evaluation of evorpacept in HNSCC was an open-label, multisite expansion of our FIH Phase 1 trial to assess safety and tolerability with response rate and duration as secondary endpoints. There was no requirement for PD-L1 expression. Subjects received evorpacept 10 mg/kg QW in combination with pembrolizumab 200 mg on a Q3W dosing schedule. Subject response was evaluated based on RECIST version 1.1. Twenty subjects were dosed with evorpacept and as of October 1, 2020, all subjects in the evorpacept with pembrolizumab HNSCC expansion cohort were response evaluable. Because standard of care in first-line HNSCC was evolving during the course of this trial to include checkpoint inhibitors, 50% (10) of the subjects who enrolled were checkpoint inhibitor naïve and 50% (10) had previously received a checkpoint inhibitor.</w:t>
      </w:r>
    </w:p>
    <w:p>
      <w:pPr>
        <w:spacing w:after="0" w:line="178"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Additionally, evorpacept was investigated in the ongoing trial of evorpacept in combination with pembrolizumab, 5FU and platinum therapy in subjects with recurrent/metastatic HNSCC who had received no prior treatment for advanced disease. As of September 1, 2021, 13 subjects had been dosed and were response evaluable.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Outcomes</w:t>
      </w:r>
    </w:p>
    <w:p>
      <w:pPr>
        <w:spacing w:after="0" w:line="117" w:lineRule="exact"/>
        <w:rPr>
          <w:sz w:val="20"/>
          <w:szCs w:val="20"/>
          <w:color w:val="auto"/>
        </w:rPr>
      </w:pPr>
    </w:p>
    <w:p>
      <w:pPr>
        <w:ind w:left="880" w:hanging="440"/>
        <w:spacing w:after="0" w:line="289"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primary objective of the FIH Phase 1 trial was to assess safety. Final results of the fully enrolled evorpacept with pembrolizumab cohort and partially enrolled evorpacept plus pembrolizumab and chemotherapy cohort were reported at SITC 2020. As reported above in the summary tables of treatment-related adverse events from all evorpacept trials, the combination was well tolerated. As of October 1, 2020, evorpacept with pembrolizumab achieved an ORR of 40% (4/10) in checkpoint inhibitor naïve subjects while maintaining a tolerability profile consistent with earlier trials. Some of the 20 subjects had a CPS of zero and response was also observed within this subject population. We believe the addition of evorpacept to pembrolizumab represents a potentially significant advance over pembrolizumab monotherapy based on a review of the KEYNOTE-040 trial results that showed an ORR of 15% in a similar checkpoint inhibitor therapy naïve population. Based on our clinical trial data, the FDA granted Fast Track designation for evorpacept in combination with pembrolizumab, platinum, and fluorouracil for the first-line treatment of adult patients with metastatic or unresectable, recurrent HNSCC (February 2020).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left="880" w:hanging="440"/>
        <w:spacing w:after="0" w:line="296"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Updated results for evorpacept with pembrolizumab and chemotherapy were reported at SITC 2021. As of September 1, 2021 the thirteen evaluable subjects with first line (1L) HNSCC who have not received prior treatment for their advanced disease, evorpacept demonstrates an initial ORR of 38.5% with a 12-month OS rate of 87.5% and mOS not reached. These results compare favorably with benchmark survival data from standard pembrolizumab plus chemotherapy in the 1L HNSCC setting where ORR is a less reliable predictor for clinical benefit compared to longer-term metrics such as 12-month OS rate and mOS (the gold standard of clinical benefit) in patients with aggressive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111760</wp:posOffset>
            </wp:positionV>
            <wp:extent cx="5349240" cy="26142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Data cutoff September 1, 2021. NR = not reach. ND = not done. OR = objective response. mPFS = median progression free survival. mOS = median overall survival. CI = confidence interval.</w:t>
      </w:r>
    </w:p>
    <w:p>
      <w:pPr>
        <w:spacing w:after="0" w:line="170"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We also analyzed paired pre- and on-treatment tumor biopsies from subjects for the presence of CD8+ T cells, CD68+ and CD163+ myeloid cells. After treatment with evorpacept, tumor samples showed increased infiltration of CD8+, CD68+ and CD163+ cells in the tumor, which suggests that evorpacept also engages the innate and adaptive immune system consistent with its mechanism of action.</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Clinical development plan</w:t>
      </w:r>
    </w:p>
    <w:p>
      <w:pPr>
        <w:spacing w:after="0" w:line="117"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Our HNSCC development plan is to build on the initial results of evorpacept in checkpoint inhibitor naïve patients in combination with pembrolizumab. Given the results of KEYNOTE-048, we expect pembrolizumab, or pembrolizumab plus chemotherapy, to continue to be widely used in the first-line treatment of metastatic HNSCC. Therefore, our future plans will be focused on establishing additional efficacy, in the context of acceptable safety and tolerability, over pembrolizumab alone, and pembrolizumab plus chemotherapy, in the front-line metastatic HNSCC setting at investigational sites in the USA, Canada, UK, Europe, and Asia Pacific region. In September 2020, we announced a clinical trial collaboration with Merck to evaluate evorpacept in combination with pembrolizumab with and without chemotherapy in two randomized international Phase 2 trials in subjects with HNSCC who have not received prior therapy for advanced disease. The first trial (ASPEN-03), with the first patient enrolled in May 2021, is evaluating the efficacy of evorpacept in combination with pembrolizumab for the first-line treatment of patients with PD-L1 expressing metastatic or unresectable, recurrent HNSCC. The second trial (ASPEN-04), with the first patient enrolled in July 2021, is evaluating evorpacept in combination with pembrolizumab and standard chemotherapy for the first-line treatment of patients with metastatic or unresectable, recurrent HNSCC. In December 2020, the FDA informed us, that given our planned initiation of two randomized Phase 2 HNSCC clinical trials that could be potentially registrational, it required completion of a routine non-clinical safety study that was currently in process. The FDA noted that for any drug development program moving swiftly through development, this non-clinical study is required prior to the initiation of a clinical trial that could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180"/>
        <w:spacing w:after="0" w:line="259" w:lineRule="auto"/>
        <w:rPr>
          <w:sz w:val="20"/>
          <w:szCs w:val="20"/>
          <w:color w:val="auto"/>
        </w:rPr>
      </w:pPr>
      <w:r>
        <w:rPr>
          <w:rFonts w:ascii="Arial" w:cs="Arial" w:eastAsia="Arial" w:hAnsi="Arial"/>
          <w:sz w:val="18"/>
          <w:szCs w:val="18"/>
          <w:color w:val="auto"/>
        </w:rPr>
        <w:t>considered pivotal. As a component of the partial clinical hold, the FDA imposed a cap on patient enrollment to 50 patients across the two randomized Phase 2 studies (ASPEN-03 and ASPEN-04). We completed the required routine non-clinical safety study and in June 2021, the FDA informed us that it reviewed the study and lifted the partial clinical hold and cap on patient enrollment on the two studies. Patient enrollment and clinical trial timelines were not impacted in either study by the partial clinical hold / enrollment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196215</wp:posOffset>
            </wp:positionV>
            <wp:extent cx="5349240" cy="254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Evorpacept in HER2-Positive Gastric/GEJ</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background</w:t>
      </w:r>
    </w:p>
    <w:p>
      <w:pPr>
        <w:spacing w:after="0" w:line="117"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Over 25,000 people are estimated to be living in the United States with diagnosed metastatic gastric/GEJ carcinoma. A large, international Phase 3 trial of trastuzumab in gastric/GEJ cancer found that of the nearly 4,000 subjects screened for inclusion in the trial, 17% of them were HER2-positive, which suggests a general HER2-positive rate for patients with gastric/GEJ cancer. In East Asian countries, gastric/GEJ cancer is much more common than in the United States, with incidence rates 4-10 times higher. China alone has a diagnosed incidence of over 900,000 patients with gastric/GEJ cancer per year.</w:t>
      </w:r>
    </w:p>
    <w:p>
      <w:pPr>
        <w:spacing w:after="0" w:line="188"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First-line standard of care treatment is trastuzumab combined with the chemotherapy agents platinum and fluoropyrimidine. Trastuzumab, marketed as HERCEPTINÒ, is an anti-HER2 antibody that has multiple FDA approvals in patients with HER2-positive cancers. In the second-line HER2-positive gastric setting, there are no HER2 targeted FDA-approved therapies. As such, the standard of care regimen in the U.S. is ramucirumab, marketed as CyramzaÒ, a vascular endothelial growth factor 2 receptor monoclonal antibody, in combination with paclitaxel, a widely used chemotherapy. In a Phase 3 trial leading to FDA approval, ramucirumab plus paclitaxel achieved a 28% ORR with a 9.6 month mOS in subjects with previously treated gastric/GEJ cancer.</w:t>
      </w:r>
    </w:p>
    <w:p>
      <w:pPr>
        <w:spacing w:after="0" w:line="192"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HER2-positive patients with gastric/GEJ cancers in second-line treatment are likely to have received an anti-HER2 antibody-based treatment in their first line of treatment. A prospective clinical trial studied trastuzumab plus paclitaxel compared to paclitaxel alone in previously treated HER2-positive subjects with gastric/GEJ cancer. Subjects were required to have progressed during the first line of treatment with trastuzumab plus chemotherapy (fluoropyrimidine plus platinum). The objective of this trial was to assess the clinical effect of trastuzumab after patients had progressed on prior trastuzumab treatment. The trial results showed that the addition of trastuzumab added no meaningful clinical benefit over paclitaxel alone. There was no significant improvement in mOS, mPFS or ORR compared to the paclitaxel arm. Based on these data, we hypothesized that we could attribute observed responses when treating a similar subject population with evorpacept paired with trastuzumab, to a combination effect of the two agents and not simply a response to trastuzumab alone.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Trial design</w:t>
      </w:r>
    </w:p>
    <w:p>
      <w:pPr>
        <w:spacing w:after="0" w:line="117"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Evorpacept was investigated in two combinations in subjects with HER2-positive gastric/GEJ cancer in the Phase 1 FIH study. First, evorpacept was investigated with trastuzumab in subjects with relapsed/refractory HER2-positive gastric/GEJ cancer. This trial was an open-label, multisite expansion of our FIH Phase 1 trial to assess safety and tolerability with response rate and duration as secondary endpoints. Twenty subjects from the gastric/GEJ expansion cohort received evorpacept 10 mg/kg QW in combination with trastuzumab at an initial dose of 8 mg/kg followed by 6 mg/kg intravenous infusion Q3W. As of October 1, 2020, 19 subjects were response evaluable. One of the twenty subjects administered evorpacept discontinued the trial due to clinical symptoms of progression prior to their first scheduled on trial scan and therefore was not response evaluable per protocol definition.</w:t>
      </w:r>
    </w:p>
    <w:p>
      <w:pPr>
        <w:spacing w:after="0" w:line="164"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color w:val="auto"/>
        </w:rPr>
        <w:t>As of October1, 2020, in our trial of evorpacept plus trastuzumab, 18 of 19 response evaluable subjects from the gastric/GEJ expansion cohort, including all subjects who achieved a response, had been treated with at least one HER2-containing regimen prior to enrollment. Multiple subjects also received an investigational anti-HER2 agent and a PD-1 checkpoint inhibitor as prior treatment.</w:t>
      </w:r>
    </w:p>
    <w:p>
      <w:pPr>
        <w:spacing w:after="0" w:line="18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Additionally, evorpacept was investigated with trastuzumab, ramucirumab and paclitaxel in subjects with relapsed/refractory HER2-postive gastric/GEJ cancer who had progressed on prior trastuzumab, fluoropyrimidine or platinum in the FIH Phase 1 study. As of September 1, 2021, 18 subjects had enrolled, all of whom were response evaluable.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45516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455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23" w:name="page24"/>
    <w:bookmarkEnd w:id="23"/>
    <w:p>
      <w:pPr>
        <w:ind w:right="240" w:firstLine="589"/>
        <w:spacing w:after="0" w:line="286" w:lineRule="auto"/>
        <w:rPr>
          <w:sz w:val="20"/>
          <w:szCs w:val="20"/>
          <w:color w:val="auto"/>
        </w:rPr>
      </w:pPr>
      <w:r>
        <w:rPr>
          <w:rFonts w:ascii="Arial" w:cs="Arial" w:eastAsia="Arial" w:hAnsi="Arial"/>
          <w:sz w:val="17"/>
          <w:szCs w:val="17"/>
          <w:color w:val="auto"/>
        </w:rPr>
        <w:t>Data cutoff October 1, 2020 for evorpacept plus trastuzumab trial and September 1, 2021 for evorpacept with trastuzumab, ramucirumab and paclitaxel. ORR = Overall Response Rate. DOR = duration of response. mPFS = median progression free survival. mOS = median overall survival. CI = confidence interval. ND = Not Done. HER2 Score retrospectively assessed using archival tissue by a central IHC lab.</w:t>
      </w:r>
    </w:p>
    <w:p>
      <w:pPr>
        <w:spacing w:after="0" w:line="192"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The primary objective of the FIH Phase 1 trial was to assess safety and the combination regimen was well tolerated. Results of the fully enrolled evorpacept + trastuzumab cohort were reported at SITC 2020, and the fully enrolled evorpacept + trastuzumab + ramucirumab + paclitaxel cohort were reported at SITC 2021. Importantly, evorpacept with trastuzumab achieved an ORR of 21.1% (4/19) in subjects treated with the doublet and an ORR of</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72.2% (13/18) in subjects treated with evorpacept with trastuzumab, ramucirumab, and paclitaxel.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platinum-containing chemotherapy (January 2020) partly due to the data with evorpacept in combination with trastuzumab alone for the treatment of gastric cancer. In January 2022, the FDA’s Office of Orphan Products Development granted Orphan Drug Designation to evorpacept for the treatment of patients with gastric/GEJ cancer. Based on prior studies, one of which is described above, observed responses can likely be attributed to the combination effect and not a response to single-agent trastuzumab. As described above, ramucirumab and paclitaxel in a second-line setting resulted in an ORR of 28% in a Phase 3 trial leading to FDA approval. We believe that an ORR of 72.2 % in this second-line or later population supports further development of evorpacept in HER2-positive cancers.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plans</w:t>
      </w:r>
    </w:p>
    <w:p>
      <w:pPr>
        <w:spacing w:after="0" w:line="117"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We intend to initiate an international randomized Phase 2 trial of evorpacept with trastuzumab and chemotherapy for subjects with HER2-positive gastric/GEJ cancer with disease progression on or after prior trastuzumab (or other HER2-directed therapy), and fluoropyrimidine or platinum-containing chemotherapy as the first line of therapy for advanced disease, in the first quarter of 2022. This study will be conducted at investigational sites in the USA, UK, Europe, and Asia Pacific region. Data from this trial would confirm whether evorpacept improves the response rate to anti-HER2-based therapy in patients with HER2-positive gastric/GEJ cancer. Of note, there are multiple emerging agents, predominantly antibody-based therapies, in development for patients with HER2-positive cancer. Because these agents target HER2 as does trastuzumab, we believe that evorpacept has the potential to maximize the anti-cancer activity of these novel agents should they supplant trastuzumab in the treatment paradigm for these patients, however, clinical trials may be required to demonstrate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Evorpacept in HER2-expressing breast cancer and other solid tumors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plan to continue developing evorpacept in a broad range of tumor types and in novel combinations. In November 2020, we announced a clinical trial collaboration with Zymeworks to investigate evorpacept in combination with Zymeworks’ HER2-targeted bispecific antibody, zanidatamab, in patients with advanced HER2-expressing tumors.</w:t>
      </w:r>
    </w:p>
    <w:p>
      <w:pPr>
        <w:spacing w:after="0" w:line="184" w:lineRule="exact"/>
        <w:rPr>
          <w:sz w:val="20"/>
          <w:szCs w:val="20"/>
          <w:color w:val="auto"/>
        </w:rPr>
      </w:pPr>
    </w:p>
    <w:p>
      <w:pPr>
        <w:ind w:right="180" w:firstLine="589"/>
        <w:spacing w:after="0" w:line="301" w:lineRule="auto"/>
        <w:rPr>
          <w:sz w:val="20"/>
          <w:szCs w:val="20"/>
          <w:color w:val="auto"/>
        </w:rPr>
      </w:pPr>
      <w:r>
        <w:rPr>
          <w:rFonts w:ascii="Arial" w:cs="Arial" w:eastAsia="Arial" w:hAnsi="Arial"/>
          <w:sz w:val="16"/>
          <w:szCs w:val="16"/>
          <w:color w:val="auto"/>
        </w:rPr>
        <w:t>Under the terms of the agreement, Zymeworks will conduct an open label, multi-center Phase 1b trial to assess the safety and efficacy of the combination of zanidatamab and evorpacept in a two-part trial. The first part of the trial will evaluate the safety of the combination treatment. The second part of the trial will evaluate the safety, tolerability and anti-tumor activity of the combination in separate cohorts of subjects with HER2-overexpressing breast cancer, HER2-low breast cancer and non-breast HER2-expressing solid tumors. The first patient in this trial was enrolled in October 2021.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of evorpacept in Hematologic Malignancies</w:t>
      </w:r>
    </w:p>
    <w:p>
      <w:pPr>
        <w:spacing w:after="0" w:line="121" w:lineRule="exact"/>
        <w:rPr>
          <w:sz w:val="20"/>
          <w:szCs w:val="20"/>
          <w:color w:val="auto"/>
        </w:rPr>
      </w:pPr>
    </w:p>
    <w:p>
      <w:pPr>
        <w:ind w:right="380" w:firstLine="589"/>
        <w:spacing w:after="0" w:line="279" w:lineRule="auto"/>
        <w:rPr>
          <w:sz w:val="20"/>
          <w:szCs w:val="20"/>
          <w:color w:val="auto"/>
        </w:rPr>
      </w:pPr>
      <w:r>
        <w:rPr>
          <w:rFonts w:ascii="Arial" w:cs="Arial" w:eastAsia="Arial" w:hAnsi="Arial"/>
          <w:sz w:val="17"/>
          <w:szCs w:val="17"/>
          <w:color w:val="auto"/>
        </w:rPr>
        <w:t>The potential therapeutic role of CD47 blockade to date has been demonstrated in hematologic malignancies. This includes both our trials of evorpacept as well as trials by other CD47 blockade programs. We initiated a Phase 1 clinical trial (ASPEN-02) of evorpacept in patients with MDS in 2020 and in 2021 initiated a Phase 1 trial (ASPEN-05) in patients with AML based on our initial trials in the relapsed/refractory NHL clinical setting, preclinical studies and evidence for the clinical utility of the CD47 blockade from other programs.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NHL Proof-of-Principle</w:t>
      </w:r>
    </w:p>
    <w:p>
      <w:pPr>
        <w:spacing w:after="0" w:line="117" w:lineRule="exact"/>
        <w:rPr>
          <w:sz w:val="20"/>
          <w:szCs w:val="20"/>
          <w:color w:val="auto"/>
        </w:rPr>
      </w:pPr>
    </w:p>
    <w:p>
      <w:pPr>
        <w:ind w:right="160" w:firstLine="589"/>
        <w:spacing w:after="0" w:line="255" w:lineRule="auto"/>
        <w:rPr>
          <w:sz w:val="20"/>
          <w:szCs w:val="20"/>
          <w:color w:val="auto"/>
        </w:rPr>
      </w:pPr>
      <w:r>
        <w:rPr>
          <w:rFonts w:ascii="Arial" w:cs="Arial" w:eastAsia="Arial" w:hAnsi="Arial"/>
          <w:sz w:val="18"/>
          <w:szCs w:val="18"/>
          <w:color w:val="auto"/>
        </w:rPr>
        <w:t>Evorpacept’s initial hematologic clinical trial was a FIH Phase 1b expansion trial in combination with rituximab to treat subjects with relapsed/refractory NHL. This was an open-label, multisite trial to assess safety. Subjects received evorpacept 10 mg/kg QW or 15 mg/kg QW in combination with rituximab 375 mg/m2 administered as an intravenous infusion QW for four doses followed by once monthly for eight doses. In order to meet inclusion criteria, subjects must have had no curative therapy or standard approved therapy option available to them. Across all cohorts, as of October 1, 2020, subjects had received a median of three lines of therapy prior to enrollment in the evorpacept trial. These were heavily pre-treated subjects, all of whom had progressed on previous rituximab-containing regimens.</w:t>
      </w:r>
    </w:p>
    <w:p>
      <w:pPr>
        <w:spacing w:after="0" w:line="192"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Responses were evaluated according to the Lugano 2014 response criteria and reported as of October 1, 2020. As of October 1, 2020, evorpacept had been administered to 33 subjects. Thirty-two subjects were response evaluable. Eleven subjects had indolent lymphomas and 22 had aggressive lymphomas. There were 11 subjects enrolled to the higher dose 15 mg/kg QW cohort, 10 of whom were response evaluable. This cohort achieved an ORR of 70.0% (7/10). The ORR reported in the lower dose 10 mg/kg QW cohort was 40.9% (9/22).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363220</wp:posOffset>
            </wp:positionV>
            <wp:extent cx="5349240" cy="2571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Aggressive includes relapsed/refractory Diffuse Large B Cell and Mantle Cell Lymphomas. Indolent includes Follicular and Marginal Zone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Lymphomas; N: Response evaluable patients; ORR: Objective response rate (complete + partial response rates). Data cutoff: October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159385</wp:posOffset>
            </wp:positionV>
            <wp:extent cx="5349240" cy="2322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Data cutoff October 1, 2020; Response evaluable patients; Responses include metabolic response per Lugano Response Criteria.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more than 80% increase from baseline. * patient with rapid fatal progressive disease not represented in plot</w:t>
      </w:r>
    </w:p>
    <w:p>
      <w:pPr>
        <w:spacing w:after="0" w:line="22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view evorpacept’s initial activity in heavily pre-treated subjects with NHL as compelling evidence for the role of evorpacept in treating hematologic malignancies and as a favorable comparison to outcomes reported by other CD47 blocking agents in similar subjects. We believe the initial data in our 10 and 15 mg/kg QW cohorts, which showed a statistically significant exposure-dependent response, demonstrates evorpacept’s activity and supports higher dose administration in trials for subjects with MDS.</w:t>
      </w:r>
    </w:p>
    <w:p>
      <w:pPr>
        <w:spacing w:after="0" w:line="1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26" w:name="page27"/>
    <w:bookmarkEnd w:id="26"/>
    <w:p>
      <w:pPr>
        <w:ind w:right="20" w:firstLine="589"/>
        <w:spacing w:after="0" w:line="279" w:lineRule="auto"/>
        <w:rPr>
          <w:sz w:val="20"/>
          <w:szCs w:val="20"/>
          <w:color w:val="auto"/>
        </w:rPr>
      </w:pPr>
      <w:r>
        <w:rPr>
          <w:rFonts w:ascii="Arial" w:cs="Arial" w:eastAsia="Arial" w:hAnsi="Arial"/>
          <w:sz w:val="17"/>
          <w:szCs w:val="17"/>
          <w:color w:val="auto"/>
        </w:rPr>
        <w:t>Based on the activities seen at the 10 and 15 mg/kg QW doses coupled with a favorable tolerability profile, we proceeded to test higher doses, up to 60 mg/kg Q4W in MDS. We believe this dosing schedule may be unique among CD47 blockade programs and can potentially provide a more convenient regimen in combination with monthly azacitidine for patients. This data set also supported our decision to advance evorpacept into solid tumor indications at higher doses of 45 mg/kg once every three weeks, or Q3W, in combination with standard agents also administered Q3W.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Evorpacept for the Treatment of MDS</w:t>
      </w:r>
    </w:p>
    <w:p>
      <w:pPr>
        <w:spacing w:after="0" w:line="117"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Our development of evorpacept in hematologic indications is initially focused on MDS. There are approximately 70,000 people living with diagnosed MDS in the U.S. Patients with MDS have a wide range of expected outcomes that can be estimated from their Revised International Prognostic Scoring System, or IPSS-R, risk category. Patients with very low IPSS-R have an mOS of 8.8 years, whereas those with very high IPSS-R have an mOS of under ten months. Since nearly 75% of new cases are in patients aged 70 or older, balancing a patient’s age at prognosis with potential treatment-related impact on quality of life is important in considering treatment options. Regardless of age, treatment goals for patients with MDS are a balance of improved survival, symptom alleviation and quality of life.</w:t>
      </w:r>
    </w:p>
    <w:p>
      <w:pPr>
        <w:spacing w:after="0" w:line="192"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For patients with higher-risk MDS (intermediate, high and very high IPSS-R), standard of care treatments include stem cell transplant, or SCT, high and low-intensity chemotherapy regimens and HMAs. SCT is the only therapy that is potentially curative; however, the procedure is difficult to tolerate, especially for older patients, and has a non-relapse mortality rate of approximately 40% at 200 days for all patients with MDS.</w:t>
      </w:r>
    </w:p>
    <w:p>
      <w:pPr>
        <w:spacing w:after="0" w:line="165" w:lineRule="exact"/>
        <w:rPr>
          <w:sz w:val="20"/>
          <w:szCs w:val="20"/>
          <w:color w:val="auto"/>
        </w:rPr>
      </w:pPr>
    </w:p>
    <w:p>
      <w:pPr>
        <w:ind w:right="260" w:firstLine="589"/>
        <w:spacing w:after="0" w:line="291" w:lineRule="auto"/>
        <w:rPr>
          <w:sz w:val="20"/>
          <w:szCs w:val="20"/>
          <w:color w:val="auto"/>
        </w:rPr>
      </w:pPr>
      <w:r>
        <w:rPr>
          <w:rFonts w:ascii="Arial" w:cs="Arial" w:eastAsia="Arial" w:hAnsi="Arial"/>
          <w:sz w:val="16"/>
          <w:szCs w:val="16"/>
          <w:color w:val="auto"/>
        </w:rPr>
        <w:t>For patients who are ineligible for SCT, azacitidine, an HMA, is a standard backbone therapy for combination treatment regimens in MDS. The drug continues to be used in combination with investigational agents in a number of current MDS trials. Single-agent azacitidine is one of the few FDA-approved agents for patients with MDS. However, its FDA label indicates a complete response, or CR, rate of only 5.6% and an mOS of 2.0 years. A clinical complete response comprises normalizing peripheral blood counts, resolution of bone marrow dysplasia and reduction in the percentage of immature blood cells, or myeloblasts, to less than 5%. CD47 blockade in combination with azacitidine has shown early clinical evidence that suggests it may improve CR rates in MDS. For patients with higher-risk MDS, achieving a CR and improving overall survival are the central treatment goals. Treatment goals for patients with lower-risk MDS are different. The primary goal for those patients is resolution of cytopenias.</w:t>
      </w:r>
    </w:p>
    <w:p>
      <w:pPr>
        <w:spacing w:after="0" w:line="166" w:lineRule="exact"/>
        <w:rPr>
          <w:sz w:val="20"/>
          <w:szCs w:val="20"/>
          <w:color w:val="auto"/>
        </w:rPr>
      </w:pPr>
    </w:p>
    <w:p>
      <w:pPr>
        <w:ind w:right="160" w:firstLine="589"/>
        <w:spacing w:after="0" w:line="255" w:lineRule="auto"/>
        <w:rPr>
          <w:sz w:val="20"/>
          <w:szCs w:val="20"/>
          <w:color w:val="auto"/>
        </w:rPr>
      </w:pPr>
      <w:r>
        <w:rPr>
          <w:rFonts w:ascii="Arial" w:cs="Arial" w:eastAsia="Arial" w:hAnsi="Arial"/>
          <w:sz w:val="18"/>
          <w:szCs w:val="18"/>
          <w:color w:val="auto"/>
        </w:rPr>
        <w:t>Red blood cell transfusions are a key element of treatment intended to address cytopenias in patients with MDS. The majority of patients have a hemoglobin count of less than 10 g/dL and approximately one-third of patients are RBC transfusion dependent. Transfusions impose significant time and cost burdens on patients and also cause clinical sequelae such as iron overload and associated liver fibrosis and cardiomyopathy. Therefore, achieving transfusion independence is an important secondary goal of treating patients with higher-risk MDS. A competitive CD47 blocking agent has generated encouraging clinical data, however, it is associated with high rates of anemia that may require additional transfusions upon treatment initiation, mitigating any success in peripheral blood count normalization.</w:t>
      </w:r>
    </w:p>
    <w:p>
      <w:pPr>
        <w:spacing w:after="0" w:line="19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 current clinical experience with CD47 blocking agents in MDS underscores the need for combination therapy to increase CR rates above that seen with standard of care azacitidine monotherapy. As previously discussed, pro-phagocytic signals in evorpacept-based combinations can be provided by drugs that increase display of the “eat me” signal calreticulin on the surface of tumor cells. We have conducted preclinical studies that show that azacitidine and venetoclax increase both the display of the “eat me” signal calreticulin and the “don’t eat me” signal CD47 on AML cells, suggesting that a CD47 blocking agent could maximize the activity of venetoclax and azacitidine in these models. Additionally, we have shown that evorpacept in combination with venetoclax or azacitidine produces increased phagocytosis in vitro and anti-tumor activity in mouse models compared to azacitidine or venetoclax alone. Furthermore, combination treatment of evorpacept with azacitidine or venetoclax led to tumor elimination and prolonged survival in leukemia mouse models. Azacitidine and evorpacept monotherapies produced moderate tumor growth inhibition with all mice succumbing to disease by day 85 post inoculation. In contrast, the combination of evorpacept and azacitidine completely eliminated tumor growth with 100% animal survival up to study termination on day 147. We have also demonstrated in preclinical studies that evorpacept when combined with venetoclax, a BCL-2 inhibitor that is FDA approved for the treatment of patients with AML, led to tumor elimination in a leukemia tumor model.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363220</wp:posOffset>
            </wp:positionV>
            <wp:extent cx="5349240" cy="3129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12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firstLine="594"/>
        <w:spacing w:after="0" w:line="272" w:lineRule="auto"/>
        <w:rPr>
          <w:sz w:val="20"/>
          <w:szCs w:val="20"/>
          <w:color w:val="auto"/>
        </w:rPr>
      </w:pPr>
      <w:r>
        <w:rPr>
          <w:rFonts w:ascii="Arial" w:cs="Arial" w:eastAsia="Arial" w:hAnsi="Arial"/>
          <w:sz w:val="17"/>
          <w:szCs w:val="17"/>
          <w:color w:val="auto"/>
        </w:rPr>
        <w:t>Data from a competitive CD47 blockade program, magrolimab, further support trials of evorpacept for treatment of MDS. Magrolimab was studied both as a single-agent and in combination with azacitidine in subjects with higher-risk MDS or AML. As reported at ASCO 2020, magrolimab plus azacitidine achieved a 42% CR rate in previously untreated MDS and a 40% CR in previously untreated AML. As a single-agent, magrolimab achieved no CRs in relapsed/refractory MDS and AML, suggesting that a separate pro-phagocytic signal is required for the observed clinical activity. Despite the high rate of CRs achieved in combination, over 38% of subjects in these trials have experienced grade 3 or higher treatment-related anemia. On January 25, 2021, the FDA placed an ongoing partial clinical hold on studies administering magrolimab in hematologic malignancies due to safety concerns. Notwithstanding these limitations, magrolimab’s data support the potential role of CD47 blockade in treating these subjects.</w:t>
      </w:r>
    </w:p>
    <w:p>
      <w:pPr>
        <w:spacing w:after="0" w:line="177" w:lineRule="exact"/>
        <w:rPr>
          <w:sz w:val="20"/>
          <w:szCs w:val="20"/>
          <w:color w:val="auto"/>
        </w:rPr>
      </w:pPr>
    </w:p>
    <w:p>
      <w:pPr>
        <w:ind w:firstLine="594"/>
        <w:spacing w:after="0" w:line="272" w:lineRule="auto"/>
        <w:rPr>
          <w:sz w:val="20"/>
          <w:szCs w:val="20"/>
          <w:color w:val="auto"/>
        </w:rPr>
      </w:pPr>
      <w:r>
        <w:rPr>
          <w:rFonts w:ascii="Arial" w:cs="Arial" w:eastAsia="Arial" w:hAnsi="Arial"/>
          <w:sz w:val="17"/>
          <w:szCs w:val="17"/>
          <w:color w:val="auto"/>
        </w:rPr>
        <w:t>Our strategy is to pursue evorpacept as a potentially critical component for future combination treatment options for patients with higher-risk MDS. Our preclinical models, activity of evorpacept in NHL where magrolimab has reported similar data and available CD47 clinical data in this indication support a potential role for evorpacept for treatment of patients with MDS. Baseline characteristics of subjects in a recent trial of azacitidine plus venetoclax in treatment-naïve higher-risk MDS illustrated the need for therapies that do not induce cytopenias. Prior to treatment, 56% of subjects had grade 3 or higher neutropenia, 33% had grade 3 or higher thrombocytopenia, 40% had grade 3 or higher leukopenia and 12% had grade 3 or higher anemia. We believe that it is important to develop a CD47 blocking therapy that does not exacerbate cytopenias that patients may already exhibit pre-treatment. evorpacept’s tolerability profile to date suggests it may address this unmet need in patients who suffer from MDS.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Trial design</w:t>
      </w:r>
    </w:p>
    <w:p>
      <w:pPr>
        <w:spacing w:after="0" w:line="117" w:lineRule="exact"/>
        <w:rPr>
          <w:sz w:val="20"/>
          <w:szCs w:val="20"/>
          <w:color w:val="auto"/>
        </w:rPr>
      </w:pPr>
    </w:p>
    <w:p>
      <w:pPr>
        <w:ind w:firstLine="594"/>
        <w:spacing w:after="0" w:line="291" w:lineRule="auto"/>
        <w:rPr>
          <w:sz w:val="20"/>
          <w:szCs w:val="20"/>
          <w:color w:val="auto"/>
        </w:rPr>
      </w:pPr>
      <w:r>
        <w:rPr>
          <w:rFonts w:ascii="Arial" w:cs="Arial" w:eastAsia="Arial" w:hAnsi="Arial"/>
          <w:sz w:val="16"/>
          <w:szCs w:val="16"/>
          <w:color w:val="auto"/>
        </w:rPr>
        <w:t>In October 2020, we initiated a Phase 1b/2 trial of evorpacept in combination with azacitidine for the treatment of subjects with higher-risk MDS. The Phase 1b portion of the trial evaluated up to 60 mg/kg Q4W of evorpacept plus standard azacitidine in subjects with relapsed/refractory and previously untreated MDS. The Phase 1b dose expansion portion of the trial currently enrolling is evaluating 40 mg/kg Q4W and 60 mg/kg Q4W of evorpacept plus standard azacitidine in subjects with previously untreated MDS. The Phase 2 portion of the trial will assess the combination of evorpacept and azacitidine in subjects with previously untreated higher-risk MDS at investigational sites in the USA, UK, Europe, and Asia Pacific region. The primary endpoint will be complete remission rate by six months. We intend to pursue a strategy in which we will leverage the data generated from this Phase 1b/2 study to request from the FDA that evorpacept be a candidate for registration for the first line treatment of higher risk MDS.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114935</wp:posOffset>
            </wp:positionV>
            <wp:extent cx="5349240" cy="2486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Outcomes</w:t>
      </w:r>
    </w:p>
    <w:p>
      <w:pPr>
        <w:spacing w:after="0" w:line="117" w:lineRule="exact"/>
        <w:rPr>
          <w:sz w:val="20"/>
          <w:szCs w:val="20"/>
          <w:color w:val="auto"/>
        </w:rPr>
      </w:pPr>
    </w:p>
    <w:p>
      <w:pPr>
        <w:ind w:firstLine="495"/>
        <w:spacing w:after="0" w:line="269" w:lineRule="auto"/>
        <w:rPr>
          <w:sz w:val="20"/>
          <w:szCs w:val="20"/>
          <w:color w:val="auto"/>
        </w:rPr>
      </w:pPr>
      <w:r>
        <w:rPr>
          <w:rFonts w:ascii="Arial" w:cs="Arial" w:eastAsia="Arial" w:hAnsi="Arial"/>
          <w:sz w:val="17"/>
          <w:szCs w:val="17"/>
          <w:color w:val="auto"/>
        </w:rPr>
        <w:t>We announced the presentation of initial clinical data from our ongoing ASPEN-02 trial evaluating evorpacept in combination with azacitidine for the treatment of patients with previously untreated higher-risk (HR) or relapsed or refractory (r/r MDS). The results, shared in a poster at the 63rd American Society of Hematology (ASH) Annual Meeting [Abstract #2601], show that the combination of evorpacept and azacitidine is active and well tolerated. As of October 25, 2021, 22 patients with either previously untreated HR or r/r MDS have been treated with evorpacept in the Phase 1 dose escalation part of the study, administered at 20 mg/kg or 30 mg/kg once every 2 weeks (Q2W) or 60 mg/kg once every 4 weeks (Q4W) together with standard dosing of azacitidine. Median follow-up is 3.4 months, and accrual is ongoing. Evorpacept in combination with azacitidine was well tolerated (N=22) with no dose limiting toxicities, no observed treatment related serious adverse events, and a maximum administered dose of 60 mg/kg Q4W. In 6 previously untreated HR MDS response-evaluable patients, 3 patients achieved an objective response (“OR”) (2 complete response (CR), 1 marrow CR), and 2 patients achieved stable disease (SD). Two out of 4 transfusion dependent patients achieved transfusion independence on study. Among 5 previously untreated HR MDS patients with TP53 mutation and complex cytogenetic abnormalities, 3 achieved an OR (2 CR and 1 marrow CR). Five of 9 patients with response-evaluable relapsed or refractory MDS that had progressed upon prior hypomethylating agents achieved an OR (5 marrow CRs). In addition, 2 patients achieved SD.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363220</wp:posOffset>
            </wp:positionV>
            <wp:extent cx="5349240" cy="25114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Evorpacept’s favorable initial tolerability profile in combination with azacitidine suggests it may be safely added without worsening cytopenias, which is particularly notable for this patient population.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Evorpacept for the treatment of AML</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Our preclinical studies and clinical trials from competing CD47 agents support the potential role of evorpacept in the treatment of patients with AML. In the United States, there are over 35,000 people living with AML with an expected 20,000 newly diagnosed cases and over 11,000 deaths from the disease in 2020. Overall survival for patients with AML is generally worse than patients with higher-risk MDS. Median overall survival for patients with AML ranges from approximately 15 months for patients with favorable cytogenetic risk factors to less than 5 months for those with adverse risk factors. Similar to MDS, patients tend to be older with a median age at diagnosis of 68.</w:t>
      </w:r>
    </w:p>
    <w:p>
      <w:pPr>
        <w:spacing w:after="0" w:line="188"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First-line treatment options for patients can be broadly stratified into high-intensity and low-intensity induction regimens. High-intensity induction chemotherapy is typically cytarabine plus an anthracycline (so called “7+3”) administered over a 28-day cycle. While patients can derive long term benefit from 7+3, the risks of the regimen are substantial. 60-day treatment-related mortality from 7+3 induction have been as high as 27% and have declined to 6-8% in recent years, likely due in part to more stringent patient selection and the decreased average age of patients who receive 7+3. Patients who are not candidates for intensive induction chemotherapy due to preference, performance status, or other reasons are likely to receive low-intensity regimens characterized by the use of HMAs, venetoclax or combined HMA plus venetoclax. In the past decade, the percentage of patients 65 and older who receive first-line high-intensity treatment has declined from approximately 70% to 40%, while the use of HMAs in this population increased from 11% to 44%. Venetoclax combined with an HMA recently received approval from the FDA for use in adults who are 75 years or older or who have comorbidities that exclude the use of intensive induction chemotherapy. In the Phase 3 VIALE-A trial, venetoclax achieved a 37% CR rate in combination with azacitidine and a median duration of CR of 18.0 months. Despite these results, we believe there is a significant unmet need for more effective and well-tolerated first-line treatment options for patients who are not candidates for high-intensity therapy.</w:t>
      </w:r>
    </w:p>
    <w:p>
      <w:pPr>
        <w:spacing w:after="0" w:line="172"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mechanistic rationale for combining evorpacept with azacitidine in AML is similar to the rationale for MDS. Preclinical studies show that azacitidine increases the display of calreticulin, a pro-phagocytic signal, on cancer cells in AML models. The preclinical studies that support the use of evorpacept combinations in MDS also support its use in AML. Clinically, the CD47 agent magrolimab has achieved a 40% CR rate in untreated AML when used in combination with azacitidine. In a separate study in patients 65 and older with untreated AML, single-agent azacitidine as achieved a 20% CR rate. We believe this indicates CD47 agents could increase the activity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ind w:right="160"/>
        <w:spacing w:after="0" w:line="277" w:lineRule="auto"/>
        <w:rPr>
          <w:sz w:val="20"/>
          <w:szCs w:val="20"/>
          <w:color w:val="auto"/>
        </w:rPr>
      </w:pPr>
      <w:r>
        <w:rPr>
          <w:rFonts w:ascii="Arial" w:cs="Arial" w:eastAsia="Arial" w:hAnsi="Arial"/>
          <w:sz w:val="18"/>
          <w:szCs w:val="18"/>
          <w:color w:val="auto"/>
        </w:rPr>
        <w:t>HMAs above their single-agent levels. Furthermore, our preclinical data of evorpacept in combination with venetoclax supports the combination with this agent that is increasingly being used in the treatment of patients with AML.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design</w:t>
      </w:r>
    </w:p>
    <w:p>
      <w:pPr>
        <w:spacing w:after="0" w:line="11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initiated a Phase 1/2 trial of evorpacept in combination with venetoclax and azacitidine for the first-line treatment of patients with AML (ASPEN-05) in 2021 and enrolled the first patient in October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186055</wp:posOffset>
            </wp:positionV>
            <wp:extent cx="5349240" cy="2280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121" w:lineRule="exact"/>
        <w:rPr>
          <w:sz w:val="20"/>
          <w:szCs w:val="20"/>
          <w:color w:val="auto"/>
        </w:rPr>
      </w:pPr>
    </w:p>
    <w:p>
      <w:pPr>
        <w:ind w:right="140" w:firstLine="589"/>
        <w:spacing w:after="0" w:line="272" w:lineRule="auto"/>
        <w:rPr>
          <w:sz w:val="20"/>
          <w:szCs w:val="20"/>
          <w:color w:val="auto"/>
        </w:rPr>
      </w:pPr>
      <w:r>
        <w:rPr>
          <w:rFonts w:ascii="Arial" w:cs="Arial" w:eastAsia="Arial" w:hAnsi="Arial"/>
          <w:sz w:val="17"/>
          <w:szCs w:val="17"/>
          <w:color w:val="auto"/>
        </w:rPr>
        <w:t>We also have a preclinical program focused on developing ALTA-002, a SIRPα TRAAC, that may offer additional ways to engage the innate and adaptive immune response to cancer. SIRPα TRAAC is complementary to our CD47 blocker approach. SIRPα is expressed on myeloid cells and dendritic cells which have toll-like receptor 9, or TLR9, an intracellular receptor present in a wide variety of immune cells, including B-cells, myeloid cells and dendritic cells. TRAAC, or TLR9 agonist antibody conjugate, is designed specifically for compatibility with antibody conjugation, superior pharmacokinetics, receptor-mediated uptake, and TLR9 stimulation with the potential for intravenous administration. SIRPα TRAAC is an agonistic molecule targeting myeloid cells and directly activates them, resulting in cytokine release, antigen presentation, and initiation of a coordinated innate and adaptive immune response against cancer. An IND for ALTA-002 is planned for 2023.</w:t>
      </w:r>
    </w:p>
    <w:p>
      <w:pPr>
        <w:spacing w:after="0" w:line="21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October 2021, we acquired ScalmiBio and intend to further expand our pipeline with plans to develop new anti-cancer drug candidates based on ScalmiBio’s SHIELD technology platform; these new molecules will be designed to address unmet cancer patient needs as stand-alone therapeutics and in combination with ALX Oncology’s lead product candidate, evorpacept, a next-generation CD47 blocker designed to leverage the immune activation of broadly used anti-cancer agents through combination strategies. ScalmiBio’s SHIELD technology is designed to minimize interaction of an antibody therapeutic with normal tissue and maximize its target binding capability within tumor microenvironment. ScalmiBio’s conditional activation technology aims to increase therapeutic index by minimizing dose limiting toxicities of existing checkpoint inhibitors and other targeted anti-cancer biologics as well as enable the design of antibody-drug conjugates (ADCs) with higher drug-to-antibody ratios for improved anti-cancer activity. ALX Oncology has also acquired ScalmiBio’s proprietary cytotoxic payloads for the development of ADCs.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Licensing and Intellectual Property</w:t>
      </w:r>
    </w:p>
    <w:p>
      <w:pPr>
        <w:spacing w:after="0" w:line="121"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current and future product candidates, novel discoveries, product development technologies and knowhow and to operate without infringing on the proprietary rights of others. We seek to protect our proprietary position by, among other methods, filing or in-licensing U.S. and foreign patents and patent applications related to technology, inventions and improvements that are important to the development and implementation of our business. Our patent portfolio is intended to cover our product candidates and related components, their methods of use and processes for their manufacture and any other inventions that are commercially important to our business. We also rely on trademarks, trade secrets, knowhow, continuing technological innovation and confidential information to develop and maintain our proprietary position.</w:t>
      </w:r>
    </w:p>
    <w:p>
      <w:pPr>
        <w:spacing w:after="0" w:line="195" w:lineRule="exact"/>
        <w:rPr>
          <w:sz w:val="20"/>
          <w:szCs w:val="20"/>
          <w:color w:val="auto"/>
        </w:rPr>
      </w:pPr>
    </w:p>
    <w:p>
      <w:pPr>
        <w:ind w:right="140" w:firstLine="589"/>
        <w:spacing w:after="0" w:line="290" w:lineRule="auto"/>
        <w:rPr>
          <w:sz w:val="20"/>
          <w:szCs w:val="20"/>
          <w:color w:val="auto"/>
        </w:rPr>
      </w:pPr>
      <w:r>
        <w:rPr>
          <w:rFonts w:ascii="Arial" w:cs="Arial" w:eastAsia="Arial" w:hAnsi="Arial"/>
          <w:sz w:val="16"/>
          <w:szCs w:val="16"/>
          <w:color w:val="auto"/>
        </w:rPr>
        <w:t>As of December 31, 2021, we own three issued U.S. patents, twenty-five foreign issued patents, thirteen pending U.S. nonprovisional patent applications, four pending U.S. provisional patent applications and a portfolio of national patent application filings in a variety of non-U.S. jurisdictions, including Europe, Hong Kong, Brazil, Mexico, New Zealand, Japan, Australia, Canada, China, India, Israel, Republic of Korea, Singapore and Russia. Of these patents and patent applications, the following relate to evorpacept: three issued U.S. patents, eight pending U.S. nonprovisional patent applications, two pending U.S. provisional patent applications and a portfolio of national patent application filings in a variety of non-U.S. jurisdictions, including Europe, Hong Kong, Brazil, Mexico, New Zealand, Japan, Australia, Canada, China, India, Israel, Republic of Korea, Singapore and Russia. We acquired ScalmiBio and its portfolio, which covers antibody shielding technology and exatecan derivatives. The portfolio includes one U.S. nonprovisional patent application, one pending foreign patent application, and two pending U.S. provisional patent applications.</w:t>
      </w:r>
    </w:p>
    <w:p>
      <w:pPr>
        <w:spacing w:after="0" w:line="165"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granted. Our three U.S. issued patents and, if issued as U.S. patents, our thirteen U.S. nonprovisional patent applications and four U.S. provisional patent applications are expected to expire between August 2036 and June 2042, excluding any additional term for patent term adjustments or patent term extensions, with an expiration of between August 2036 and June 2042 with respect to our patent and patent applications related to evorpacept, excluding any additional term for patent term extensions.</w:t>
      </w:r>
    </w:p>
    <w:p>
      <w:pPr>
        <w:spacing w:after="0" w:line="15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We obtained a worldwide, royalty-bearing, sublicensable license from the Board of Trustees of the Leland Stanford Junior University, or Stanford, under certain patents relating to high-affinity SIRPα variant polypeptides, to develop, manufacture and commercialize products for use in certain licensed fields, the scope of which would include the application of the licensed intellectual property in oncology. Our portfolio of exclusively licensed patents from Stanford includes eleven issued patents (two of which are in the United States) and applications are pending in six jurisdictions (including the United States and the European Patent Office). For more information regarding our license agreement with Stanford, please see “—Exclusive (Equity) Agreement with The Board of Trustees of the Leland Stanford Junior University.”</w:t>
      </w:r>
    </w:p>
    <w:p>
      <w:pPr>
        <w:spacing w:after="0" w:line="192"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Our patent portfolio exclusively licensed from Stanford contains patent families relating to high-affinity SIRPα variant polypeptides, which includes two issued patents in the U.S. and one each in Australia, Canada, China, Europe, Hong Kong and four in Japan. The European patent has been validated as national patents in 37 different European countries. The patent family includes one pending patent application in each of U.S., Europe, and Japan and two pending patent applications in Hong Kong. These patents and patent applications are subject to retained rights by Stanford to allow academic and nonprofit research institutions to practice the licensed technology and patents for noncommercial purposes. In addition, these patents are subject to certain pre-existing rights that Stanford has granted to two third parties. These patents are expected to expire in 2033 excluding any extension of patent term that may be available.</w:t>
      </w:r>
    </w:p>
    <w:p>
      <w:pPr>
        <w:spacing w:after="0" w:line="19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are aware of a revoked European patent (EP 2 429 574) owned by UHN and The Hospital for Sick Children that may encompass certain therapies for the treatment of cancer using polypeptides comprising soluble human SIRPα, or a CD47-binding fragment thereof. This revoked patent related to the treatment of cancer with polypeptides comprising soluble human SIRPα, or a CD47-binding fragment thereof. This patent was revoked by the European Patent Office and UHN and The Hospital for Sick Children have appealed the decision. If UHN and the Hospital for Sick Children win their appeal of the European Patent Office decision revoking their European patent, the resulting patent claims could potentially limit our ability to pursue evorpacept in certain new indications or geographies in the future. The U.S. counterpart was recently granted as US patent 10,907,209. However, we believe that we do not infringe claims listed in this U.S. patent.</w:t>
      </w:r>
    </w:p>
    <w:p>
      <w:pPr>
        <w:spacing w:after="0" w:line="195"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For more information regarding the risks related to our intellectual property, including the above referenced intellectual property proceedings, see “Risk Factors—Risks Related to Our Intellectual Property.”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Exclusive (Equity) Agreement with The Board of Trustees of the Leland Stanford Junior University</w:t>
      </w:r>
    </w:p>
    <w:p>
      <w:pPr>
        <w:spacing w:after="0" w:line="121"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In March 2015, we entered into a license agreement, or the Stanford Agreement, with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7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common stock.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The Company recorded the first milestone payment of $0.2 million during the year ended December 31, 2021.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85"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We may terminate the Stanford Agreement, on a licensed product-by-licensed product basis, at any time for any reason by providing at least 60 days’ written notice to Stanford. Stanford may terminate the Stanford Agreement if we are in breach of any provision of the Stanford Agreement and fail to remedy such breach within 60 days after written notice of such breach by Stanford. In addition, Stanford has the right to terminate the Stanford Agreement, on a licensed product-by-licensed product basis, if we are not diligently developing and commercializing such licensed product under certain conditions or if we fail to achieve specified development milestones for such licensed product by certain dates, subject to our extension rights.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Third-Party Agreements</w:t>
      </w:r>
    </w:p>
    <w:p>
      <w:pPr>
        <w:spacing w:after="0" w:line="12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We have entered into license agreements with third parties related to the development and commercialization of our product candidates, including evorpacept, and SIRPα antibodies which we are exploring in our research program. In consideration of the foregoing, we have agreed to customary payment terms in these agreements, including certain milestone payments upon the achievement of clinical and commercial milestones and low single-digit royalties. See the section titled “Management’s Discussion and Analysis of Financial Condition and Results of Operations—Contractual Obligations and Commitments—License and Collaboration Agreements.”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540" w:firstLine="589"/>
        <w:spacing w:after="0" w:line="255" w:lineRule="auto"/>
        <w:rPr>
          <w:sz w:val="20"/>
          <w:szCs w:val="20"/>
          <w:color w:val="auto"/>
        </w:rPr>
      </w:pPr>
      <w:r>
        <w:rPr>
          <w:rFonts w:ascii="Arial" w:cs="Arial" w:eastAsia="Arial" w:hAnsi="Arial"/>
          <w:sz w:val="18"/>
          <w:szCs w:val="18"/>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We do not own or operate and do not intend to establish our own manufacturing facilities. We rely on, and will continue to rely on, CMOs for both drug substance and drug product. Both evorpacept bulk drug substance and finished drug product are produced in accordance with current good manufacturing practices, or cGMPs.</w:t>
      </w:r>
    </w:p>
    <w:p>
      <w:pPr>
        <w:spacing w:after="0" w:line="184"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Our existing supply of evorpacept drug product is sufficient to complete our clinical trials through the first quarter in 2023. We plan to manufacture additional supplies with our existing CMOs to produce evorpacept drug product sufficient to complete the ongoing and planned clinical trials described in this document. We first entered into an engagement with KBI Biopharma, Inc. in 2015 for analytical method development, formulation development, bulk drug manufacturing, release and stability testing. We first entered into a drug product manufacturing agreement with Lyophilization Services of New England, Inc. in 2016 and have subsequently used them for all evorpacept drug product used in clinical trials to date.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immune-oncology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but are not limited to, AstraZeneca, Bristol Myers Squibb, Gilead Sciences, Merck, Novartis, Pfizer and Roche/Genentech.</w:t>
      </w:r>
    </w:p>
    <w:p>
      <w:pPr>
        <w:spacing w:after="0" w:line="17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Apexigen, Arch Therapeutics, Bristol Myers Squibb, Gilead Sciences (through its acquisition of Forty Seven), I-Mab, Innovent, Kahr, Novimmune, OSE Immunotherapeutics, Pfizer (through its recent acquisition of Trillium Therapeutics), and Shattack,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5"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77"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In the United States, the FDA, regulates biologic products under the Food, Drug, and Cosmetic Act, or FDCA, and Public Health Service Act, or PHSA. Biologic products and substances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78"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Any future product candidates must be approved by the FDA through the BLA process before they may be legally marketed in the United States.</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process generally involves the following:</w:t>
      </w:r>
    </w:p>
    <w:p>
      <w:pPr>
        <w:spacing w:after="0" w:line="117" w:lineRule="exact"/>
        <w:rPr>
          <w:sz w:val="20"/>
          <w:szCs w:val="20"/>
          <w:color w:val="auto"/>
        </w:rPr>
      </w:pPr>
    </w:p>
    <w:p>
      <w:pPr>
        <w:ind w:left="1160" w:right="16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animal studies performed in accordance with the FDA’s current Good Laboratory Practices, or GLP, regulation.</w:t>
      </w:r>
    </w:p>
    <w:p>
      <w:pPr>
        <w:spacing w:after="0" w:line="62"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or IND, application, which must become effective before clinical trials may begin and must be updated annually or when significant changes are made.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or ethics committee at each clinical site before the trial is commenced.</w:t>
      </w:r>
    </w:p>
    <w:p>
      <w:pPr>
        <w:spacing w:after="0" w:line="155" w:lineRule="exact"/>
        <w:rPr>
          <w:rFonts w:ascii="Arial" w:cs="Arial" w:eastAsia="Arial" w:hAnsi="Arial"/>
          <w:sz w:val="17"/>
          <w:szCs w:val="17"/>
          <w:color w:val="auto"/>
        </w:rPr>
      </w:pPr>
    </w:p>
    <w:p>
      <w:pPr>
        <w:ind w:left="1160" w:right="240" w:hanging="572"/>
        <w:spacing w:after="0" w:line="263"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the applicable IND regulations, good clinical practice, or GCP, requirements to establish the safety, purity and potency (</w:t>
      </w:r>
      <w:r>
        <w:rPr>
          <w:rFonts w:ascii="Arial" w:cs="Arial" w:eastAsia="Arial" w:hAnsi="Arial"/>
          <w:sz w:val="18"/>
          <w:szCs w:val="18"/>
          <w:i w:val="1"/>
          <w:iCs w:val="1"/>
          <w:color w:val="auto"/>
        </w:rPr>
        <w:t>i.e.</w:t>
      </w:r>
      <w:r>
        <w:rPr>
          <w:rFonts w:ascii="Arial" w:cs="Arial" w:eastAsia="Arial" w:hAnsi="Arial"/>
          <w:sz w:val="18"/>
          <w:szCs w:val="18"/>
          <w:color w:val="auto"/>
        </w:rPr>
        <w:t>, safety and effectiveness) of the proposed biologic product candidate for its intended purpose.</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Compliance with PREA, BPCA and FDARA regarding development of certain molecularly targeted oncology drugs for pediatric use.</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Satisfactory completion of any FDA audit of preclinical studies and/or clinical trial sites that generated the data in support of the BLA.</w:t>
      </w:r>
    </w:p>
    <w:p>
      <w:pPr>
        <w:spacing w:after="0" w:line="155" w:lineRule="exact"/>
        <w:rPr>
          <w:rFonts w:ascii="Arial" w:cs="Arial" w:eastAsia="Arial" w:hAnsi="Arial"/>
          <w:sz w:val="17"/>
          <w:szCs w:val="17"/>
          <w:color w:val="auto"/>
        </w:rPr>
      </w:pPr>
    </w:p>
    <w:p>
      <w:pPr>
        <w:ind w:left="1160" w:right="180" w:hanging="572"/>
        <w:spacing w:after="0" w:line="311" w:lineRule="auto"/>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GCPs.</w:t>
      </w:r>
    </w:p>
    <w:p>
      <w:pPr>
        <w:spacing w:after="0" w:line="40" w:lineRule="exact"/>
        <w:rPr>
          <w:rFonts w:ascii="Arial" w:cs="Arial" w:eastAsia="Arial" w:hAnsi="Arial"/>
          <w:sz w:val="16"/>
          <w:szCs w:val="16"/>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FDA review and approval of a BLA to permit commercial marketing of the product for particular indications for use in the United States.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ind w:left="1160" w:right="760" w:hanging="572"/>
        <w:spacing w:after="0" w:line="308" w:lineRule="auto"/>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FDA review and approval of the combination partner NDA/BLA to address any necessary cross-labeling requirements to permit commercial marketing of the combination product for the particular indications for use in the United States.</w:t>
      </w:r>
    </w:p>
    <w:p>
      <w:pPr>
        <w:spacing w:after="0" w:line="38" w:lineRule="exact"/>
        <w:rPr>
          <w:rFonts w:ascii="Arial" w:cs="Arial" w:eastAsia="Arial" w:hAnsi="Arial"/>
          <w:sz w:val="17"/>
          <w:szCs w:val="17"/>
          <w:color w:val="auto"/>
        </w:rPr>
      </w:pPr>
    </w:p>
    <w:p>
      <w:pPr>
        <w:ind w:left="1160" w:right="38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17"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The data required to support a BLA are generated in two distinct developmental stages: preclinical and clinical. The preclinical and clinical testing and approval process require substantial time, effort and financial resources, and we cannot be certain that any approvals for any future product candidates will be granted on a timely basis, or at all.</w:t>
      </w:r>
    </w:p>
    <w:p>
      <w:pPr>
        <w:spacing w:after="0" w:line="184"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The preclinical developmental stage generally involves laboratory evaluations of product chemistry, formulation and stability, as well as studies to evaluate toxicity in animals, including pharmacology, PK, toxicokinetic and metabolism studies, that support subsequent clinical testing in humans. The sponsor must submit the results of the preclinical studies, together with manufacturing information, analytical data, any available clinical data or literature and a proposed clinical protocol, to the FDA as part of the IND.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64"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Prior to beginning the first clinical trial with a product candidate, we must submit an IND to the FDA. An IND is a request for authorization from the FDA to administer an investigational new biopharmaceutical product to humans.</w:t>
      </w:r>
    </w:p>
    <w:p>
      <w:pPr>
        <w:spacing w:after="0" w:line="170"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central focus of an IND submission is on the general investigational plan and the protocol(s) for clinical trials. An IND must become effective before human clinical trials may begin. The IND automatically becomes effective 30 days after receipt by the FDA, unless before that time the FDA raises any concerns or questions about the proposed clinical trial(s) and places the trial(s) on clinical hold.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8"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spacing w:after="0" w:line="168"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trial not conducted under an IND if the trial was conducted in accordance with GCP requirements, the clinical data are relevant to the US patient population in terms of medical practice, standard of care, and patient population definition, and the FDA is able to validate the data through an onsite inspection if deemed necessary.</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36" w:name="page37"/>
    <w:bookmarkEnd w:id="36"/>
    <w:p>
      <w:pPr>
        <w:ind w:left="60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117" w:lineRule="exact"/>
        <w:rPr>
          <w:sz w:val="20"/>
          <w:szCs w:val="20"/>
          <w:color w:val="auto"/>
        </w:rPr>
      </w:pPr>
    </w:p>
    <w:p>
      <w:pPr>
        <w:jc w:val="both"/>
        <w:ind w:left="1160" w:right="40" w:hanging="572"/>
        <w:spacing w:after="0" w:line="259"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Phase 1. For biologics being studied in oncology indications, the investigational product is initially introduced into patients with the target disease or condition. These trials are generally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78" w:lineRule="exact"/>
        <w:rPr>
          <w:rFonts w:ascii="Arial" w:cs="Arial" w:eastAsia="Arial" w:hAnsi="Arial"/>
          <w:sz w:val="18"/>
          <w:szCs w:val="18"/>
          <w:color w:val="auto"/>
        </w:rPr>
      </w:pPr>
    </w:p>
    <w:p>
      <w:pPr>
        <w:ind w:left="1160" w:right="320" w:hanging="572"/>
        <w:spacing w:after="0" w:line="259"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and additional information on PK and PD. Multiple Phase 2 clinical trials may be conducted to obtain information prior to beginning larger and more expensive Phase 3 clinical trials.</w:t>
      </w:r>
    </w:p>
    <w:p>
      <w:pPr>
        <w:spacing w:after="0" w:line="78" w:lineRule="exact"/>
        <w:rPr>
          <w:rFonts w:ascii="Arial" w:cs="Arial" w:eastAsia="Arial" w:hAnsi="Arial"/>
          <w:sz w:val="18"/>
          <w:szCs w:val="18"/>
          <w:color w:val="auto"/>
        </w:rPr>
      </w:pPr>
    </w:p>
    <w:p>
      <w:pPr>
        <w:ind w:left="1160" w:right="20" w:hanging="572"/>
        <w:spacing w:after="0" w:line="25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Phase 3. The investigational product is administered to an expanded patient population to further evaluate dosage, to provide statistically significant evidence of clinical efficacy and to further test for safety, purity and potency for an intended use, and generally at multiple geographically dispersed clinical trial sites. These clinical trials are intended to establish the overall risk/benefit ratio of the investigational product and to provide an adequate basis for product approval. These trials may include comparisons with placebo and/or other comparator treatments.</w:t>
      </w:r>
    </w:p>
    <w:p>
      <w:pPr>
        <w:spacing w:after="0" w:line="188"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17"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161"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ind w:right="140" w:firstLine="589"/>
        <w:spacing w:after="0" w:line="259" w:lineRule="auto"/>
        <w:rPr>
          <w:sz w:val="20"/>
          <w:szCs w:val="20"/>
          <w:color w:val="auto"/>
        </w:rPr>
      </w:pPr>
      <w:r>
        <w:rPr>
          <w:rFonts w:ascii="Arial" w:cs="Arial" w:eastAsia="Arial" w:hAnsi="Arial"/>
          <w:sz w:val="18"/>
          <w:szCs w:val="18"/>
          <w:color w:val="auto"/>
        </w:rPr>
        <w:t>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and/or its biopharmaceutical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65"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Management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studies.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patients with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1"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A product intended to treat patients with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ind w:right="120" w:firstLine="589"/>
        <w:spacing w:after="0" w:line="275" w:lineRule="auto"/>
        <w:rPr>
          <w:sz w:val="20"/>
          <w:szCs w:val="20"/>
          <w:color w:val="auto"/>
        </w:rPr>
      </w:pPr>
      <w:r>
        <w:rPr>
          <w:rFonts w:ascii="Arial" w:cs="Arial" w:eastAsia="Arial" w:hAnsi="Arial"/>
          <w:sz w:val="17"/>
          <w:szCs w:val="17"/>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176"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Additionally, products studied for their safety and effectiveness in treating patients with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64"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92"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facility registration, biopharmaceutical product listing,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Further, if there are any modifications to the drug or biologic, including changes in indications, labeling or manufacturing processes or facilities, the applicant may be required to submit and obtain FDA approval of a new BLA or a supplement submission, which may require the development of additional preclinical studies, clinical trials, data and/or assays, such as comparability protocols.</w:t>
      </w:r>
    </w:p>
    <w:p>
      <w:pPr>
        <w:spacing w:after="0" w:line="184"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68" w:lineRule="exact"/>
        <w:rPr>
          <w:sz w:val="20"/>
          <w:szCs w:val="20"/>
          <w:color w:val="auto"/>
        </w:rPr>
      </w:pPr>
    </w:p>
    <w:p>
      <w:pPr>
        <w:ind w:left="1160" w:hanging="572"/>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44" w:lineRule="exact"/>
        <w:rPr>
          <w:rFonts w:ascii="Arial" w:cs="Arial" w:eastAsia="Arial" w:hAnsi="Arial"/>
          <w:sz w:val="18"/>
          <w:szCs w:val="18"/>
          <w:color w:val="auto"/>
        </w:rPr>
      </w:pPr>
    </w:p>
    <w:p>
      <w:pPr>
        <w:ind w:left="1160" w:right="46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44" w:lineRule="exact"/>
        <w:rPr>
          <w:rFonts w:ascii="Arial" w:cs="Arial" w:eastAsia="Arial" w:hAnsi="Arial"/>
          <w:sz w:val="18"/>
          <w:szCs w:val="18"/>
          <w:color w:val="auto"/>
        </w:rPr>
      </w:pPr>
    </w:p>
    <w:p>
      <w:pPr>
        <w:ind w:left="1160" w:right="46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jc w:val="both"/>
        <w:ind w:right="360" w:firstLine="589"/>
        <w:spacing w:after="0" w:line="263"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0" w:name="page41"/>
    <w:bookmarkEnd w:id="40"/>
    <w:p>
      <w:pPr>
        <w:ind w:right="20" w:firstLine="589"/>
        <w:spacing w:after="0" w:line="257" w:lineRule="auto"/>
        <w:rPr>
          <w:sz w:val="20"/>
          <w:szCs w:val="20"/>
          <w:color w:val="auto"/>
        </w:rPr>
      </w:pPr>
      <w:r>
        <w:rPr>
          <w:rFonts w:ascii="Arial" w:cs="Arial" w:eastAsia="Arial" w:hAnsi="Arial"/>
          <w:sz w:val="18"/>
          <w:szCs w:val="18"/>
          <w:color w:val="auto"/>
        </w:rPr>
        <w:t>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11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 approved reference biological product.</w:t>
      </w:r>
    </w:p>
    <w:p>
      <w:pPr>
        <w:spacing w:after="0" w:line="184"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92"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Additionally, prescribing physicians are free to specify “Do Not Substitute” in prescriptions, which would prohibit pharmacists from substituting a branded biologic product for a biosimilar product.</w:t>
      </w:r>
    </w:p>
    <w:p>
      <w:pPr>
        <w:spacing w:after="0" w:line="165" w:lineRule="exact"/>
        <w:rPr>
          <w:sz w:val="20"/>
          <w:szCs w:val="20"/>
          <w:color w:val="auto"/>
        </w:rPr>
      </w:pPr>
    </w:p>
    <w:p>
      <w:pPr>
        <w:jc w:val="both"/>
        <w:ind w:right="20" w:firstLine="589"/>
        <w:spacing w:after="0" w:line="286"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are subject to uncertainty.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In addition to regulations in the United States, we are subject to a variety of regulations in other jurisdictions where we seek to commercialize any of our product candidates, including countries in Europe and Asia. Such foreign regulations govern,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 candidates. Because biologically sourced raw materials are subject to unique contamination risks, their use may be restricted in some countries.</w:t>
      </w:r>
    </w:p>
    <w:p>
      <w:pPr>
        <w:spacing w:after="0" w:line="176"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Whether or not we obtain FDA approval for a product candidate, we must obtain the requisite approvals from regulatory authorities in foreign countries prior to the commencement of a clinical trial or marketing of a product in those countries. Certain countries outside of the United States have a similar approval process that requires the submission of a clinical trial application, or CTA, much like the IND prior to the commencement of human clinical trials. In the European Union, for example, a CTA must be submitted for each clinical trial to each country’s national health authority and an independent ethics committee, much like the FDA and an IRB, respectively. Once the CTA is approved in accordance with a country’s requirements, the corresponding clinical trial may proceed. The requirements and process governing the conduct of clinical trials, product licensing, pricing and reimbursement vary from country to country. In all cases, the clinical trials must be conducted in accordance with GCP requirements, applicable regulatory requirements and the ethical principles that have their origin in the Declaration of Helsinki.</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 Recently enacted Clinical Trials Regulation EU No 536/2014 aims at harmonizing and streamlining clinical-trial authorization, simplifying adverse-event reporting procedures, improving the supervision of clinical trials and increasing their transparency.</w:t>
      </w:r>
    </w:p>
    <w:p>
      <w:pPr>
        <w:spacing w:after="0" w:line="181"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Marketing Authorizations:</w:t>
      </w:r>
    </w:p>
    <w:p>
      <w:pPr>
        <w:spacing w:after="0" w:line="76" w:lineRule="exact"/>
        <w:rPr>
          <w:sz w:val="20"/>
          <w:szCs w:val="20"/>
          <w:color w:val="auto"/>
        </w:rPr>
      </w:pPr>
    </w:p>
    <w:p>
      <w:pPr>
        <w:ind w:left="1160" w:right="40" w:hanging="572"/>
        <w:spacing w:after="0" w:line="271" w:lineRule="auto"/>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Community MA is issued by the European Commission through the Centralized Procedure, based on the opinion of the Committee for Medicinal Products for Human Use (CHMP), of the European Medicines Agency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spacing w:after="0" w:line="70" w:lineRule="exact"/>
        <w:rPr>
          <w:rFonts w:ascii="Arial" w:cs="Arial" w:eastAsia="Arial" w:hAnsi="Arial"/>
          <w:sz w:val="17"/>
          <w:szCs w:val="17"/>
          <w:color w:val="auto"/>
        </w:rPr>
      </w:pPr>
    </w:p>
    <w:p>
      <w:pPr>
        <w:ind w:left="1160" w:hanging="572"/>
        <w:spacing w:after="0" w:line="269" w:lineRule="auto"/>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82" w:lineRule="exact"/>
        <w:rPr>
          <w:sz w:val="20"/>
          <w:szCs w:val="20"/>
          <w:color w:val="auto"/>
        </w:rPr>
      </w:pPr>
    </w:p>
    <w:p>
      <w:pPr>
        <w:ind w:right="220" w:firstLine="589"/>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Other U.S Healthcare Laws and Compliance Requirements</w:t>
      </w:r>
    </w:p>
    <w:p>
      <w:pPr>
        <w:spacing w:after="0" w:line="121" w:lineRule="exact"/>
        <w:rPr>
          <w:sz w:val="20"/>
          <w:szCs w:val="20"/>
          <w:color w:val="auto"/>
        </w:rPr>
      </w:pPr>
    </w:p>
    <w:p>
      <w:pPr>
        <w:ind w:right="140" w:firstLine="589"/>
        <w:spacing w:after="0" w:line="271" w:lineRule="auto"/>
        <w:rPr>
          <w:sz w:val="20"/>
          <w:szCs w:val="20"/>
          <w:color w:val="auto"/>
        </w:rPr>
      </w:pPr>
      <w:r>
        <w:rPr>
          <w:rFonts w:ascii="Arial" w:cs="Arial" w:eastAsia="Arial" w:hAnsi="Arial"/>
          <w:sz w:val="17"/>
          <w:szCs w:val="17"/>
          <w:color w:val="auto"/>
        </w:rPr>
        <w:t>Biopharmaceutical companies are subject to additional healthcare regulation and enforcement by the federal government and by authorities in the states and foreign jurisdictions in which they conduct their business. Research, manufacturing, sales, promotion and other activities following product approval are subject to regulation by numerous regulatory authorities in the United States in addition to the FDA, including the U.S. Centers for Medicare &amp; Medicaid Services, or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70" w:lineRule="exact"/>
        <w:rPr>
          <w:sz w:val="20"/>
          <w:szCs w:val="20"/>
          <w:color w:val="auto"/>
        </w:rPr>
      </w:pPr>
    </w:p>
    <w:p>
      <w:pPr>
        <w:ind w:left="1160" w:right="140" w:hanging="572"/>
        <w:spacing w:after="0" w:line="290" w:lineRule="auto"/>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as amended by the Health Care and Education Reconciliation Act of 2010, or collectively, the ACA, provides that the government may assert that a claim including items or services resulting from a violation of the federal Anti-Kickback Statute constitutes a false or fraudulent claim for purposes of the civil False Claims Act, or FCA. In addition, the intent standard under the federal Anti-Kickback Statute was amended by the ACA to eliminate the need to prove specific intent and actual knowledge to establish an Anti-Kickback Statute violation.</w:t>
      </w:r>
    </w:p>
    <w:p>
      <w:pPr>
        <w:spacing w:after="0" w:line="57" w:lineRule="exact"/>
        <w:rPr>
          <w:rFonts w:ascii="Arial" w:cs="Arial" w:eastAsia="Arial" w:hAnsi="Arial"/>
          <w:sz w:val="16"/>
          <w:szCs w:val="16"/>
          <w:color w:val="auto"/>
        </w:rPr>
      </w:pPr>
    </w:p>
    <w:p>
      <w:pPr>
        <w:ind w:left="1160" w:right="160" w:hanging="572"/>
        <w:spacing w:after="0" w:line="259"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civil and criminal false claims, including the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160" w:hanging="572"/>
        <w:spacing w:after="0" w:line="25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civil monetary penalties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9" w:lineRule="exact"/>
        <w:rPr>
          <w:rFonts w:ascii="Arial" w:cs="Arial" w:eastAsia="Arial" w:hAnsi="Arial"/>
          <w:sz w:val="18"/>
          <w:szCs w:val="18"/>
          <w:color w:val="auto"/>
        </w:rPr>
      </w:pPr>
    </w:p>
    <w:p>
      <w:pPr>
        <w:ind w:left="1160" w:right="60" w:hanging="572"/>
        <w:spacing w:after="0" w:line="254"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44" w:lineRule="exact"/>
        <w:rPr>
          <w:rFonts w:ascii="Arial" w:cs="Arial" w:eastAsia="Arial" w:hAnsi="Arial"/>
          <w:sz w:val="18"/>
          <w:szCs w:val="18"/>
          <w:color w:val="auto"/>
        </w:rPr>
      </w:pPr>
    </w:p>
    <w:p>
      <w:pPr>
        <w:ind w:left="1160" w:right="100" w:hanging="572"/>
        <w:spacing w:after="0" w:line="273" w:lineRule="auto"/>
        <w:tabs>
          <w:tab w:leader="none" w:pos="11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made in the previous year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ind w:left="1200" w:right="40" w:hanging="598"/>
        <w:spacing w:after="0" w:line="272" w:lineRule="auto"/>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For example,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69" w:lineRule="exact"/>
        <w:rPr>
          <w:rFonts w:ascii="Arial" w:cs="Arial" w:eastAsia="Arial" w:hAnsi="Arial"/>
          <w:sz w:val="17"/>
          <w:szCs w:val="17"/>
          <w:color w:val="auto"/>
        </w:rPr>
      </w:pPr>
    </w:p>
    <w:p>
      <w:pPr>
        <w:ind w:left="1200" w:hanging="598"/>
        <w:spacing w:after="0" w:line="273" w:lineRule="auto"/>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69" w:lineRule="exact"/>
        <w:rPr>
          <w:rFonts w:ascii="Arial" w:cs="Arial" w:eastAsia="Arial" w:hAnsi="Arial"/>
          <w:sz w:val="17"/>
          <w:szCs w:val="17"/>
          <w:color w:val="auto"/>
        </w:rPr>
      </w:pPr>
    </w:p>
    <w:p>
      <w:pPr>
        <w:ind w:left="1200" w:right="20" w:hanging="598"/>
        <w:spacing w:after="0" w:line="269" w:lineRule="auto"/>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biotechnology or pharmaceutical companies to comply with the biotechnology or pharmaceutical industry’s voluntary compliance guidelines and the relevant compliance guidance promulgated by the federal government and may require drug manufacturers to report certain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spacing w:after="0" w:line="185"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Because of the breadth of these laws and the narrowness of available statutory and regulatory exemptions or safe harbors, it is possible that some of our activities, such as stock-option compensation paid to physicians, could be subject to challenge under one or more of such laws. The growth of our business and sales organization and our expansion outside of the United States may increase the potential of violating these laws or our internal policies and procedures.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182"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 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78"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Some third-party payors also require pre-approval of coverage for new or innovative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third-party payors’ reimbursement policies will not adversely affect our ability to sell our products profitably.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76"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ind w:right="400"/>
        <w:spacing w:after="0" w:line="286" w:lineRule="auto"/>
        <w:rPr>
          <w:sz w:val="20"/>
          <w:szCs w:val="20"/>
          <w:color w:val="auto"/>
        </w:rPr>
      </w:pPr>
      <w:r>
        <w:rPr>
          <w:rFonts w:ascii="Arial" w:cs="Arial" w:eastAsia="Arial" w:hAnsi="Arial"/>
          <w:sz w:val="17"/>
          <w:szCs w:val="17"/>
          <w:color w:val="auto"/>
        </w:rPr>
        <w:t>annual fees based on pharmaceutical companies’ share of sales to federal health care programs.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65"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 Bipartisan Budget Act of 2018, or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However, on April 27, 2020, the U.S. Supreme Court reversed a Federal Circuit decision that previously upheld Congress’ denial of $12 billion in “risk corridor” funding. There have been legislative and judicial efforts to repeal, replace, or change some or all of the ACA, including measures taken during the Trump administration.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Biden administration will impact the ACA, our business, financial condition and results of operations.</w:t>
      </w:r>
    </w:p>
    <w:p>
      <w:pPr>
        <w:spacing w:after="0" w:line="185"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These changes included aggregate reductions to Medicare payments to providers of up to 2% per fiscal year, which went into effect in April 2013 and will remain in effect through 2031, with the exception of a temporary suspension implemented under various COVID-19 relief legislation from May 1, 2020 through March 31, 2021, unless additional action is taken by Congress. Under current legislation, the actual reduction in Medicare payments will vary from 1% in 2022 to up to 3% in the final fiscal year of this sequester. Additionally, it is possible that additional governmental action is taken to address the COVID-19 pandemic, resulting in a material adverse effect on our business.</w:t>
      </w:r>
    </w:p>
    <w:p>
      <w:pPr>
        <w:spacing w:after="0" w:line="192" w:lineRule="exact"/>
        <w:rPr>
          <w:sz w:val="20"/>
          <w:szCs w:val="20"/>
          <w:color w:val="auto"/>
        </w:rPr>
      </w:pPr>
    </w:p>
    <w:p>
      <w:pPr>
        <w:ind w:right="80" w:firstLine="589"/>
        <w:spacing w:after="0" w:line="285" w:lineRule="auto"/>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to use step therapy for Part B drugs beginning January 1, 2020, codifying a policy change that was effective January 1, 2019. In 2020, the U.S. Department of Health and Human Services and CMS issued various rules that are expected to impact, among others, price reductions from pharmaceutical manufacturers to plan sponsors under Part D, fee arrangements between pharmacy benefit managers and manufacturers, importation of prescription drugs from Canada and other countries,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these rules implemented during the Trump administration. As a result, the Biden administration and HHS have delayed the implementation or published rules rescinding some of these Trump-era policies.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and other new laws and regulations may result in additional reductions in Medicare and other healthcare funding, which could have a material adverse effect on customers for our biopharmaceutical products, if approved, and accordingly, our financial operations.</w:t>
      </w:r>
    </w:p>
    <w:p>
      <w:pPr>
        <w:spacing w:after="0" w:line="176"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Additionally, the Right to Try Act, which was enacted on May 30, 2018, provides a federal framework for certain patients with life-threatening diseases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48"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As of December 31, 2021, we had 43 employees, 19 of whom hold Ph.D. or M.D. degrees and 29 of whom were engaged in research and development activities. None of our employees are represented by a labor union and we believe we maintain good relations with our employees. We rely on skilled, innovative, and passionate employees to conduct our research, development and business activities. Our employees are united by our goal of developing therapies that help patients fight cancer. Developing a diverse, equitable and inclusive culture is essential to our success and we are committed to building a workplace where all individuals feel welcomed and valued.</w:t>
      </w:r>
    </w:p>
    <w:p>
      <w:pPr>
        <w:spacing w:after="0" w:line="3" w:lineRule="exact"/>
        <w:rPr>
          <w:sz w:val="20"/>
          <w:szCs w:val="20"/>
          <w:color w:val="auto"/>
        </w:rPr>
      </w:pPr>
    </w:p>
    <w:p>
      <w:pPr>
        <w:ind w:right="200" w:firstLine="589"/>
        <w:spacing w:after="0" w:line="290" w:lineRule="auto"/>
        <w:rPr>
          <w:sz w:val="20"/>
          <w:szCs w:val="20"/>
          <w:color w:val="auto"/>
        </w:rPr>
      </w:pPr>
      <w:r>
        <w:rPr>
          <w:rFonts w:ascii="Arial" w:cs="Arial" w:eastAsia="Arial" w:hAnsi="Arial"/>
          <w:sz w:val="16"/>
          <w:szCs w:val="16"/>
          <w:color w:val="auto"/>
        </w:rPr>
        <w:t>The biopharmaceutical industry is highly competitive and recruiting and retaining employees is critical to the continued success of our business. 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We also offer a collaborative work environment, flexible or remote work arrangements, ongoing professional development opportunities, career advancement opportunities, and a culture that values diversity and inclusion.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 reorganization effective as of the same date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ALX Oncology Holdings Inc. as they did in ALX Oncology Limited immediately prior to the reorganization. We present the information included in this Annual Report on Form 10-K as that of ALX Oncology Holdings Inc. unless such information refers to a date prior to April 1, 2020, in which case it will reflect that of our predecessor company.</w:t>
      </w:r>
    </w:p>
    <w:p>
      <w:pPr>
        <w:spacing w:after="0" w:line="192"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Our principal executive offices are located at 323 Allerton Avenue, South San Francisco, California, 94080. Our telephone number is 650-466-7125. Our website address is http://alxoncology.com.</w:t>
      </w:r>
    </w:p>
    <w:p>
      <w:pPr>
        <w:spacing w:after="0" w:line="170" w:lineRule="exact"/>
        <w:rPr>
          <w:sz w:val="20"/>
          <w:szCs w:val="20"/>
          <w:color w:val="auto"/>
        </w:rPr>
      </w:pPr>
    </w:p>
    <w:p>
      <w:pPr>
        <w:ind w:right="160" w:firstLine="589"/>
        <w:spacing w:after="0" w:line="255" w:lineRule="auto"/>
        <w:rPr>
          <w:sz w:val="20"/>
          <w:szCs w:val="20"/>
          <w:color w:val="auto"/>
        </w:rPr>
      </w:pPr>
      <w:r>
        <w:rPr>
          <w:rFonts w:ascii="Arial" w:cs="Arial" w:eastAsia="Arial" w:hAnsi="Arial"/>
          <w:sz w:val="18"/>
          <w:szCs w:val="18"/>
          <w:color w:val="auto"/>
        </w:rPr>
        <w:t>We use ALX Oncology and other marks as trademarks in the United States and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0" w:firstLine="589"/>
        <w:spacing w:after="0" w:line="218" w:lineRule="exact"/>
        <w:rPr>
          <w:sz w:val="20"/>
          <w:szCs w:val="20"/>
          <w:color w:val="auto"/>
        </w:rPr>
      </w:pPr>
      <w:r>
        <w:rPr>
          <w:rFonts w:ascii="Arial" w:cs="Arial" w:eastAsia="Arial" w:hAnsi="Arial"/>
          <w:sz w:val="16"/>
          <w:szCs w:val="16"/>
          <w:color w:val="auto"/>
        </w:rPr>
        <w:t>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proxy and information statements and amendments to reports filed pursuant to Sections 13(a), and 15(d) of the Securities Exchange Act of 1934, as amended (the Exchange Act) are filed with the U.S. Securities and Exchange Commission (SEC). We are subject to the informational requirements of the Exchange Act and file or furnish reports, proxy statements and other information with the SEC. The SEC maintains an Internet site that contains reports, proxy and information statements and other information regarding issuers that file electronically with the SEC at www.sec.gov. Such documents and other information filed by us with the SEC are available free of charge on the Investor section of our website (ir.alxoncology.com) when such reports are available on the SEC’s website.</w:t>
      </w:r>
    </w:p>
    <w:p>
      <w:pPr>
        <w:spacing w:after="0" w:line="206"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Investors and others should note that we may announce material information to the public through filings with the SEC, our website (alxoncology.com), press releases, public conference calls, and public webcasts. We encourage our investors and others to review the information disclosed through such channels as such information could be deemed to be material information. Please note that this list may be updated from time to time.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1A. Risk Factors.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together with the other information contained elsewhere in this Annual Report on Form 10-K, including our consolidated financial statements and the related notes, Part II, Item 7.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Investing in our common stock involves a high degree of risk because our business is subject to numerous risks and uncertainties, as fully described below. These risks include, but are not limited to, the following:</w:t>
      </w:r>
    </w:p>
    <w:p>
      <w:pPr>
        <w:spacing w:after="0" w:line="62" w:lineRule="exact"/>
        <w:rPr>
          <w:sz w:val="20"/>
          <w:szCs w:val="20"/>
          <w:color w:val="auto"/>
        </w:rPr>
      </w:pPr>
    </w:p>
    <w:p>
      <w:pPr>
        <w:ind w:left="1160" w:right="36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we expect to continue to incur significant net losses for the foreseeable future;</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such capital may not be available to us or may only be available on terms that are unfavorable to us;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a limited operating history and have no products approved for commercial sale;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of our stock may be volatile, and you could lose all or part of your investment;</w:t>
      </w:r>
    </w:p>
    <w:p>
      <w:pPr>
        <w:spacing w:after="0" w:line="144" w:lineRule="exact"/>
        <w:rPr>
          <w:rFonts w:ascii="Arial" w:cs="Arial" w:eastAsia="Arial" w:hAnsi="Arial"/>
          <w:sz w:val="18"/>
          <w:szCs w:val="18"/>
          <w:color w:val="auto"/>
        </w:rPr>
      </w:pPr>
    </w:p>
    <w:p>
      <w:pPr>
        <w:ind w:left="1160" w:right="36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 candidate, evorpacept (also known as ALX 148), which is in clinical development and which has not completed a pivotal trial;</w:t>
      </w:r>
    </w:p>
    <w:p>
      <w:pPr>
        <w:spacing w:after="0" w:line="62"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product candidates may cause significant adverse events or other undesirable side effects when used alone or in combination with other treatments;</w:t>
      </w:r>
    </w:p>
    <w:p>
      <w:pPr>
        <w:spacing w:after="0" w:line="62"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62" w:lineRule="exact"/>
        <w:rPr>
          <w:rFonts w:ascii="Arial" w:cs="Arial" w:eastAsia="Arial" w:hAnsi="Arial"/>
          <w:sz w:val="18"/>
          <w:szCs w:val="18"/>
          <w:color w:val="auto"/>
        </w:rPr>
      </w:pPr>
    </w:p>
    <w:p>
      <w:pPr>
        <w:ind w:left="1160" w:right="22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time-consuming and inherently unpredictable, which could lead to our inability to generate product revenue;</w:t>
      </w:r>
    </w:p>
    <w:p>
      <w:pPr>
        <w:spacing w:after="0" w:line="62" w:lineRule="exact"/>
        <w:rPr>
          <w:rFonts w:ascii="Arial" w:cs="Arial" w:eastAsia="Arial" w:hAnsi="Arial"/>
          <w:sz w:val="18"/>
          <w:szCs w:val="18"/>
          <w:color w:val="auto"/>
        </w:rPr>
      </w:pPr>
    </w:p>
    <w:p>
      <w:pPr>
        <w:ind w:left="1160" w:right="36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are unable to obtain, maintain and enforce patent protection and other intellectual property for our product candidates and related technology, our business could be materially harmed;</w:t>
      </w:r>
    </w:p>
    <w:p>
      <w:pPr>
        <w:spacing w:after="0" w:line="62" w:lineRule="exact"/>
        <w:rPr>
          <w:rFonts w:ascii="Arial" w:cs="Arial" w:eastAsia="Arial" w:hAnsi="Arial"/>
          <w:sz w:val="18"/>
          <w:szCs w:val="18"/>
          <w:color w:val="auto"/>
        </w:rPr>
      </w:pPr>
    </w:p>
    <w:p>
      <w:pPr>
        <w:ind w:left="1160" w:right="64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jc w:val="both"/>
        <w:ind w:left="1160" w:right="240" w:hanging="572"/>
        <w:spacing w:after="0" w:line="263"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preclinical research is conducted primarily by a third-party service provider, Tallac Therapeutics, Inc. (formerly known as Tollnine, Inc.), or Tallac Therapeutics, and we are dependent on Tallac Therapeutics to perform its contractual research obligations on an effective and timely basis;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ind w:left="1160" w:right="20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ongoing and planned clinical trials and preclinical research; and</w:t>
      </w:r>
    </w:p>
    <w:p>
      <w:pPr>
        <w:spacing w:after="0" w:line="62" w:lineRule="exact"/>
        <w:rPr>
          <w:rFonts w:ascii="Arial" w:cs="Arial" w:eastAsia="Arial" w:hAnsi="Arial"/>
          <w:sz w:val="18"/>
          <w:szCs w:val="18"/>
          <w:color w:val="auto"/>
        </w:rPr>
      </w:pPr>
    </w:p>
    <w:p>
      <w:pPr>
        <w:ind w:left="1160" w:right="94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past, we have identified material weaknesses in our internal control over financial reporting. If remediation measures we implemented are not effective, investors may lose confidence in our financial reports.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40" w:lineRule="exact"/>
        <w:rPr>
          <w:sz w:val="20"/>
          <w:szCs w:val="20"/>
          <w:color w:val="auto"/>
        </w:rPr>
      </w:pPr>
    </w:p>
    <w:p>
      <w:pPr>
        <w:jc w:val="both"/>
        <w:ind w:right="20" w:firstLine="589"/>
        <w:spacing w:after="0" w:line="287" w:lineRule="auto"/>
        <w:rPr>
          <w:sz w:val="20"/>
          <w:szCs w:val="20"/>
          <w:color w:val="auto"/>
        </w:rPr>
      </w:pPr>
      <w:r>
        <w:rPr>
          <w:rFonts w:ascii="Arial" w:cs="Arial" w:eastAsia="Arial" w:hAnsi="Arial"/>
          <w:sz w:val="16"/>
          <w:szCs w:val="16"/>
          <w:color w:val="auto"/>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$83.5 million, $45.7 million and $19.2 million for the years ended December 31, 2021, 2020 and 2019, respectively.</w:t>
      </w:r>
    </w:p>
    <w:p>
      <w:pPr>
        <w:spacing w:after="0" w:line="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As of December 31, 2021, we had an accumulated deficit of $202.0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62"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284"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comply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spacing w:after="0" w:line="184" w:lineRule="exact"/>
        <w:rPr>
          <w:sz w:val="20"/>
          <w:szCs w:val="20"/>
          <w:color w:val="auto"/>
        </w:rPr>
      </w:pPr>
    </w:p>
    <w:p>
      <w:pPr>
        <w:ind w:right="240" w:firstLine="589"/>
        <w:spacing w:after="0" w:line="275" w:lineRule="auto"/>
        <w:rPr>
          <w:sz w:val="20"/>
          <w:szCs w:val="20"/>
          <w:color w:val="auto"/>
        </w:rPr>
      </w:pPr>
      <w:r>
        <w:rPr>
          <w:rFonts w:ascii="Arial" w:cs="Arial" w:eastAsia="Arial" w:hAnsi="Arial"/>
          <w:sz w:val="17"/>
          <w:szCs w:val="17"/>
          <w:color w:val="auto"/>
        </w:rPr>
        <w:t>As of December 31, 2021, we had cash and cash equivalents of $363.7 million. Based on our current operating plan, we believe that our existing cash and cash equivalents, will be sufficient to fund our operations through mid-2024.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120" w:firstLine="589"/>
        <w:spacing w:after="0" w:line="296" w:lineRule="auto"/>
        <w:rPr>
          <w:sz w:val="20"/>
          <w:szCs w:val="20"/>
          <w:color w:val="auto"/>
        </w:rPr>
      </w:pPr>
      <w:r>
        <w:rPr>
          <w:rFonts w:ascii="Arial" w:cs="Arial" w:eastAsia="Arial" w:hAnsi="Arial"/>
          <w:sz w:val="16"/>
          <w:szCs w:val="16"/>
          <w:color w:val="auto"/>
        </w:rPr>
        <w:t>We plan to use our cash and cash equivalents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and cash equivalents on hand, may not be sufficient to fund all of the actions that are necessary to complete the development of evorpacept or our other programs.</w:t>
      </w:r>
    </w:p>
    <w:p>
      <w:pPr>
        <w:spacing w:after="0" w:line="161"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We expect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65" w:lineRule="exact"/>
        <w:rPr>
          <w:sz w:val="20"/>
          <w:szCs w:val="20"/>
          <w:color w:val="auto"/>
        </w:rPr>
      </w:pPr>
    </w:p>
    <w:p>
      <w:pPr>
        <w:ind w:right="420" w:firstLine="589"/>
        <w:spacing w:after="0" w:line="263" w:lineRule="auto"/>
        <w:rPr>
          <w:sz w:val="20"/>
          <w:szCs w:val="20"/>
          <w:color w:val="auto"/>
        </w:rPr>
      </w:pPr>
      <w:r>
        <w:rPr>
          <w:rFonts w:ascii="Arial" w:cs="Arial" w:eastAsia="Arial" w:hAnsi="Arial"/>
          <w:sz w:val="18"/>
          <w:szCs w:val="18"/>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62" w:lineRule="exact"/>
        <w:rPr>
          <w:sz w:val="20"/>
          <w:szCs w:val="20"/>
          <w:color w:val="auto"/>
        </w:rPr>
      </w:pPr>
    </w:p>
    <w:p>
      <w:pPr>
        <w:ind w:right="40" w:firstLine="589"/>
        <w:spacing w:after="0" w:line="287" w:lineRule="auto"/>
        <w:rPr>
          <w:sz w:val="20"/>
          <w:szCs w:val="20"/>
          <w:color w:val="auto"/>
        </w:rPr>
      </w:pPr>
      <w:r>
        <w:rPr>
          <w:rFonts w:ascii="Arial" w:cs="Arial" w:eastAsia="Arial" w:hAnsi="Arial"/>
          <w:sz w:val="16"/>
          <w:szCs w:val="16"/>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62" w:lineRule="exact"/>
        <w:rPr>
          <w:sz w:val="20"/>
          <w:szCs w:val="20"/>
          <w:color w:val="auto"/>
        </w:rPr>
      </w:pPr>
    </w:p>
    <w:p>
      <w:pPr>
        <w:jc w:val="both"/>
        <w:ind w:right="120" w:firstLine="589"/>
        <w:spacing w:after="0" w:line="301" w:lineRule="auto"/>
        <w:rPr>
          <w:sz w:val="20"/>
          <w:szCs w:val="20"/>
          <w:color w:val="auto"/>
        </w:rPr>
      </w:pPr>
      <w:r>
        <w:rPr>
          <w:rFonts w:ascii="Arial" w:cs="Arial" w:eastAsia="Arial" w:hAnsi="Arial"/>
          <w:sz w:val="16"/>
          <w:szCs w:val="16"/>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49" w:lineRule="exact"/>
        <w:rPr>
          <w:sz w:val="20"/>
          <w:szCs w:val="20"/>
          <w:color w:val="auto"/>
        </w:rPr>
      </w:pPr>
    </w:p>
    <w:p>
      <w:pPr>
        <w:ind w:left="1160" w:right="26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our lead product candidate, evorpacept, and our other future product candidates;</w:t>
      </w:r>
    </w:p>
    <w:p>
      <w:pPr>
        <w:spacing w:after="0" w:line="62" w:lineRule="exact"/>
        <w:rPr>
          <w:rFonts w:ascii="Arial" w:cs="Arial" w:eastAsia="Arial" w:hAnsi="Arial"/>
          <w:sz w:val="18"/>
          <w:szCs w:val="18"/>
          <w:color w:val="auto"/>
        </w:rPr>
      </w:pPr>
    </w:p>
    <w:p>
      <w:pPr>
        <w:ind w:left="1160" w:right="36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and maintaining relationships with CROs and clinical sites for the clinical development of evorpacept and our other future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left="116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44" w:lineRule="exact"/>
        <w:rPr>
          <w:rFonts w:ascii="Arial" w:cs="Arial" w:eastAsia="Arial" w:hAnsi="Arial"/>
          <w:sz w:val="18"/>
          <w:szCs w:val="18"/>
          <w:color w:val="auto"/>
        </w:rPr>
      </w:pPr>
    </w:p>
    <w:p>
      <w:pPr>
        <w:ind w:left="1160" w:right="240" w:hanging="572"/>
        <w:spacing w:after="0" w:line="263"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w:t>
      </w:r>
    </w:p>
    <w:p>
      <w:pPr>
        <w:spacing w:after="0" w:line="75" w:lineRule="exact"/>
        <w:rPr>
          <w:rFonts w:ascii="Arial" w:cs="Arial" w:eastAsia="Arial" w:hAnsi="Arial"/>
          <w:sz w:val="18"/>
          <w:szCs w:val="18"/>
          <w:color w:val="auto"/>
        </w:rPr>
      </w:pPr>
    </w:p>
    <w:p>
      <w:pPr>
        <w:ind w:left="1160" w:right="80" w:hanging="572"/>
        <w:spacing w:after="0" w:line="263"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5" w:lineRule="exact"/>
        <w:rPr>
          <w:rFonts w:ascii="Arial" w:cs="Arial" w:eastAsia="Arial" w:hAnsi="Arial"/>
          <w:sz w:val="18"/>
          <w:szCs w:val="18"/>
          <w:color w:val="auto"/>
        </w:rPr>
      </w:pPr>
    </w:p>
    <w:p>
      <w:pPr>
        <w:ind w:left="1160" w:right="24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44"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commercial acceptance of evorpacept and any future product candidates as viable treatment options by patients, the medical community and third-party payors;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favorable coverage and adequate reimbursement by third-party payors for our product candidates;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identifying, assessing, acquiring and developing new product candidates;</w:t>
      </w:r>
    </w:p>
    <w:p>
      <w:pPr>
        <w:spacing w:after="0" w:line="144" w:lineRule="exact"/>
        <w:rPr>
          <w:rFonts w:ascii="Arial" w:cs="Arial" w:eastAsia="Arial" w:hAnsi="Arial"/>
          <w:sz w:val="18"/>
          <w:szCs w:val="18"/>
          <w:color w:val="auto"/>
        </w:rPr>
      </w:pPr>
    </w:p>
    <w:p>
      <w:pPr>
        <w:ind w:left="1160" w:right="28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including our licensed intellectual property;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44" w:lineRule="exact"/>
        <w:rPr>
          <w:rFonts w:ascii="Arial" w:cs="Arial" w:eastAsia="Arial" w:hAnsi="Arial"/>
          <w:sz w:val="18"/>
          <w:szCs w:val="18"/>
          <w:color w:val="auto"/>
        </w:rPr>
      </w:pPr>
    </w:p>
    <w:p>
      <w:pPr>
        <w:ind w:left="1160" w:right="62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160" w:right="62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to develop, manufacture or commercialize our product candidate;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52"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p>
    <w:p>
      <w:pPr>
        <w:spacing w:after="0" w:line="5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As a result, our business currently depends heavily on the successful development, regulatory approval and, if approved, commercialization of evorpacept in one or more of these indications, such as MDS, AML, HNSCC, gastric/ GEJ carcinoma or breast cancer.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similar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w:t>
      </w:r>
    </w:p>
    <w:p>
      <w:pPr>
        <w:spacing w:after="0" w:line="29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41"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164" w:lineRule="exact"/>
        <w:rPr>
          <w:sz w:val="20"/>
          <w:szCs w:val="20"/>
          <w:color w:val="auto"/>
        </w:rPr>
      </w:pPr>
    </w:p>
    <w:p>
      <w:pPr>
        <w:ind w:right="120" w:firstLine="589"/>
        <w:spacing w:after="0" w:line="290" w:lineRule="auto"/>
        <w:rPr>
          <w:sz w:val="20"/>
          <w:szCs w:val="20"/>
          <w:color w:val="auto"/>
        </w:rPr>
      </w:pPr>
      <w:r>
        <w:rPr>
          <w:rFonts w:ascii="Arial" w:cs="Arial" w:eastAsia="Arial" w:hAnsi="Arial"/>
          <w:sz w:val="16"/>
          <w:szCs w:val="16"/>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27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38" w:lineRule="exact"/>
        <w:rPr>
          <w:sz w:val="20"/>
          <w:szCs w:val="20"/>
          <w:color w:val="auto"/>
        </w:rPr>
      </w:pPr>
    </w:p>
    <w:p>
      <w:pPr>
        <w:ind w:right="160" w:firstLine="589"/>
        <w:spacing w:after="0" w:line="272"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preclinical development and then extensive clinical trials (including initiation of a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ind w:right="100" w:firstLine="589"/>
        <w:spacing w:after="0" w:line="277" w:lineRule="auto"/>
        <w:rPr>
          <w:sz w:val="20"/>
          <w:szCs w:val="20"/>
          <w:color w:val="auto"/>
        </w:rPr>
      </w:pPr>
      <w:r>
        <w:rPr>
          <w:rFonts w:ascii="Arial" w:cs="Arial" w:eastAsia="Arial" w:hAnsi="Arial"/>
          <w:sz w:val="18"/>
          <w:szCs w:val="18"/>
          <w:color w:val="auto"/>
        </w:rPr>
        <w:t>We do not know whether our future clinical trials will begin on time or enroll subjects on time or whether our ongoing and/or future clinical trials will be completed on schedule or at all. Clinical trials can be delayed for a variety of reasons, including delays related to:</w:t>
      </w:r>
    </w:p>
    <w:p>
      <w:pPr>
        <w:spacing w:after="0" w:line="62" w:lineRule="exact"/>
        <w:rPr>
          <w:sz w:val="20"/>
          <w:szCs w:val="20"/>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approval to commence a clinical trial;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institutional review board approval at each clinical trial site;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adding necessary new clinical trial sites;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recruiting suitable subjects to participate in a trial; failing in having clinical trial sites or subjects comply with trial protocols;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suffering clinical trial sites or subjects dropping out of trials; or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252"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2" w:lineRule="exact"/>
        <w:rPr>
          <w:sz w:val="20"/>
          <w:szCs w:val="20"/>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44"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62" w:lineRule="exact"/>
        <w:rPr>
          <w:rFonts w:ascii="Arial" w:cs="Arial" w:eastAsia="Arial" w:hAnsi="Arial"/>
          <w:sz w:val="18"/>
          <w:szCs w:val="18"/>
          <w:color w:val="auto"/>
        </w:rPr>
      </w:pPr>
    </w:p>
    <w:p>
      <w:pPr>
        <w:ind w:left="1160" w:right="64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being larger than anticipated, enrollment in these clinical trials being slower than anticipated or subjects dropping out of these clinical trials at a higher rate than anticipated;</w:t>
      </w:r>
    </w:p>
    <w:p>
      <w:pPr>
        <w:spacing w:after="0" w:line="62"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clinical trials due to outbreaks or public health crises, such as the COVID-19 pandemic, that impact both trial site operations and subject selection;</w:t>
      </w:r>
    </w:p>
    <w:p>
      <w:pPr>
        <w:spacing w:after="0" w:line="62"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160" w:right="180" w:hanging="572"/>
        <w:spacing w:after="0" w:line="308" w:lineRule="auto"/>
        <w:tabs>
          <w:tab w:leader="none" w:pos="11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are greater than anticipated;</w:t>
      </w:r>
    </w:p>
    <w:p>
      <w:pPr>
        <w:spacing w:after="0" w:line="144"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252"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184"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We do not know whether any clinical trials we may conduct will demonstrate consistent or adequate safety, purity and efficacy and potency sufficient to obtain marketing approval or our product candidates or to market our drugs after any such approval. In December 2020, the FDA verbally informed us, that given our planned initiation of two Phase 2 HNSCC clinical trials that could be potentially registrational, it required completion of a routine non-clinical safety study. The FDA noted that for any drug development program moving swiftly through development, this non-clinical study is required prior to the initiation of a clinical trial that could be considered pivotal. We were allowed to initiate both Phase 2 HNSCC clinical trials with the enrollment capped at a total of 50 subjects treated with evorpacept across both trials (excluding safety lead-in cohorts). In June 2021, the FDA informed us that it had reviewed our standard non-clinical safety study and removed the partial clinical hold and patient cap on our two ongoing Phase 2 studies in patients with HNSCC. No impact was incurred on patient enrollment or study timelines as a result of the partial clinical hold.</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3" w:name="page54"/>
    <w:bookmarkEnd w:id="53"/>
    <w:p>
      <w:pPr>
        <w:ind w:right="6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and/or retention of subjects in clinical trials, our regulatory submissions or receipt of necessary marketing approvals could be delayed or prevented.</w:t>
      </w:r>
    </w:p>
    <w:p>
      <w:pPr>
        <w:spacing w:after="0" w:line="62"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w:t>
      </w:r>
    </w:p>
    <w:p>
      <w:pPr>
        <w:spacing w:after="0" w:line="171"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Enrollment of subjects in our clinical trials may be delayed or limited if our clinical trial sites limit their onsite staff or temporarily close as a result of the COVID-19 pandemic. In addition, subjects may not be able to visit clinical trial sites for dosing or data collection purposes due to limitations on travel and physical distancing imposed or recommended by federal or state governments or subjects’ reluctance to visit the clinical trial sites during the pandemic. The drop-out rates in our clinical trials may be increased during the pandemic. Subjects who enroll in our clinical trials and then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164"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Subject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Subject enrollment may also be affected by other factors, including:</w:t>
      </w:r>
    </w:p>
    <w:p>
      <w:pPr>
        <w:spacing w:after="0" w:line="76" w:lineRule="exact"/>
        <w:rPr>
          <w:sz w:val="20"/>
          <w:szCs w:val="20"/>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44" w:lineRule="exact"/>
        <w:rPr>
          <w:rFonts w:ascii="Arial" w:cs="Arial" w:eastAsia="Arial" w:hAnsi="Arial"/>
          <w:sz w:val="18"/>
          <w:szCs w:val="18"/>
          <w:color w:val="auto"/>
        </w:rPr>
      </w:pPr>
    </w:p>
    <w:p>
      <w:pPr>
        <w:ind w:left="1160" w:hanging="572"/>
        <w:spacing w:after="0" w:line="342" w:lineRule="auto"/>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availability and efficacy or potency of current or newly approved drugs for the disease under investigation and other changes in standard of care that could make our clinical trials less attractive, including the drugs or other product candidates we use in our combination studies;</w:t>
      </w:r>
    </w:p>
    <w:p>
      <w:pPr>
        <w:spacing w:after="0" w:line="15" w:lineRule="exact"/>
        <w:rPr>
          <w:rFonts w:ascii="Arial" w:cs="Arial" w:eastAsia="Arial" w:hAnsi="Arial"/>
          <w:sz w:val="16"/>
          <w:szCs w:val="16"/>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 by us and the clinical trial sites;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monitor subjects adequately during and after the clinical trial;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proximity of clinical trial sites to prospective subjects;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 of subjects enrolled in clinical trials dropping out before completion; and</w:t>
      </w:r>
    </w:p>
    <w:p>
      <w:pPr>
        <w:spacing w:after="0" w:line="144"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or delay in enrollment of subjects due to a variety of reasons, including outbreaks and public health crises, such as the COVID-19 pandemic.</w:t>
      </w:r>
    </w:p>
    <w:p>
      <w:pPr>
        <w:spacing w:after="0" w:line="170"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Our inability to enroll a sufficient number of subjects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4" w:name="page55"/>
    <w:bookmarkEnd w:id="54"/>
    <w:p>
      <w:pPr>
        <w:ind w:right="16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38"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2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6" w:lineRule="exact"/>
        <w:rPr>
          <w:sz w:val="20"/>
          <w:szCs w:val="20"/>
          <w:color w:val="auto"/>
        </w:rPr>
      </w:pPr>
    </w:p>
    <w:p>
      <w:pPr>
        <w:ind w:right="120" w:firstLine="589"/>
        <w:spacing w:after="0" w:line="287" w:lineRule="auto"/>
        <w:rPr>
          <w:sz w:val="20"/>
          <w:szCs w:val="20"/>
          <w:color w:val="auto"/>
        </w:rPr>
      </w:pPr>
      <w:r>
        <w:rPr>
          <w:rFonts w:ascii="Arial" w:cs="Arial" w:eastAsia="Arial" w:hAnsi="Arial"/>
          <w:sz w:val="16"/>
          <w:szCs w:val="16"/>
          <w:color w:val="auto"/>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our clinical program in a heavily pre-treated group of subjects who are typical participants in early-stage cancer trials and are often hematologically fragile at baseline. Subjects in our evorpacept combination clinical trials experienced a number of treatment-related adverse events that were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spacing w:after="0" w:line="2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 Newly approved therapeutics could change the treatment paradigm or standard of care, which could negatively impact the design of our clinical trials and the prospects of our product candidates.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ind w:right="40" w:firstLine="589"/>
        <w:spacing w:after="0" w:line="254" w:lineRule="auto"/>
        <w:rPr>
          <w:sz w:val="20"/>
          <w:szCs w:val="20"/>
          <w:color w:val="auto"/>
        </w:rPr>
      </w:pPr>
      <w:r>
        <w:rPr>
          <w:rFonts w:ascii="Arial" w:cs="Arial" w:eastAsia="Arial" w:hAnsi="Arial"/>
          <w:sz w:val="18"/>
          <w:szCs w:val="18"/>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Apexigen, Arch Therapeutics, Bristol Myers Squibb, Gilead Sciences (through its acquisition of Forty Seven), I-Mab, Innovent, Kahr, Novimmune, OSE Immunotherapeutics, Pfizer (through its acquisition of Trillium Therapeutics), and Shattack,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5" w:lineRule="exact"/>
        <w:rPr>
          <w:sz w:val="20"/>
          <w:szCs w:val="20"/>
          <w:color w:val="auto"/>
        </w:rPr>
      </w:pPr>
    </w:p>
    <w:p>
      <w:pPr>
        <w:ind w:right="260" w:firstLine="589"/>
        <w:spacing w:after="0" w:line="255" w:lineRule="auto"/>
        <w:rPr>
          <w:sz w:val="20"/>
          <w:szCs w:val="20"/>
          <w:color w:val="auto"/>
        </w:rPr>
      </w:pPr>
      <w:r>
        <w:rPr>
          <w:rFonts w:ascii="Arial" w:cs="Arial" w:eastAsia="Arial" w:hAnsi="Arial"/>
          <w:sz w:val="18"/>
          <w:szCs w:val="18"/>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9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77"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52"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6" w:name="page57"/>
    <w:bookmarkEnd w:id="56"/>
    <w:p>
      <w:pPr>
        <w:ind w:right="20" w:firstLine="589"/>
        <w:spacing w:after="0" w:line="293" w:lineRule="auto"/>
        <w:rPr>
          <w:sz w:val="20"/>
          <w:szCs w:val="20"/>
          <w:color w:val="auto"/>
        </w:rPr>
      </w:pPr>
      <w:r>
        <w:rPr>
          <w:rFonts w:ascii="Arial" w:cs="Arial" w:eastAsia="Arial" w:hAnsi="Arial"/>
          <w:sz w:val="16"/>
          <w:szCs w:val="16"/>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56" w:lineRule="exact"/>
        <w:rPr>
          <w:sz w:val="20"/>
          <w:szCs w:val="20"/>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252"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The occurrence of any of these sanctions, enforcement actions or penalties described above may inhibit our ability to commercialize our product candidates, even if approved, and generate revenue.</w:t>
      </w:r>
    </w:p>
    <w:p>
      <w:pPr>
        <w:spacing w:after="0" w:line="2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rely on Tallac Therapeutics, a third-party service provider, to conduct substantially all of our preclinical research activities for evorpacept. If Tallac Therapeutics does not successfully carry out its contractual duties or meet expected deadlines, there may be disruptions or delays to our evorpacept development pipeline and our business could be substantially harmed.</w:t>
      </w:r>
    </w:p>
    <w:p>
      <w:pPr>
        <w:spacing w:after="0" w:line="76"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We have the ability to independently conduct our preclinical research activities but we rely on a third-party service provider to conduct all of our preclinical research activities for evorpacept. Effective as of July 1, 2020, we transferred all of our preclinical research capabilities and nine of our employees, including our former Chief Scientific Officer, Dr. Hong Wan,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w:t>
      </w:r>
    </w:p>
    <w:p>
      <w:pPr>
        <w:spacing w:after="0" w:line="176"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delayed or terminated, and there may be disruptions or delays to our evorpacept development pipeline. As a result, our evorpacept product candidate research and development efforts may be delayed or harmed, and our costs could increase and our future ability to generate revenues could be delayed.</w:t>
      </w:r>
    </w:p>
    <w:p>
      <w:pPr>
        <w:spacing w:after="0" w:line="176"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Further, Tallac Therapeutics’ employees are not our employees, and we will not be able to control, other than by contract, the amount of resources, including time, that they devote to our evorpacept preclinical research efforts and studies. If Tallac Therapeutics fails to devote sufficient resources to the research and development of our evorpacept preclinical research programs and studies, or if its performance is substandard, it may delay or compromise the prospects for approval and commercialization of any product candidates that we develop.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ind w:right="20" w:firstLine="589"/>
        <w:spacing w:after="0" w:line="253" w:lineRule="auto"/>
        <w:rPr>
          <w:sz w:val="20"/>
          <w:szCs w:val="20"/>
          <w:color w:val="auto"/>
        </w:rPr>
      </w:pPr>
      <w:r>
        <w:rPr>
          <w:rFonts w:ascii="Arial" w:cs="Arial" w:eastAsia="Arial" w:hAnsi="Arial"/>
          <w:sz w:val="18"/>
          <w:szCs w:val="18"/>
          <w:color w:val="auto"/>
        </w:rPr>
        <w:t>If our relationship with Tallac Therapeutics terminates, we may not be able to enter into arrangements with alternative providers or do so in a timely manner or on commercially reasonable terms. If the Tallac Services Agreement is terminated, replacing Tallac Therapeutics, identifying additional preclinical research providers and/or hiring internal research and development employees will involve additional costs and divert our management’s time and focus. In addition, there is a natural transition period when a new service provider commences work and/or if we are required to train new employees. As a result, delays may occur, which can materially impact our ability to meet our desired preclinical timelines. Since Tallac Therapeutics is an early-stage company with a limited operating history, it may face challenges to its business and cease to operate, and we may need to engage replacement service providers and/or employees on an accelerated timeline and on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196"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300" w:lineRule="exact"/>
        <w:rPr>
          <w:sz w:val="20"/>
          <w:szCs w:val="20"/>
          <w:color w:val="auto"/>
        </w:rPr>
      </w:pPr>
    </w:p>
    <w:p>
      <w:pPr>
        <w:jc w:val="both"/>
        <w:ind w:right="100"/>
        <w:spacing w:after="0" w:line="340"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23"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166"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right="20" w:firstLine="589"/>
        <w:spacing w:after="0" w:line="263" w:lineRule="auto"/>
        <w:rPr>
          <w:sz w:val="20"/>
          <w:szCs w:val="20"/>
          <w:color w:val="auto"/>
        </w:rPr>
      </w:pPr>
      <w:r>
        <w:rPr>
          <w:rFonts w:ascii="Arial" w:cs="Arial" w:eastAsia="Arial" w:hAnsi="Arial"/>
          <w:sz w:val="18"/>
          <w:szCs w:val="18"/>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184"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We also expect to rely on other third parties to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184" w:lineRule="exact"/>
        <w:rPr>
          <w:sz w:val="20"/>
          <w:szCs w:val="20"/>
          <w:color w:val="auto"/>
        </w:rPr>
      </w:pPr>
    </w:p>
    <w:p>
      <w:pPr>
        <w:jc w:val="both"/>
        <w:ind w:right="160" w:firstLine="589"/>
        <w:spacing w:after="0" w:line="263"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modifications in the methods of product candidate manufacturing or formulation may result in additional costs or delay.</w:t>
      </w:r>
    </w:p>
    <w:p>
      <w:pPr>
        <w:spacing w:after="0" w:line="117"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Development of product candidates in combination with other therapies could expose us to additional risks. Lack of third-party combination drugs may materially and adversely affect demand for our product candidates.</w:t>
      </w:r>
    </w:p>
    <w:p>
      <w:pPr>
        <w:spacing w:after="0" w:line="6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w:t>
      </w:r>
    </w:p>
    <w:p>
      <w:pPr>
        <w:spacing w:after="0" w:line="182"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9" w:name="page60"/>
    <w:bookmarkEnd w:id="59"/>
    <w:p>
      <w:pPr>
        <w:ind w:firstLine="589"/>
        <w:spacing w:after="0" w:line="253" w:lineRule="auto"/>
        <w:rPr>
          <w:sz w:val="20"/>
          <w:szCs w:val="20"/>
          <w:color w:val="auto"/>
        </w:rPr>
      </w:pPr>
      <w:r>
        <w:rPr>
          <w:rFonts w:ascii="Arial" w:cs="Arial" w:eastAsia="Arial" w:hAnsi="Arial"/>
          <w:sz w:val="18"/>
          <w:szCs w:val="18"/>
          <w:color w:val="auto"/>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 clinical trials of evorpacept in combination with pembrolizumab for HNSCC and trastuzumab for gastric/GEJ carcinoma. As a result, both the results of our clinical trials and the sales of our drugs may be affected by the availability of these third-party drugs. For instance, we entered into clinical trial collaboration and supply agreements with Merck, Eli Lilly and Zymeworks, pursuant to which our collaboration counterparties will supply doses of pembrolizumab, ramucirumab, and zanidatamab, respectively, for use in certain of our clinical trials. If the agreements with Merck and Eli Lilly are terminated before our trials are completed, we may need to find another source of pembrolizumab and ramucirumab, respectively, in order to continue our trial. Zanidatamab is not approved for commercial use by the FDA or any comparable regulatory authority, and as a result, no alternative source of zanidatamab exists. As such, if the agreement with Zymeworks is terminated before our trials are completed, our ability to continue our trials would be limited.</w:t>
      </w:r>
    </w:p>
    <w:p>
      <w:pPr>
        <w:spacing w:after="0" w:line="194"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29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63" w:lineRule="exact"/>
        <w:rPr>
          <w:sz w:val="20"/>
          <w:szCs w:val="20"/>
          <w:color w:val="auto"/>
        </w:rPr>
      </w:pPr>
    </w:p>
    <w:p>
      <w:pPr>
        <w:ind w:right="60" w:firstLine="589"/>
        <w:spacing w:after="0" w:line="268"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86"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192"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Our business also may be implicated if any of our CROs violates fraud and abuse or false claims laws and regulations or healthcare privacy and security laws.</w:t>
      </w:r>
    </w:p>
    <w:p>
      <w:pPr>
        <w:spacing w:after="0" w:line="170"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spacing w:after="0" w:line="293" w:lineRule="auto"/>
        <w:rPr>
          <w:sz w:val="20"/>
          <w:szCs w:val="20"/>
          <w:color w:val="auto"/>
        </w:rPr>
      </w:pPr>
      <w:r>
        <w:rPr>
          <w:rFonts w:ascii="Arial" w:cs="Arial" w:eastAsia="Arial" w:hAnsi="Arial"/>
          <w:sz w:val="16"/>
          <w:szCs w:val="16"/>
          <w:color w:val="auto"/>
        </w:rPr>
        <w:t>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2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62"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w:t>
      </w:r>
    </w:p>
    <w:p>
      <w:pPr>
        <w:spacing w:after="0" w:line="63" w:lineRule="exact"/>
        <w:rPr>
          <w:sz w:val="20"/>
          <w:szCs w:val="20"/>
          <w:color w:val="auto"/>
        </w:rPr>
      </w:pPr>
    </w:p>
    <w:p>
      <w:pPr>
        <w:ind w:left="1160" w:right="400" w:hanging="572"/>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evorpacept and our other product candidates to treat cancer or other applicable targeted diseases, as compared with other available drugs, treatments or therapies;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evorpacept and our other product candidates;</w:t>
      </w:r>
    </w:p>
    <w:p>
      <w:pPr>
        <w:spacing w:after="0" w:line="144"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evorpacept or our other product candidates by the FDA or foreign regulatory authorities;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availability of alternative treatments and the potential and perceived advantages of our product candidates over alternative treatments;</w:t>
      </w:r>
    </w:p>
    <w:p>
      <w:pPr>
        <w:spacing w:after="0" w:line="167" w:lineRule="exact"/>
        <w:rPr>
          <w:rFonts w:ascii="Arial" w:cs="Arial" w:eastAsia="Arial" w:hAnsi="Arial"/>
          <w:sz w:val="16"/>
          <w:szCs w:val="16"/>
          <w:color w:val="auto"/>
        </w:rPr>
      </w:pPr>
    </w:p>
    <w:p>
      <w:pPr>
        <w:ind w:left="1160" w:right="600" w:hanging="572"/>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size of the target patient population and the willingness of the target patient population to try new therapies and of physicians to prescribe these therapies;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strength and effectiveness of marketing and distribution support and timing of market introduction of competitive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pricing and cost-effectiveness in relation to alternative treatments;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44"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 the willingness of patients to pay out-of-pocket in the absence of third-party coverage; and</w:t>
      </w:r>
    </w:p>
    <w:p>
      <w:pPr>
        <w:spacing w:after="0" w:line="62"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likelihood that the FDA or any foreign regulatory authority may impose additional requirements that limit the promotion, advertising, distribution or sales of our product candidates.</w:t>
      </w:r>
    </w:p>
    <w:p>
      <w:pPr>
        <w:spacing w:after="0" w:line="170"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ind w:right="240" w:firstLine="589"/>
        <w:spacing w:after="0" w:line="277"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2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62"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w:t>
      </w:r>
    </w:p>
    <w:p>
      <w:pPr>
        <w:spacing w:after="0" w:line="184"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185" w:lineRule="exact"/>
        <w:rPr>
          <w:sz w:val="20"/>
          <w:szCs w:val="20"/>
          <w:color w:val="auto"/>
        </w:rPr>
      </w:pPr>
    </w:p>
    <w:p>
      <w:pPr>
        <w:ind w:right="180" w:firstLine="589"/>
        <w:spacing w:after="0" w:line="271"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opportunities for the product candidates we develop, if approved, may be limited to certain smaller patient subsets.</w:t>
      </w:r>
    </w:p>
    <w:p>
      <w:pPr>
        <w:spacing w:after="0" w:line="117"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w:t>
      </w:r>
    </w:p>
    <w:p>
      <w:pPr>
        <w:spacing w:after="0" w:line="2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79"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2" w:name="page63"/>
    <w:bookmarkEnd w:id="62"/>
    <w:p>
      <w:pPr>
        <w:ind w:right="160" w:firstLine="589"/>
        <w:spacing w:after="0" w:line="277" w:lineRule="auto"/>
        <w:rPr>
          <w:sz w:val="20"/>
          <w:szCs w:val="20"/>
          <w:color w:val="auto"/>
        </w:rPr>
      </w:pPr>
      <w:r>
        <w:rPr>
          <w:rFonts w:ascii="Arial" w:cs="Arial" w:eastAsia="Arial" w:hAnsi="Arial"/>
          <w:sz w:val="18"/>
          <w:szCs w:val="18"/>
          <w:color w:val="auto"/>
        </w:rPr>
        <w:t>Even if any of our product candidates receive marketing approval, if we or others later identify undesirable or unacceptable side effects caused by such products:</w:t>
      </w:r>
    </w:p>
    <w:p>
      <w:pPr>
        <w:spacing w:after="0" w:line="62" w:lineRule="exact"/>
        <w:rPr>
          <w:sz w:val="20"/>
          <w:szCs w:val="20"/>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44" w:lineRule="exact"/>
        <w:rPr>
          <w:rFonts w:ascii="Arial" w:cs="Arial" w:eastAsia="Arial" w:hAnsi="Arial"/>
          <w:sz w:val="18"/>
          <w:szCs w:val="18"/>
          <w:color w:val="auto"/>
        </w:rPr>
      </w:pPr>
    </w:p>
    <w:p>
      <w:pPr>
        <w:ind w:left="1160" w:right="440" w:hanging="572"/>
        <w:spacing w:after="0" w:line="27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contraindication, precaution or field alerts to physicians and pharmacies;</w:t>
      </w:r>
    </w:p>
    <w:p>
      <w:pPr>
        <w:spacing w:after="0" w:line="62" w:lineRule="exact"/>
        <w:rPr>
          <w:rFonts w:ascii="Arial" w:cs="Arial" w:eastAsia="Arial" w:hAnsi="Arial"/>
          <w:sz w:val="18"/>
          <w:szCs w:val="18"/>
          <w:color w:val="auto"/>
        </w:rPr>
      </w:pPr>
    </w:p>
    <w:p>
      <w:pPr>
        <w:ind w:left="1160" w:right="660" w:hanging="572"/>
        <w:spacing w:after="0" w:line="27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limit the patient population who can use the product or conduct additional clinical trials;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360" w:firstLine="589"/>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23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62"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78" w:lineRule="exact"/>
        <w:rPr>
          <w:sz w:val="20"/>
          <w:szCs w:val="20"/>
          <w:color w:val="auto"/>
        </w:rPr>
      </w:pPr>
    </w:p>
    <w:p>
      <w:pPr>
        <w:ind w:right="160" w:firstLine="589"/>
        <w:spacing w:after="0" w:line="290" w:lineRule="auto"/>
        <w:rPr>
          <w:sz w:val="20"/>
          <w:szCs w:val="20"/>
          <w:color w:val="auto"/>
        </w:rPr>
      </w:pPr>
      <w:r>
        <w:rPr>
          <w:rFonts w:ascii="Arial" w:cs="Arial" w:eastAsia="Arial" w:hAnsi="Arial"/>
          <w:sz w:val="16"/>
          <w:szCs w:val="16"/>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65"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ind w:firstLine="589"/>
        <w:spacing w:after="0" w:line="272"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69" w:lineRule="exact"/>
        <w:rPr>
          <w:sz w:val="20"/>
          <w:szCs w:val="20"/>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and maintain coverage and adequate reimbursement for a product;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38"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57" w:lineRule="exact"/>
        <w:rPr>
          <w:sz w:val="20"/>
          <w:szCs w:val="20"/>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the drug from the market or voluntary or mandatory product recalls;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publicity, fines, warning letters or holds on clinical trials;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ind w:left="1160" w:right="200" w:hanging="572"/>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by the FDA or any other applicable regulatory authority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drug product seizure or detention, or refusal to permit the import or export of product candidates;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269"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23"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evorpacept or any product candidates we may seek to develop in the future will never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129" w:lineRule="exact"/>
        <w:rPr>
          <w:sz w:val="20"/>
          <w:szCs w:val="20"/>
          <w:color w:val="auto"/>
        </w:rPr>
      </w:pPr>
    </w:p>
    <w:p>
      <w:pPr>
        <w:ind w:left="1160" w:hanging="572"/>
        <w:spacing w:after="0"/>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FDA or comparable international regulatory authorities may disagree with the design, implementation or results of our clinical trials;</w:t>
      </w:r>
    </w:p>
    <w:p>
      <w:pPr>
        <w:spacing w:after="0" w:line="167" w:lineRule="exact"/>
        <w:rPr>
          <w:rFonts w:ascii="Arial" w:cs="Arial" w:eastAsia="Arial" w:hAnsi="Arial"/>
          <w:sz w:val="16"/>
          <w:szCs w:val="16"/>
          <w:color w:val="auto"/>
        </w:rPr>
      </w:pPr>
    </w:p>
    <w:p>
      <w:pPr>
        <w:ind w:left="1160" w:right="40" w:hanging="572"/>
        <w:spacing w:after="0" w:line="263"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75"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potency and safety in the full population for which we seek approval;</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disagree with our interpretation of data from preclinical studies or clinical trials;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ind w:left="1160" w:right="400" w:hanging="572"/>
        <w:spacing w:after="0" w:line="342" w:lineRule="auto"/>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15" w:lineRule="exact"/>
        <w:rPr>
          <w:rFonts w:ascii="Arial" w:cs="Arial" w:eastAsia="Arial" w:hAnsi="Arial"/>
          <w:sz w:val="16"/>
          <w:szCs w:val="16"/>
          <w:color w:val="auto"/>
        </w:rPr>
      </w:pPr>
    </w:p>
    <w:p>
      <w:pPr>
        <w:ind w:left="1160" w:hanging="572"/>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international regulatory authorities that a product candidate’s risk-benefit ratio for its proposed indication is acceptable;</w:t>
      </w:r>
    </w:p>
    <w:p>
      <w:pPr>
        <w:spacing w:after="0" w:line="62" w:lineRule="exact"/>
        <w:rPr>
          <w:rFonts w:ascii="Arial" w:cs="Arial" w:eastAsia="Arial" w:hAnsi="Arial"/>
          <w:sz w:val="18"/>
          <w:szCs w:val="18"/>
          <w:color w:val="auto"/>
        </w:rPr>
      </w:pPr>
    </w:p>
    <w:p>
      <w:pPr>
        <w:ind w:left="1160" w:right="760" w:hanging="572"/>
        <w:spacing w:after="0" w:line="342" w:lineRule="auto"/>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1160" w:right="580" w:hanging="572"/>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international foreign regulatory authorities may significantly change in a manner rendering our clinical data insufficient for approval.</w:t>
      </w:r>
    </w:p>
    <w:p>
      <w:pPr>
        <w:spacing w:after="0" w:line="170"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187" w:lineRule="exact"/>
        <w:rPr>
          <w:sz w:val="20"/>
          <w:szCs w:val="20"/>
          <w:color w:val="auto"/>
        </w:rPr>
      </w:pPr>
    </w:p>
    <w:p>
      <w:pPr>
        <w:ind w:right="120" w:firstLine="589"/>
        <w:spacing w:after="0" w:line="296"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2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While we have received certain FDA Fast Track designations, such Fast Track designations may not lead to a faster development or regulatory review or approval process, and does not increase the likelihood that the drug will receive marketing approval.</w:t>
      </w:r>
    </w:p>
    <w:p>
      <w:pPr>
        <w:spacing w:after="0" w:line="62"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The FDA granted Fast Track designation for evorpacept in combination with pembrolizumab, platinum, and fluorouracil for the first-line treatment of adult patients with metastatic or unresectable, recurrent HNSCC (February 2020) and for evorpacept in combination with trastuzumab + ramucirumab + paclitaxel for the treatment of patients with HER2-overexpressing advanced gastric or GEJ adenocarcinoma with disease progression on or after prior trastuzumab, and fluoropyrimidine or platinum-containing chemotherapy (January 2020).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decide to seek orphan drug designation for one or more of our product candidates, we may be unsuccessful or may be unable to maintain the benefits associated with such orphan drug designation.</w:t>
      </w:r>
    </w:p>
    <w:p>
      <w:pPr>
        <w:spacing w:after="0" w:line="6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On 27 January 2022, the FDA’s Office of Orphan Products Development granted Orphan Drug Designation to evorpacept for treatment for gastric/GEJ cancer. We may seek Orphan Drug Designation for certain additional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Orphan Drug Designation subsequently receives the first marketing approval for the indication for which it has such designation, the drug is entitled to a period of marketing exclusivity that precludes the FDA from approving another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6" w:name="page67"/>
    <w:bookmarkEnd w:id="66"/>
    <w:p>
      <w:pPr>
        <w:spacing w:after="0" w:line="271" w:lineRule="auto"/>
        <w:rPr>
          <w:sz w:val="20"/>
          <w:szCs w:val="20"/>
          <w:color w:val="auto"/>
        </w:rPr>
      </w:pPr>
      <w:r>
        <w:rPr>
          <w:rFonts w:ascii="Arial" w:cs="Arial" w:eastAsia="Arial" w:hAnsi="Arial"/>
          <w:sz w:val="17"/>
          <w:szCs w:val="17"/>
          <w:color w:val="auto"/>
        </w:rPr>
        <w:t>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28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62"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68" w:lineRule="exact"/>
        <w:rPr>
          <w:sz w:val="20"/>
          <w:szCs w:val="20"/>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demand for our drugs, if we obtain regulatory approval;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drugs;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52"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7" w:name="page68"/>
    <w:bookmarkEnd w:id="67"/>
    <w:p>
      <w:pPr>
        <w:ind w:right="60" w:firstLine="589"/>
        <w:spacing w:after="0" w:line="273"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2031,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3% in the final fiscal year of this sequester. Additionally, it is possible that additional governmental action is taken in response to the COVID-19 pandemic, resulting in a material adverse effect on our business.</w:t>
      </w:r>
    </w:p>
    <w:p>
      <w:pPr>
        <w:spacing w:after="0" w:line="178"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to use step therapy for Part B drugs beginning January 1, 2020, codifying a policy change that was effective January 1, 2019. In 2020, the U.S. Department of Health and Human Services and CMS issued various rules that are expected to impact, among others, price reductions from pharmaceutical manufacturers to plan sponsors under Part D, fee arrangements between pharmacy benefit managers and manufacturers, importation of prescription drugs from Canada and other countries,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these rules implemented during the Trump administration. As a result, the Biden administration and HHS have delayed the implementation or published rules rescinding some of these Trump-era policies. Under the American Rescue Plan Act of 2021, effective January 1, 2024, the statutory cap on Medicaid Drug Rebate Programs rebates that manufacturers pay to state Medicaid programs will be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The implementation of cost containment measures or other healthcare reforms may prevent us from being able to generate revenue, attain profitability, or commercialize our product candidates if approved.</w:t>
      </w:r>
    </w:p>
    <w:p>
      <w:pPr>
        <w:spacing w:after="0" w:line="171"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w:t>
      </w:r>
    </w:p>
    <w:p>
      <w:pPr>
        <w:spacing w:after="0" w:line="176"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188" w:lineRule="exact"/>
        <w:rPr>
          <w:sz w:val="20"/>
          <w:szCs w:val="20"/>
          <w:color w:val="auto"/>
        </w:rPr>
      </w:pPr>
    </w:p>
    <w:p>
      <w:pPr>
        <w:jc w:val="both"/>
        <w:ind w:right="140" w:firstLine="589"/>
        <w:spacing w:after="0" w:line="272"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8" w:name="page69"/>
    <w:bookmarkEnd w:id="68"/>
    <w:p>
      <w:pPr>
        <w:ind w:firstLine="589"/>
        <w:spacing w:after="0" w:line="254" w:lineRule="auto"/>
        <w:rPr>
          <w:sz w:val="20"/>
          <w:szCs w:val="20"/>
          <w:color w:val="auto"/>
        </w:rPr>
      </w:pPr>
      <w:r>
        <w:rPr>
          <w:rFonts w:ascii="Arial" w:cs="Arial" w:eastAsia="Arial" w:hAnsi="Arial"/>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195"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2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9" w:lineRule="exact"/>
        <w:rPr>
          <w:sz w:val="20"/>
          <w:szCs w:val="20"/>
          <w:color w:val="auto"/>
        </w:rPr>
      </w:pPr>
    </w:p>
    <w:p>
      <w:pPr>
        <w:ind w:right="60" w:firstLine="589"/>
        <w:spacing w:after="0" w:line="288" w:lineRule="auto"/>
        <w:rPr>
          <w:sz w:val="20"/>
          <w:szCs w:val="20"/>
          <w:color w:val="auto"/>
        </w:rPr>
      </w:pPr>
      <w:r>
        <w:rPr>
          <w:rFonts w:ascii="Arial" w:cs="Arial" w:eastAsia="Arial" w:hAnsi="Arial"/>
          <w:sz w:val="16"/>
          <w:szCs w:val="16"/>
          <w:color w:val="auto"/>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60" w:lineRule="exact"/>
        <w:rPr>
          <w:sz w:val="20"/>
          <w:szCs w:val="20"/>
          <w:color w:val="auto"/>
        </w:rPr>
      </w:pPr>
    </w:p>
    <w:p>
      <w:pPr>
        <w:ind w:left="1160" w:hanging="572"/>
        <w:spacing w:after="0" w:line="255"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FCA.</w:t>
      </w:r>
    </w:p>
    <w:p>
      <w:pPr>
        <w:spacing w:after="0" w:line="84" w:lineRule="exact"/>
        <w:rPr>
          <w:rFonts w:ascii="Arial" w:cs="Arial" w:eastAsia="Arial" w:hAnsi="Arial"/>
          <w:sz w:val="18"/>
          <w:szCs w:val="18"/>
          <w:color w:val="auto"/>
        </w:rPr>
      </w:pPr>
    </w:p>
    <w:p>
      <w:pPr>
        <w:ind w:left="1160" w:right="80" w:hanging="572"/>
        <w:spacing w:after="0" w:line="275" w:lineRule="auto"/>
        <w:tabs>
          <w:tab w:leader="none" w:pos="11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68" w:lineRule="exact"/>
        <w:rPr>
          <w:rFonts w:ascii="Arial" w:cs="Arial" w:eastAsia="Arial" w:hAnsi="Arial"/>
          <w:sz w:val="17"/>
          <w:szCs w:val="17"/>
          <w:color w:val="auto"/>
        </w:rPr>
      </w:pPr>
    </w:p>
    <w:p>
      <w:pPr>
        <w:ind w:left="1160" w:right="60" w:hanging="572"/>
        <w:spacing w:after="0" w:line="275" w:lineRule="auto"/>
        <w:tabs>
          <w:tab w:leader="none" w:pos="11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9" w:name="page70"/>
    <w:bookmarkEnd w:id="69"/>
    <w:p>
      <w:pPr>
        <w:ind w:left="1200" w:right="40" w:hanging="598"/>
        <w:spacing w:after="0" w:line="257" w:lineRule="auto"/>
        <w:tabs>
          <w:tab w:leader="none" w:pos="12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1200" w:right="20" w:hanging="598"/>
        <w:spacing w:after="0" w:line="271" w:lineRule="auto"/>
        <w:tabs>
          <w:tab w:leader="none" w:pos="12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7"/>
          <w:szCs w:val="17"/>
          <w:i w:val="1"/>
          <w:iCs w:val="1"/>
          <w:color w:val="auto"/>
        </w:rPr>
        <w:t>i.e.</w:t>
      </w:r>
      <w:r>
        <w:rPr>
          <w:rFonts w:ascii="Arial" w:cs="Arial" w:eastAsia="Arial" w:hAnsi="Arial"/>
          <w:sz w:val="17"/>
          <w:szCs w:val="17"/>
          <w:color w:val="auto"/>
        </w:rPr>
        <w:t>,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w:t>
      </w:r>
    </w:p>
    <w:p>
      <w:pPr>
        <w:spacing w:after="0" w:line="70" w:lineRule="exact"/>
        <w:rPr>
          <w:rFonts w:ascii="Arial" w:cs="Arial" w:eastAsia="Arial" w:hAnsi="Arial"/>
          <w:sz w:val="17"/>
          <w:szCs w:val="17"/>
          <w:color w:val="auto"/>
        </w:rPr>
      </w:pPr>
    </w:p>
    <w:p>
      <w:pPr>
        <w:ind w:left="1200" w:right="380" w:hanging="598"/>
        <w:spacing w:after="0" w:line="277" w:lineRule="auto"/>
        <w:tabs>
          <w:tab w:leader="none" w:pos="12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U.S. Federal Food, Drug and Cosmetic Act prohibits, among other things, the adulteration or misbranding of drugs, biologics and medical devices.</w:t>
      </w:r>
    </w:p>
    <w:p>
      <w:pPr>
        <w:spacing w:after="0" w:line="62" w:lineRule="exact"/>
        <w:rPr>
          <w:rFonts w:ascii="Arial" w:cs="Arial" w:eastAsia="Arial" w:hAnsi="Arial"/>
          <w:sz w:val="18"/>
          <w:szCs w:val="18"/>
          <w:color w:val="auto"/>
        </w:rPr>
      </w:pPr>
    </w:p>
    <w:p>
      <w:pPr>
        <w:ind w:left="1200" w:right="60" w:hanging="598"/>
        <w:spacing w:after="0" w:line="273" w:lineRule="auto"/>
        <w:tabs>
          <w:tab w:leader="none" w:pos="12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69" w:lineRule="exact"/>
        <w:rPr>
          <w:rFonts w:ascii="Arial" w:cs="Arial" w:eastAsia="Arial" w:hAnsi="Arial"/>
          <w:sz w:val="17"/>
          <w:szCs w:val="17"/>
          <w:color w:val="auto"/>
        </w:rPr>
      </w:pPr>
    </w:p>
    <w:p>
      <w:pPr>
        <w:ind w:left="1200" w:right="20" w:hanging="598"/>
        <w:spacing w:after="0" w:line="273" w:lineRule="auto"/>
        <w:tabs>
          <w:tab w:leader="none" w:pos="12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69" w:lineRule="exact"/>
        <w:rPr>
          <w:rFonts w:ascii="Arial" w:cs="Arial" w:eastAsia="Arial" w:hAnsi="Arial"/>
          <w:sz w:val="17"/>
          <w:szCs w:val="17"/>
          <w:color w:val="auto"/>
        </w:rPr>
      </w:pPr>
    </w:p>
    <w:p>
      <w:pPr>
        <w:ind w:left="1200" w:right="40" w:hanging="598"/>
        <w:spacing w:after="0" w:line="269" w:lineRule="auto"/>
        <w:tabs>
          <w:tab w:leader="none" w:pos="12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77" w:lineRule="exact"/>
        <w:rPr>
          <w:rFonts w:ascii="Arial" w:cs="Arial" w:eastAsia="Arial" w:hAnsi="Arial"/>
          <w:sz w:val="17"/>
          <w:szCs w:val="17"/>
          <w:color w:val="auto"/>
        </w:rPr>
      </w:pPr>
    </w:p>
    <w:p>
      <w:pPr>
        <w:ind w:left="1160" w:right="10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also impose legal requirements, including reporting requirements detailing interactions with and payments to healthcare providers.</w:t>
      </w:r>
    </w:p>
    <w:p>
      <w:pPr>
        <w:spacing w:after="0" w:line="170"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0" w:name="page71"/>
    <w:bookmarkEnd w:id="70"/>
    <w:p>
      <w:pPr>
        <w:ind w:right="80"/>
        <w:spacing w:after="0" w:line="254" w:lineRule="auto"/>
        <w:rPr>
          <w:sz w:val="20"/>
          <w:szCs w:val="20"/>
          <w:color w:val="auto"/>
        </w:rPr>
      </w:pPr>
      <w:r>
        <w:rPr>
          <w:rFonts w:ascii="Arial" w:cs="Arial" w:eastAsia="Arial" w:hAnsi="Arial"/>
          <w:sz w:val="18"/>
          <w:szCs w:val="18"/>
          <w:color w:val="auto"/>
        </w:rPr>
        <w:t>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30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76"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40"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1" w:name="page72"/>
    <w:bookmarkEnd w:id="71"/>
    <w:p>
      <w:pPr>
        <w:ind w:right="30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120" w:firstLine="589"/>
        <w:spacing w:after="0" w:line="268"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In response to the COVID-19 pandemic and travel restrictions, the FDA has issued industry guidance regarding plans to employ remote interactive evaluations, using risk management methods, to meet user fee commitments and goal dates as well as plans to continue progress toward resuming standard operational levels.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a complete response letter or defer action on the application until an inspection can be completed. FDA review timelines could be extended due to COVID-19 related reasons. Additional policies or changes to current policies may be implemented in the future. If global health concerns continue to prevent the FDA or other regulatory authorities from conducting their regular inspections, reviews, or other regulatory activities,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spacing w:after="0" w:line="294"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76"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177"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2" w:name="page73"/>
    <w:bookmarkEnd w:id="72"/>
    <w:p>
      <w:pPr>
        <w:ind w:right="20" w:firstLine="589"/>
        <w:spacing w:after="0" w:line="257" w:lineRule="auto"/>
        <w:rPr>
          <w:sz w:val="20"/>
          <w:szCs w:val="20"/>
          <w:color w:val="auto"/>
        </w:rPr>
      </w:pPr>
      <w:r>
        <w:rPr>
          <w:rFonts w:ascii="Arial" w:cs="Arial" w:eastAsia="Arial" w:hAnsi="Arial"/>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296"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spacing w:after="0" w:line="38" w:lineRule="exact"/>
        <w:rPr>
          <w:sz w:val="20"/>
          <w:szCs w:val="20"/>
          <w:color w:val="auto"/>
        </w:rPr>
      </w:pPr>
    </w:p>
    <w:p>
      <w:pPr>
        <w:ind w:right="180" w:firstLine="600"/>
        <w:spacing w:after="0" w:line="308" w:lineRule="auto"/>
        <w:rPr>
          <w:sz w:val="20"/>
          <w:szCs w:val="20"/>
          <w:color w:val="auto"/>
        </w:rPr>
      </w:pPr>
      <w:r>
        <w:rPr>
          <w:rFonts w:ascii="Arial" w:cs="Arial" w:eastAsia="Arial" w:hAnsi="Arial"/>
          <w:sz w:val="17"/>
          <w:szCs w:val="17"/>
          <w:color w:val="auto"/>
        </w:rPr>
        <w:t>We may collect, process, use or transfer personal information from individuals located in the European Economic Area, or EEA, Switzerland and the United Kingdom in connection with our business, including in connection with conducting clinical trials in these regions.</w:t>
      </w:r>
    </w:p>
    <w:p>
      <w:pPr>
        <w:spacing w:after="0" w:line="146" w:lineRule="exact"/>
        <w:rPr>
          <w:sz w:val="20"/>
          <w:szCs w:val="20"/>
          <w:color w:val="auto"/>
        </w:rPr>
      </w:pPr>
    </w:p>
    <w:p>
      <w:pPr>
        <w:ind w:right="60" w:firstLine="600"/>
        <w:spacing w:after="0" w:line="271" w:lineRule="auto"/>
        <w:rPr>
          <w:sz w:val="20"/>
          <w:szCs w:val="20"/>
          <w:color w:val="auto"/>
        </w:rPr>
      </w:pPr>
      <w:r>
        <w:rPr>
          <w:rFonts w:ascii="Arial" w:cs="Arial" w:eastAsia="Arial" w:hAnsi="Arial"/>
          <w:sz w:val="17"/>
          <w:szCs w:val="17"/>
          <w:color w:val="auto"/>
        </w:rPr>
        <w:t>Additionally, if any of our product candidates are approved, we may seek to commercialize those products in the EEA. The collection and use of personal information (which includes health data) in the EEA is governed, in part, by the provisions of the General Data Protection Regulation (EU) 2016/679, or the GDPR, or its UK equivalent, the UK GDPR. This regulation imposes requirements relating to having a legal basis for processing personal information and transferring such information outside of the EEA and United Kingdom,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w:t>
      </w:r>
    </w:p>
    <w:p>
      <w:pPr>
        <w:spacing w:after="0" w:line="178" w:lineRule="exact"/>
        <w:rPr>
          <w:sz w:val="20"/>
          <w:szCs w:val="20"/>
          <w:color w:val="auto"/>
        </w:rPr>
      </w:pPr>
    </w:p>
    <w:p>
      <w:pPr>
        <w:ind w:right="300" w:firstLine="600"/>
        <w:spacing w:after="0" w:line="263" w:lineRule="auto"/>
        <w:rPr>
          <w:sz w:val="20"/>
          <w:szCs w:val="20"/>
          <w:color w:val="auto"/>
        </w:rPr>
      </w:pPr>
      <w:r>
        <w:rPr>
          <w:rFonts w:ascii="Arial" w:cs="Arial" w:eastAsia="Arial" w:hAnsi="Arial"/>
          <w:sz w:val="18"/>
          <w:szCs w:val="18"/>
          <w:color w:val="auto"/>
        </w:rPr>
        <w:t>Failure to comply with the GDPR, UK GDPR, or related national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spacing w:after="0" w:line="184" w:lineRule="exact"/>
        <w:rPr>
          <w:sz w:val="20"/>
          <w:szCs w:val="20"/>
          <w:color w:val="auto"/>
        </w:rPr>
      </w:pPr>
    </w:p>
    <w:p>
      <w:pPr>
        <w:ind w:right="260" w:firstLine="600"/>
        <w:spacing w:after="0" w:line="259" w:lineRule="auto"/>
        <w:rPr>
          <w:sz w:val="20"/>
          <w:szCs w:val="20"/>
          <w:color w:val="auto"/>
        </w:rPr>
      </w:pPr>
      <w:r>
        <w:rPr>
          <w:rFonts w:ascii="Arial" w:cs="Arial" w:eastAsia="Arial" w:hAnsi="Arial"/>
          <w:sz w:val="18"/>
          <w:szCs w:val="18"/>
          <w:color w:val="auto"/>
        </w:rPr>
        <w:t>The GDPR and UK GDPR also restrict the transfer of personal information outside of the EEA, United Kingdom and Switzerland unless appropriate safeguards are in place. One of the primary safeguards, the Standard Contractual Clauses adopted by the European Commission, have been recently updated. Any existing data transfer arrangement that relies on the previous version of the Standard Contractual Clauses needs to be updated by December 27, 2022, which could increase our costs.</w:t>
      </w:r>
    </w:p>
    <w:p>
      <w:pPr>
        <w:spacing w:after="0" w:line="187" w:lineRule="exact"/>
        <w:rPr>
          <w:sz w:val="20"/>
          <w:szCs w:val="20"/>
          <w:color w:val="auto"/>
        </w:rPr>
      </w:pPr>
    </w:p>
    <w:p>
      <w:pPr>
        <w:ind w:right="60" w:firstLine="600"/>
        <w:spacing w:after="0" w:line="291" w:lineRule="auto"/>
        <w:rPr>
          <w:sz w:val="20"/>
          <w:szCs w:val="20"/>
          <w:color w:val="auto"/>
        </w:rPr>
      </w:pPr>
      <w:r>
        <w:rPr>
          <w:rFonts w:ascii="Arial" w:cs="Arial" w:eastAsia="Arial" w:hAnsi="Arial"/>
          <w:sz w:val="16"/>
          <w:szCs w:val="16"/>
          <w:color w:val="auto"/>
        </w:rPr>
        <w:t>Further, Brexit has created uncertainty with regard to data protection regulation in the United Kingdom. Although the European Commission granted “adequacy” status to the United Kingdom in June 2021, and personal data can flow from the European Union to the United Kingdom and back, the United Kingdom is expected to change its policy with respect to the export of personal data to third countries, such as the United States, and the European Commission’s adequacy determination for the United Kingdom requires renewal after four years and it may be modified or revoked in the interim. The United Kingdom may require Standard Contractual Clauses that are different from (or require amendment to) the European Commission’s version of these clauses. We may, therefore, incur liabilities, expenses, costs, and other operational losses under the GDPR, UK GDPR, and applicable laws and regulations of European Union Member States in connection with any measures we take to comply with them.</w:t>
      </w:r>
    </w:p>
    <w:p>
      <w:pPr>
        <w:spacing w:after="0" w:line="166" w:lineRule="exact"/>
        <w:rPr>
          <w:sz w:val="20"/>
          <w:szCs w:val="20"/>
          <w:color w:val="auto"/>
        </w:rPr>
      </w:pPr>
    </w:p>
    <w:p>
      <w:pPr>
        <w:ind w:right="40" w:firstLine="600"/>
        <w:spacing w:after="0" w:line="271" w:lineRule="auto"/>
        <w:rPr>
          <w:sz w:val="20"/>
          <w:szCs w:val="20"/>
          <w:color w:val="auto"/>
        </w:rPr>
      </w:pPr>
      <w:r>
        <w:rPr>
          <w:rFonts w:ascii="Arial" w:cs="Arial" w:eastAsia="Arial" w:hAnsi="Arial"/>
          <w:sz w:val="17"/>
          <w:szCs w:val="17"/>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firstLine="600"/>
        <w:spacing w:after="0" w:line="287" w:lineRule="auto"/>
        <w:rPr>
          <w:sz w:val="20"/>
          <w:szCs w:val="20"/>
          <w:color w:val="auto"/>
        </w:rPr>
      </w:pPr>
      <w:r>
        <w:rPr>
          <w:rFonts w:ascii="Arial" w:cs="Arial" w:eastAsia="Arial" w:hAnsi="Arial"/>
          <w:sz w:val="16"/>
          <w:szCs w:val="16"/>
          <w:color w:val="auto"/>
        </w:rPr>
        <w:t>Additionally, a new privacy law, the California Privacy Rights Act, or the CPRA, was approved by California voters in the election on November 3, 2020. The CPRA modifies the CCPA significantly, potentially resulting in further uncertainty and requiring us to incur additional costs and expenses in an effort to comply. Other states are beginning to consider and pass similar laws. On March 2, 2021, Virginia enacted the Virginia Consumer Data Protection Act, or CDPA, which becomes effective on January 1, 2023, and on June 8, 2021, Colorado enacted the Colorado Privacy Act, or CPA, which takes effect on July 1, 2023. The CPA and CDPA share similarities with the CCPA, CPRA, and legislation proposed in other states. As we expand our operations, preclinical studies and clinical trials, the CCPA, CPRA, and other state laws and regulations relating to privacy and data security may increase our compliance costs and potential liability. 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obtain, maintain and enforce patent protection for our product candidates and related technology, our business could be materially harmed.</w:t>
      </w:r>
    </w:p>
    <w:p>
      <w:pPr>
        <w:spacing w:after="0" w:line="62" w:lineRule="exact"/>
        <w:rPr>
          <w:sz w:val="20"/>
          <w:szCs w:val="20"/>
          <w:color w:val="auto"/>
        </w:rPr>
      </w:pPr>
    </w:p>
    <w:p>
      <w:pPr>
        <w:ind w:right="20" w:firstLine="594"/>
        <w:spacing w:after="0" w:line="268"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186" w:lineRule="exact"/>
        <w:rPr>
          <w:sz w:val="20"/>
          <w:szCs w:val="20"/>
          <w:color w:val="auto"/>
        </w:rPr>
      </w:pPr>
    </w:p>
    <w:p>
      <w:pPr>
        <w:ind w:firstLine="594"/>
        <w:spacing w:after="0" w:line="291" w:lineRule="auto"/>
        <w:rPr>
          <w:sz w:val="20"/>
          <w:szCs w:val="20"/>
          <w:color w:val="auto"/>
        </w:rPr>
      </w:pPr>
      <w:r>
        <w:rPr>
          <w:rFonts w:ascii="Arial" w:cs="Arial" w:eastAsia="Arial" w:hAnsi="Arial"/>
          <w:sz w:val="16"/>
          <w:szCs w:val="16"/>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opposition or derivation proceedings challenging our patent rights or the patent rights of others.</w:t>
      </w:r>
    </w:p>
    <w:p>
      <w:pPr>
        <w:spacing w:after="0" w:line="166" w:lineRule="exact"/>
        <w:rPr>
          <w:sz w:val="20"/>
          <w:szCs w:val="20"/>
          <w:color w:val="auto"/>
        </w:rPr>
      </w:pPr>
    </w:p>
    <w:p>
      <w:pPr>
        <w:ind w:right="80" w:firstLine="594"/>
        <w:spacing w:after="0" w:line="293" w:lineRule="auto"/>
        <w:rPr>
          <w:sz w:val="20"/>
          <w:szCs w:val="20"/>
          <w:color w:val="auto"/>
        </w:rPr>
      </w:pPr>
      <w:r>
        <w:rPr>
          <w:rFonts w:ascii="Arial" w:cs="Arial" w:eastAsia="Arial" w:hAnsi="Arial"/>
          <w:sz w:val="16"/>
          <w:szCs w:val="16"/>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spacing w:after="0" w:line="273" w:lineRule="auto"/>
        <w:rPr>
          <w:sz w:val="20"/>
          <w:szCs w:val="20"/>
          <w:color w:val="auto"/>
        </w:rPr>
      </w:pPr>
      <w:r>
        <w:rPr>
          <w:rFonts w:ascii="Arial" w:cs="Arial" w:eastAsia="Arial" w:hAnsi="Arial"/>
          <w:sz w:val="17"/>
          <w:szCs w:val="17"/>
          <w:color w:val="auto"/>
        </w:rPr>
        <w:t>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178"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178"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Additionally, the requirements for patentability may differ in certain countries. For example, in India, unlike the United States, there is no link between regulatory approval of a drug and its patent status, and patenting of medical uses of a claimed drug are prohibited. In addition to India,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5" w:name="page76"/>
    <w:bookmarkEnd w:id="75"/>
    <w:p>
      <w:pPr>
        <w:ind w:right="1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6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177" w:lineRule="exact"/>
        <w:rPr>
          <w:sz w:val="20"/>
          <w:szCs w:val="20"/>
          <w:color w:val="auto"/>
        </w:rPr>
      </w:pPr>
    </w:p>
    <w:p>
      <w:pPr>
        <w:ind w:right="80" w:firstLine="589"/>
        <w:spacing w:after="0" w:line="289" w:lineRule="auto"/>
        <w:rPr>
          <w:sz w:val="20"/>
          <w:szCs w:val="20"/>
          <w:color w:val="auto"/>
        </w:rPr>
      </w:pPr>
      <w:r>
        <w:rPr>
          <w:rFonts w:ascii="Arial" w:cs="Arial" w:eastAsia="Arial" w:hAnsi="Arial"/>
          <w:sz w:val="16"/>
          <w:szCs w:val="16"/>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166"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6"/>
          <w:szCs w:val="16"/>
          <w:i w:val="1"/>
          <w:iCs w:val="1"/>
          <w:color w:val="auto"/>
        </w:rPr>
        <w:t>e.g.</w:t>
      </w:r>
      <w:r>
        <w:rPr>
          <w:rFonts w:ascii="Arial" w:cs="Arial" w:eastAsia="Arial" w:hAnsi="Arial"/>
          <w:sz w:val="16"/>
          <w:szCs w:val="16"/>
          <w:color w:val="auto"/>
        </w:rPr>
        <w:t xml:space="preserve">, via post-grant reviews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61"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Accordingly, a third party may attempt to use the USPTO procedures to invalidate our patent claims that would not have been invalidated if first challenged by the third party as a defendant in a district court action.</w:t>
      </w:r>
    </w:p>
    <w:p>
      <w:pPr>
        <w:spacing w:after="0" w:line="170" w:lineRule="exact"/>
        <w:rPr>
          <w:sz w:val="20"/>
          <w:szCs w:val="20"/>
          <w:color w:val="auto"/>
        </w:rPr>
      </w:pPr>
    </w:p>
    <w:p>
      <w:pPr>
        <w:jc w:val="both"/>
        <w:ind w:right="480" w:firstLine="589"/>
        <w:spacing w:after="0" w:line="263" w:lineRule="auto"/>
        <w:rPr>
          <w:sz w:val="20"/>
          <w:szCs w:val="20"/>
          <w:color w:val="auto"/>
        </w:rPr>
      </w:pPr>
      <w:r>
        <w:rPr>
          <w:rFonts w:ascii="Arial" w:cs="Arial" w:eastAsia="Arial" w:hAnsi="Arial"/>
          <w:sz w:val="18"/>
          <w:szCs w:val="18"/>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Our patents covering one or more of our product candidates could be found invalid or unenforceable if challenged.</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1"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92"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prosecution, assertion and defense for some of our product candidates may be dependent on third parties.</w:t>
      </w:r>
    </w:p>
    <w:p>
      <w:pPr>
        <w:spacing w:after="0" w:line="117"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There may be times in the future when certain patents that relate to our product candidates or any approved products are controlled by our licensees or licensors, such as with respect to our Stanford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ind w:right="68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62"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390" w:lineRule="exact"/>
        <w:rPr>
          <w:sz w:val="20"/>
          <w:szCs w:val="20"/>
          <w:color w:val="auto"/>
        </w:rPr>
      </w:pPr>
    </w:p>
    <w:p>
      <w:pPr>
        <w:ind w:right="140" w:firstLine="589"/>
        <w:spacing w:after="0" w:line="289" w:lineRule="auto"/>
        <w:rPr>
          <w:sz w:val="20"/>
          <w:szCs w:val="20"/>
          <w:color w:val="auto"/>
        </w:rPr>
      </w:pPr>
      <w:r>
        <w:rPr>
          <w:rFonts w:ascii="Arial" w:cs="Arial" w:eastAsia="Arial" w:hAnsi="Arial"/>
          <w:sz w:val="16"/>
          <w:szCs w:val="16"/>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lawsuits to protect or enforce our patents and trade secrets, which could be expensive, time-consuming and unsuccessful.</w:t>
      </w:r>
    </w:p>
    <w:p>
      <w:pPr>
        <w:spacing w:after="0" w:line="15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jc w:val="both"/>
        <w:ind w:right="80" w:firstLine="589"/>
        <w:spacing w:after="0" w:line="275" w:lineRule="auto"/>
        <w:rPr>
          <w:sz w:val="20"/>
          <w:szCs w:val="20"/>
          <w:color w:val="auto"/>
        </w:rPr>
      </w:pPr>
      <w:r>
        <w:rPr>
          <w:rFonts w:ascii="Arial" w:cs="Arial" w:eastAsia="Arial" w:hAnsi="Arial"/>
          <w:sz w:val="17"/>
          <w:szCs w:val="17"/>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6"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The following are examples of litigation and other adversarial proceedings or disputes that we could become a party to involving our patents or patents licensed to us:</w:t>
      </w:r>
    </w:p>
    <w:p>
      <w:pPr>
        <w:spacing w:after="0" w:line="62" w:lineRule="exact"/>
        <w:rPr>
          <w:sz w:val="20"/>
          <w:szCs w:val="20"/>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initiate litigation or other proceedings against third parties to enforce our patent and trade secret rights;</w:t>
      </w:r>
    </w:p>
    <w:p>
      <w:pPr>
        <w:spacing w:after="0" w:line="144"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62" w:lineRule="exact"/>
        <w:rPr>
          <w:rFonts w:ascii="Arial" w:cs="Arial" w:eastAsia="Arial" w:hAnsi="Arial"/>
          <w:sz w:val="18"/>
          <w:szCs w:val="18"/>
          <w:color w:val="auto"/>
        </w:rPr>
      </w:pPr>
    </w:p>
    <w:p>
      <w:pPr>
        <w:jc w:val="both"/>
        <w:ind w:left="1160" w:right="140" w:hanging="572"/>
        <w:spacing w:after="0" w:line="286" w:lineRule="auto"/>
        <w:tabs>
          <w:tab w:leader="none" w:pos="11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57" w:lineRule="exact"/>
        <w:rPr>
          <w:rFonts w:ascii="Arial" w:cs="Arial" w:eastAsia="Arial" w:hAnsi="Arial"/>
          <w:sz w:val="17"/>
          <w:szCs w:val="17"/>
          <w:color w:val="auto"/>
        </w:rPr>
      </w:pPr>
    </w:p>
    <w:p>
      <w:pPr>
        <w:ind w:left="1160" w:hanging="572"/>
        <w:spacing w:after="0" w:line="263"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184"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72"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9" w:name="page80"/>
    <w:bookmarkEnd w:id="79"/>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62"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the patents and other proprietary rights of third parties.</w:t>
      </w:r>
    </w:p>
    <w:p>
      <w:pPr>
        <w:spacing w:after="0" w:line="140"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187"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(and related applications in other jurisdictions) owned by University Health Network, or UHN, and The Hospital for Sick Children that may encompass certain therapies for the treatment of cancer using polypeptides comprising soluble human SIRPα.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revoked by the European Patent Office and UHN and The Hospital for Sick Children have appealed the decision. The patent claims under the European patent, if the appeal by UHN and The Hospital for Sick Children is successful, could potentially limit our ability to pursue evorpacept in certain new indications or geographies in the future. However, we believe that we do not infringe claims listed in U.S. patent 10,907,209.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84"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0" w:name="page81"/>
    <w:bookmarkEnd w:id="80"/>
    <w:p>
      <w:pPr>
        <w:ind w:firstLine="589"/>
        <w:spacing w:after="0" w:line="286" w:lineRule="auto"/>
        <w:rPr>
          <w:sz w:val="20"/>
          <w:szCs w:val="20"/>
          <w:color w:val="auto"/>
        </w:rPr>
      </w:pPr>
      <w:r>
        <w:rPr>
          <w:rFonts w:ascii="Arial" w:cs="Arial" w:eastAsia="Arial" w:hAnsi="Arial"/>
          <w:sz w:val="17"/>
          <w:szCs w:val="17"/>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17" w:lineRule="exact"/>
        <w:rPr>
          <w:sz w:val="20"/>
          <w:szCs w:val="20"/>
          <w:color w:val="auto"/>
        </w:rPr>
      </w:pPr>
    </w:p>
    <w:p>
      <w:pPr>
        <w:ind w:right="320" w:firstLine="589"/>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8" w:lineRule="exact"/>
        <w:rPr>
          <w:sz w:val="20"/>
          <w:szCs w:val="20"/>
          <w:color w:val="auto"/>
        </w:rPr>
      </w:pPr>
    </w:p>
    <w:p>
      <w:pPr>
        <w:ind w:left="1160" w:right="10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44" w:lineRule="exact"/>
        <w:rPr>
          <w:rFonts w:ascii="Arial" w:cs="Arial" w:eastAsia="Arial" w:hAnsi="Arial"/>
          <w:sz w:val="18"/>
          <w:szCs w:val="18"/>
          <w:color w:val="auto"/>
        </w:rPr>
      </w:pPr>
    </w:p>
    <w:p>
      <w:pPr>
        <w:ind w:left="1160" w:right="62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160" w:right="80" w:hanging="572"/>
        <w:spacing w:after="0" w:line="263"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75" w:lineRule="exact"/>
        <w:rPr>
          <w:rFonts w:ascii="Arial" w:cs="Arial" w:eastAsia="Arial" w:hAnsi="Arial"/>
          <w:sz w:val="18"/>
          <w:szCs w:val="18"/>
          <w:color w:val="auto"/>
        </w:rPr>
      </w:pPr>
    </w:p>
    <w:p>
      <w:pPr>
        <w:ind w:left="1160" w:right="580" w:hanging="572"/>
        <w:spacing w:after="0" w:line="308" w:lineRule="auto"/>
        <w:tabs>
          <w:tab w:leader="none" w:pos="11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44" w:lineRule="exact"/>
        <w:rPr>
          <w:rFonts w:ascii="Arial" w:cs="Arial" w:eastAsia="Arial" w:hAnsi="Arial"/>
          <w:sz w:val="18"/>
          <w:szCs w:val="18"/>
          <w:color w:val="auto"/>
        </w:rPr>
      </w:pPr>
    </w:p>
    <w:p>
      <w:pPr>
        <w:ind w:left="1160" w:right="180" w:hanging="572"/>
        <w:spacing w:after="0" w:line="308" w:lineRule="auto"/>
        <w:tabs>
          <w:tab w:leader="none" w:pos="11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160" w:right="10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62"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i w:val="1"/>
          <w:iCs w:val="1"/>
          <w:color w:val="auto"/>
        </w:rPr>
        <w:t>Our rights to develop and commercialize our product candidates may be subject, in part, to the terms and conditions of agreements with others.</w:t>
      </w:r>
    </w:p>
    <w:p>
      <w:pPr>
        <w:spacing w:after="0" w:line="140" w:lineRule="exact"/>
        <w:rPr>
          <w:sz w:val="20"/>
          <w:szCs w:val="20"/>
          <w:color w:val="auto"/>
        </w:rPr>
      </w:pPr>
    </w:p>
    <w:p>
      <w:pPr>
        <w:jc w:val="both"/>
        <w:ind w:right="120" w:firstLine="589"/>
        <w:spacing w:after="0" w:line="301" w:lineRule="auto"/>
        <w:rPr>
          <w:sz w:val="20"/>
          <w:szCs w:val="20"/>
          <w:color w:val="auto"/>
        </w:rPr>
      </w:pPr>
      <w:r>
        <w:rPr>
          <w:rFonts w:ascii="Arial" w:cs="Arial" w:eastAsia="Arial" w:hAnsi="Arial"/>
          <w:sz w:val="16"/>
          <w:szCs w:val="16"/>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15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65"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30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76"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2" w:name="page83"/>
    <w:bookmarkEnd w:id="82"/>
    <w:p>
      <w:pPr>
        <w:ind w:left="600"/>
        <w:spacing w:after="0"/>
        <w:rPr>
          <w:sz w:val="20"/>
          <w:szCs w:val="20"/>
          <w:color w:val="auto"/>
        </w:rPr>
      </w:pPr>
      <w:r>
        <w:rPr>
          <w:rFonts w:ascii="Arial" w:cs="Arial" w:eastAsia="Arial" w:hAnsi="Arial"/>
          <w:sz w:val="18"/>
          <w:szCs w:val="18"/>
          <w:color w:val="auto"/>
        </w:rPr>
        <w:t>Moreover, disputes may arise regarding intellectual property subject to a collaboration agreement, including:</w:t>
      </w:r>
    </w:p>
    <w:p>
      <w:pPr>
        <w:spacing w:after="0" w:line="117" w:lineRule="exact"/>
        <w:rPr>
          <w:sz w:val="20"/>
          <w:szCs w:val="20"/>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the option or license rights granted under the agreement and other interpretation-related issues;</w:t>
      </w:r>
    </w:p>
    <w:p>
      <w:pPr>
        <w:spacing w:after="0" w:line="144" w:lineRule="exact"/>
        <w:rPr>
          <w:rFonts w:ascii="Arial" w:cs="Arial" w:eastAsia="Arial" w:hAnsi="Arial"/>
          <w:sz w:val="18"/>
          <w:szCs w:val="18"/>
          <w:color w:val="auto"/>
        </w:rPr>
      </w:pPr>
    </w:p>
    <w:p>
      <w:pPr>
        <w:ind w:left="1160" w:right="340" w:hanging="572"/>
        <w:spacing w:after="0" w:line="277"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collaborator that is not subject to the option or license rights granted under the agreement;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under the agreement and what activities satisfy those diligence obligations;</w:t>
      </w:r>
    </w:p>
    <w:p>
      <w:pPr>
        <w:spacing w:after="0" w:line="144" w:lineRule="exact"/>
        <w:rPr>
          <w:rFonts w:ascii="Arial" w:cs="Arial" w:eastAsia="Arial" w:hAnsi="Arial"/>
          <w:sz w:val="18"/>
          <w:szCs w:val="18"/>
          <w:color w:val="auto"/>
        </w:rPr>
      </w:pPr>
    </w:p>
    <w:p>
      <w:pPr>
        <w:ind w:left="1160" w:right="660" w:hanging="572"/>
        <w:spacing w:after="0" w:line="277"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collaborators and us and our other partners;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As of December 31, 2021, we had 43 employees, including 29 employees engaged in research and development. In order to successfully implement our development and commercialization plans and strategies, and as we continue to transition 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79" w:lineRule="exact"/>
        <w:rPr>
          <w:sz w:val="20"/>
          <w:szCs w:val="20"/>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44" w:lineRule="exact"/>
        <w:rPr>
          <w:rFonts w:ascii="Arial" w:cs="Arial" w:eastAsia="Arial" w:hAnsi="Arial"/>
          <w:sz w:val="18"/>
          <w:szCs w:val="18"/>
          <w:color w:val="auto"/>
        </w:rPr>
      </w:pPr>
    </w:p>
    <w:p>
      <w:pPr>
        <w:ind w:left="1160" w:right="160" w:hanging="572"/>
        <w:spacing w:after="0" w:line="308" w:lineRule="auto"/>
        <w:tabs>
          <w:tab w:leader="none" w:pos="11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evorpacept and any other future product candidates, while complying with any contractual obligations to contractors and other third parties we may have; and</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52" w:lineRule="exact"/>
        <w:rPr>
          <w:sz w:val="20"/>
          <w:szCs w:val="20"/>
          <w:color w:val="auto"/>
        </w:rPr>
      </w:pPr>
    </w:p>
    <w:p>
      <w:pPr>
        <w:ind w:right="120" w:firstLine="589"/>
        <w:spacing w:after="0" w:line="311"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evorpacept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3" w:name="page84"/>
    <w:bookmarkEnd w:id="83"/>
    <w:p>
      <w:pPr>
        <w:ind w:right="20" w:firstLine="589"/>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candidates are based on a novel technology, which makes it difficult to predict the time and cost of product candidate development.</w:t>
      </w:r>
    </w:p>
    <w:p>
      <w:pPr>
        <w:spacing w:after="0" w:line="140" w:lineRule="exact"/>
        <w:rPr>
          <w:sz w:val="20"/>
          <w:szCs w:val="20"/>
          <w:color w:val="auto"/>
        </w:rPr>
      </w:pPr>
    </w:p>
    <w:p>
      <w:pPr>
        <w:ind w:right="160" w:firstLine="589"/>
        <w:spacing w:after="0" w:line="273" w:lineRule="auto"/>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200" w:firstLine="589"/>
        <w:spacing w:after="0" w:line="301" w:lineRule="auto"/>
        <w:rPr>
          <w:sz w:val="20"/>
          <w:szCs w:val="20"/>
          <w:color w:val="auto"/>
        </w:rPr>
      </w:pPr>
      <w:r>
        <w:rPr>
          <w:rFonts w:ascii="Arial" w:cs="Arial" w:eastAsia="Arial" w:hAnsi="Arial"/>
          <w:sz w:val="16"/>
          <w:szCs w:val="16"/>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5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81"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ind w:right="180"/>
        <w:spacing w:after="0" w:line="27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2" w:lineRule="exact"/>
        <w:rPr>
          <w:sz w:val="20"/>
          <w:szCs w:val="20"/>
          <w:color w:val="auto"/>
        </w:rPr>
      </w:pPr>
    </w:p>
    <w:p>
      <w:pPr>
        <w:ind w:right="180" w:firstLine="589"/>
        <w:spacing w:after="0" w:line="273" w:lineRule="auto"/>
        <w:rPr>
          <w:sz w:val="20"/>
          <w:szCs w:val="20"/>
          <w:color w:val="auto"/>
        </w:rPr>
      </w:pPr>
      <w:r>
        <w:rPr>
          <w:rFonts w:ascii="Arial" w:cs="Arial" w:eastAsia="Arial" w:hAnsi="Arial"/>
          <w:sz w:val="17"/>
          <w:szCs w:val="17"/>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70" w:lineRule="exact"/>
        <w:rPr>
          <w:sz w:val="20"/>
          <w:szCs w:val="20"/>
          <w:color w:val="auto"/>
        </w:rPr>
      </w:pPr>
    </w:p>
    <w:p>
      <w:pPr>
        <w:ind w:left="1160" w:right="160" w:hanging="572"/>
        <w:spacing w:after="0" w:line="263"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44" w:lineRule="exact"/>
        <w:rPr>
          <w:rFonts w:ascii="Arial" w:cs="Arial" w:eastAsia="Arial" w:hAnsi="Arial"/>
          <w:sz w:val="18"/>
          <w:szCs w:val="18"/>
          <w:color w:val="auto"/>
        </w:rPr>
      </w:pPr>
    </w:p>
    <w:p>
      <w:pPr>
        <w:ind w:left="1160" w:right="780" w:hanging="572"/>
        <w:spacing w:after="0" w:line="277"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 including as a result of potentially relevant third-party patent rights;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payor reimbursement regimes, government payors or patient self-pay systems;</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44"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drugs;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w:t>
      </w:r>
    </w:p>
    <w:p>
      <w:pPr>
        <w:spacing w:after="0" w:line="144" w:lineRule="exact"/>
        <w:rPr>
          <w:rFonts w:ascii="Arial" w:cs="Arial" w:eastAsia="Arial" w:hAnsi="Arial"/>
          <w:sz w:val="18"/>
          <w:szCs w:val="18"/>
          <w:color w:val="auto"/>
        </w:rPr>
      </w:pPr>
    </w:p>
    <w:p>
      <w:pPr>
        <w:ind w:left="1160" w:right="740" w:hanging="572"/>
        <w:spacing w:after="0" w:line="277"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political and economic instability, including wars, terrorism and political unrest, boycotts, curtailment of trade and other business restrictions;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natural disasters, outbreaks or public health crises, such as the COVID-19 pandemic;</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44" w:lineRule="exact"/>
        <w:rPr>
          <w:rFonts w:ascii="Arial" w:cs="Arial" w:eastAsia="Arial" w:hAnsi="Arial"/>
          <w:sz w:val="18"/>
          <w:szCs w:val="18"/>
          <w:color w:val="auto"/>
        </w:rPr>
      </w:pPr>
    </w:p>
    <w:p>
      <w:pPr>
        <w:ind w:left="1160" w:right="20" w:hanging="572"/>
        <w:spacing w:after="0" w:line="308" w:lineRule="auto"/>
        <w:tabs>
          <w:tab w:leader="none" w:pos="11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of these factors could harm our future international expansion and operations and, consequently, our results of operations.</w:t>
      </w:r>
    </w:p>
    <w:p>
      <w:pPr>
        <w:spacing w:after="0" w:line="333"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5" w:name="page86"/>
    <w:bookmarkEnd w:id="85"/>
    <w:p>
      <w:pPr>
        <w:ind w:right="120" w:firstLine="589"/>
        <w:spacing w:after="0" w:line="255" w:lineRule="auto"/>
        <w:rPr>
          <w:sz w:val="20"/>
          <w:szCs w:val="20"/>
          <w:color w:val="auto"/>
        </w:rPr>
      </w:pPr>
      <w:r>
        <w:rPr>
          <w:rFonts w:ascii="Arial" w:cs="Arial" w:eastAsia="Arial" w:hAnsi="Arial"/>
          <w:sz w:val="18"/>
          <w:szCs w:val="18"/>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78"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171"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w:t>
      </w:r>
    </w:p>
    <w:p>
      <w:pPr>
        <w:spacing w:after="0" w:line="195"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spacing w:after="0" w:line="149" w:lineRule="exact"/>
        <w:rPr>
          <w:sz w:val="20"/>
          <w:szCs w:val="20"/>
          <w:color w:val="auto"/>
        </w:rPr>
      </w:pPr>
    </w:p>
    <w:p>
      <w:pPr>
        <w:ind w:right="320" w:firstLine="589"/>
        <w:spacing w:after="0" w:line="279" w:lineRule="auto"/>
        <w:rPr>
          <w:sz w:val="20"/>
          <w:szCs w:val="20"/>
          <w:color w:val="auto"/>
        </w:rPr>
      </w:pPr>
      <w:r>
        <w:rPr>
          <w:rFonts w:ascii="Arial" w:cs="Arial" w:eastAsia="Arial" w:hAnsi="Arial"/>
          <w:sz w:val="17"/>
          <w:szCs w:val="17"/>
          <w:color w:val="auto"/>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clinical trials and preclinical research.</w:t>
      </w:r>
    </w:p>
    <w:p>
      <w:pPr>
        <w:spacing w:after="0" w:line="129"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December 2019, COVID-19 was reported to have surfaced in Wuhan, China. Since then, the virus has spread across the world, including all 50 states within the United States, resulting in the World Health Organization characterizing COVID-19 as a pandemic. More recently, the Delta and Omicron variants of COVID-19 continue to spread another wave of the pandemic. As a result of measures imposed by the governments in affected regions, many commercial activities, businesses and schools have been affected by quarantines and other measures intended to contain the pandemic and subsequent variants of the COVID-19 virus. The extent to which the COVID-19 pandemic ultimately impacts our business will depend on future developments, which are highly uncertain and cannot be predicted, such as the duration of the outbreak, including current and subsequent variants of COVID-19,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we may experience disruptions that could severely impact our business, current and planned clinical trials and preclinical research, including:</w:t>
      </w:r>
    </w:p>
    <w:p>
      <w:pPr>
        <w:spacing w:after="0" w:line="77" w:lineRule="exact"/>
        <w:rPr>
          <w:sz w:val="20"/>
          <w:szCs w:val="20"/>
          <w:color w:val="auto"/>
        </w:rPr>
      </w:pPr>
    </w:p>
    <w:p>
      <w:pPr>
        <w:ind w:left="1160" w:hanging="57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subjects, particularly elderly subjects, who are at a higher risk of severe illness or death from COVID-19, in our ongoing clinical trials of evorpacept and our future clinical trials;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difficulties interpreting data from our clinical trials due to the possible effects of COVID-19 on subjects;</w:t>
      </w:r>
    </w:p>
    <w:p>
      <w:pPr>
        <w:spacing w:after="0" w:line="144" w:lineRule="exact"/>
        <w:rPr>
          <w:rFonts w:ascii="Arial" w:cs="Arial" w:eastAsia="Arial" w:hAnsi="Arial"/>
          <w:sz w:val="18"/>
          <w:szCs w:val="18"/>
          <w:color w:val="auto"/>
        </w:rPr>
      </w:pPr>
    </w:p>
    <w:p>
      <w:pPr>
        <w:ind w:left="1160" w:right="240" w:hanging="57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2" w:lineRule="exact"/>
        <w:rPr>
          <w:rFonts w:ascii="Arial" w:cs="Arial" w:eastAsia="Arial" w:hAnsi="Arial"/>
          <w:sz w:val="18"/>
          <w:szCs w:val="18"/>
          <w:color w:val="auto"/>
        </w:rPr>
      </w:pPr>
    </w:p>
    <w:p>
      <w:pPr>
        <w:ind w:left="1160" w:right="280" w:hanging="57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1160" w:right="20" w:hanging="572"/>
        <w:spacing w:after="0" w:line="286" w:lineRule="auto"/>
        <w:tabs>
          <w:tab w:leader="none" w:pos="11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57" w:lineRule="exact"/>
        <w:rPr>
          <w:rFonts w:ascii="Arial" w:cs="Arial" w:eastAsia="Arial" w:hAnsi="Arial"/>
          <w:sz w:val="17"/>
          <w:szCs w:val="17"/>
          <w:color w:val="auto"/>
        </w:rPr>
      </w:pPr>
    </w:p>
    <w:p>
      <w:pPr>
        <w:ind w:left="1160" w:right="500" w:hanging="57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delays in receiving approval from regulatory authorities to initiate our clinical trials;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the CROs conducting such studies;</w:t>
      </w:r>
    </w:p>
    <w:p>
      <w:pPr>
        <w:spacing w:after="0" w:line="144" w:lineRule="exact"/>
        <w:rPr>
          <w:rFonts w:ascii="Arial" w:cs="Arial" w:eastAsia="Arial" w:hAnsi="Arial"/>
          <w:sz w:val="18"/>
          <w:szCs w:val="18"/>
          <w:color w:val="auto"/>
        </w:rPr>
      </w:pPr>
    </w:p>
    <w:p>
      <w:pPr>
        <w:ind w:left="1160" w:right="440" w:hanging="57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other domestic or foreign regulatory authorities, which may impact review and approval timelines;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delays in receiving the supplies, materials and services needed to conduct clinical trials and preclinical research;</w:t>
      </w:r>
    </w:p>
    <w:p>
      <w:pPr>
        <w:spacing w:after="0" w:line="144" w:lineRule="exact"/>
        <w:rPr>
          <w:rFonts w:ascii="Arial" w:cs="Arial" w:eastAsia="Arial" w:hAnsi="Arial"/>
          <w:sz w:val="18"/>
          <w:szCs w:val="18"/>
          <w:color w:val="auto"/>
        </w:rPr>
      </w:pPr>
    </w:p>
    <w:p>
      <w:pPr>
        <w:ind w:left="1160" w:right="360" w:hanging="572"/>
        <w:spacing w:after="0" w:line="308" w:lineRule="auto"/>
        <w:tabs>
          <w:tab w:leader="none" w:pos="11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which may result in unexpected costs or require us to discontinue the clinical trial altogether;</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interruptions or delays to our development pipeline;</w:t>
      </w:r>
    </w:p>
    <w:p>
      <w:pPr>
        <w:spacing w:after="0" w:line="144" w:lineRule="exact"/>
        <w:rPr>
          <w:rFonts w:ascii="Arial" w:cs="Arial" w:eastAsia="Arial" w:hAnsi="Arial"/>
          <w:sz w:val="18"/>
          <w:szCs w:val="18"/>
          <w:color w:val="auto"/>
        </w:rPr>
      </w:pPr>
    </w:p>
    <w:p>
      <w:pPr>
        <w:ind w:left="1160" w:right="520" w:hanging="57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of the United States.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7" w:name="page88"/>
    <w:bookmarkEnd w:id="87"/>
    <w:p>
      <w:pPr>
        <w:ind w:right="280" w:firstLine="594"/>
        <w:spacing w:after="0" w:line="257" w:lineRule="auto"/>
        <w:rPr>
          <w:sz w:val="20"/>
          <w:szCs w:val="20"/>
          <w:color w:val="auto"/>
        </w:rPr>
      </w:pPr>
      <w:r>
        <w:rPr>
          <w:rFonts w:ascii="Arial" w:cs="Arial" w:eastAsia="Arial" w:hAnsi="Arial"/>
          <w:sz w:val="18"/>
          <w:szCs w:val="18"/>
          <w:color w:val="auto"/>
        </w:rPr>
        <w:t>The COVID-19 pandemic continues to pose a threat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or due to shutdowns that may be requested or mandated by federal, state and local governmental authorities. Currently, our employees are following a hybrid work model that enables work in our South San Francisco office with flexibility to work from home, as needed.</w:t>
      </w:r>
    </w:p>
    <w:p>
      <w:pPr>
        <w:spacing w:after="0" w:line="188" w:lineRule="exact"/>
        <w:rPr>
          <w:sz w:val="20"/>
          <w:szCs w:val="20"/>
          <w:color w:val="auto"/>
        </w:rPr>
      </w:pPr>
    </w:p>
    <w:p>
      <w:pPr>
        <w:ind w:right="60" w:firstLine="594"/>
        <w:spacing w:after="0" w:line="268" w:lineRule="auto"/>
        <w:rPr>
          <w:sz w:val="20"/>
          <w:szCs w:val="20"/>
          <w:color w:val="auto"/>
        </w:rPr>
      </w:pPr>
      <w:r>
        <w:rPr>
          <w:rFonts w:ascii="Arial" w:cs="Arial" w:eastAsia="Arial" w:hAnsi="Arial"/>
          <w:sz w:val="17"/>
          <w:szCs w:val="17"/>
          <w:color w:val="auto"/>
        </w:rPr>
        <w:t>Additionally, certain third parties with whom we engage or may engage, including collaborators, contract organizations, third-party manufacturers, suppliers, clinical trial sites, regulators and other third parties are similarly adjusting their operations and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there could be delays in the procurement of materials or manufacturing supply chains for one or more of our product candidates, which could delay or otherwise impact our preclinical studies and our planned clinical trials. Additionally, all of our preclinical studies are conducted by CROs, which could be discontinued or delayed as a result of the pandemic. It is also likely that the disproportionate impact of COVID-19 on hospitals and clinical sites will have an impact on recruitment and retention for our planned clinical trials. CROs have also made certain adjustments to the operation of such trials in an effort to ensure the monitoring and safety of patients and minimize risks to trial integrity during the pandemic in accordance with the guidance issued by the FDA and may need to make further adjustments in the future that could impact the timing or enrollment of our clinical trials. Many of these adjustments are new and untested, may not be effective, may increase costs and may have unforeseen effects on the enrollment, progress and completion of these trials and the findings from these trials. While we are currently continuing our clinical trials and preclinical studies, we may experience delays in the completion of our clinical trials, preclinical activities and subject enrollment, may need to suspend our clinical trials and may encounter other negative impacts to such trials due to the effects of the COVID-19 pandemic.</w:t>
      </w:r>
    </w:p>
    <w:p>
      <w:pPr>
        <w:spacing w:after="0" w:line="184" w:lineRule="exact"/>
        <w:rPr>
          <w:sz w:val="20"/>
          <w:szCs w:val="20"/>
          <w:color w:val="auto"/>
        </w:rPr>
      </w:pPr>
    </w:p>
    <w:p>
      <w:pPr>
        <w:ind w:firstLine="594"/>
        <w:spacing w:after="0" w:line="286" w:lineRule="auto"/>
        <w:rPr>
          <w:sz w:val="20"/>
          <w:szCs w:val="20"/>
          <w:color w:val="auto"/>
        </w:rPr>
      </w:pPr>
      <w:r>
        <w:rPr>
          <w:rFonts w:ascii="Arial" w:cs="Arial" w:eastAsia="Arial" w:hAnsi="Arial"/>
          <w:sz w:val="16"/>
          <w:szCs w:val="16"/>
          <w:color w:val="auto"/>
        </w:rPr>
        <w:t>Further, as a result of the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cGCPs,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6"/>
          <w:szCs w:val="16"/>
          <w:i w:val="1"/>
          <w:iCs w:val="1"/>
          <w:color w:val="auto"/>
        </w:rPr>
        <w:t>e.g.</w:t>
      </w:r>
      <w:r>
        <w:rPr>
          <w:rFonts w:ascii="Arial" w:cs="Arial" w:eastAsia="Arial" w:hAnsi="Arial"/>
          <w:sz w:val="16"/>
          <w:szCs w:val="16"/>
          <w:color w:val="auto"/>
        </w:rPr>
        <w:t>,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171" w:lineRule="exact"/>
        <w:rPr>
          <w:sz w:val="20"/>
          <w:szCs w:val="20"/>
          <w:color w:val="auto"/>
        </w:rPr>
      </w:pPr>
    </w:p>
    <w:p>
      <w:pPr>
        <w:ind w:right="60" w:firstLine="594"/>
        <w:spacing w:after="0" w:line="263" w:lineRule="auto"/>
        <w:rPr>
          <w:sz w:val="20"/>
          <w:szCs w:val="20"/>
          <w:color w:val="auto"/>
        </w:rPr>
      </w:pPr>
      <w:r>
        <w:rPr>
          <w:rFonts w:ascii="Arial" w:cs="Arial" w:eastAsia="Arial" w:hAnsi="Arial"/>
          <w:sz w:val="18"/>
          <w:szCs w:val="18"/>
          <w:color w:val="auto"/>
        </w:rPr>
        <w:t>The COVID-19 pandemic continues to rapidly evolve.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84"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section and in this “Risk Factors” section.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8" w:name="page89"/>
    <w:bookmarkEnd w:id="88"/>
    <w:p>
      <w:pPr>
        <w:ind w:right="100"/>
        <w:spacing w:after="0" w:line="259" w:lineRule="auto"/>
        <w:rPr>
          <w:sz w:val="20"/>
          <w:szCs w:val="20"/>
          <w:color w:val="auto"/>
        </w:rPr>
      </w:pPr>
      <w:r>
        <w:rPr>
          <w:rFonts w:ascii="Arial" w:cs="Arial" w:eastAsia="Arial" w:hAnsi="Arial"/>
          <w:sz w:val="18"/>
          <w:szCs w:val="18"/>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79"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recently entered into a collaboration agreement with Tallac Therapeutics pursuant to which we expect to jointly develop, manufacture, and commercialize a novel class of cancer immunotherapeutics.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65" w:lineRule="exact"/>
        <w:rPr>
          <w:sz w:val="20"/>
          <w:szCs w:val="20"/>
          <w:color w:val="auto"/>
        </w:rPr>
      </w:pPr>
    </w:p>
    <w:p>
      <w:pPr>
        <w:ind w:right="60" w:firstLine="594"/>
        <w:spacing w:after="0" w:line="273"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178" w:lineRule="exact"/>
        <w:rPr>
          <w:sz w:val="20"/>
          <w:szCs w:val="20"/>
          <w:color w:val="auto"/>
        </w:rPr>
      </w:pPr>
    </w:p>
    <w:p>
      <w:pPr>
        <w:ind w:firstLine="594"/>
        <w:spacing w:after="0" w:line="268" w:lineRule="auto"/>
        <w:rPr>
          <w:sz w:val="20"/>
          <w:szCs w:val="20"/>
          <w:color w:val="auto"/>
        </w:rPr>
      </w:pPr>
      <w:r>
        <w:rPr>
          <w:rFonts w:ascii="Arial" w:cs="Arial" w:eastAsia="Arial" w:hAnsi="Arial"/>
          <w:sz w:val="17"/>
          <w:szCs w:val="17"/>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6" w:lineRule="exact"/>
        <w:rPr>
          <w:sz w:val="20"/>
          <w:szCs w:val="20"/>
          <w:color w:val="auto"/>
        </w:rPr>
      </w:pPr>
    </w:p>
    <w:p>
      <w:pPr>
        <w:ind w:right="20" w:firstLine="594"/>
        <w:spacing w:after="0" w:line="268"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We may acquire businesses or assets and we may not realize the benefits of such acquisitions.</w:t>
      </w:r>
    </w:p>
    <w:p>
      <w:pPr>
        <w:spacing w:after="0" w:line="117" w:lineRule="exact"/>
        <w:rPr>
          <w:sz w:val="20"/>
          <w:szCs w:val="20"/>
          <w:color w:val="auto"/>
        </w:rPr>
      </w:pPr>
    </w:p>
    <w:p>
      <w:pPr>
        <w:ind w:right="120" w:firstLine="589"/>
        <w:spacing w:after="0" w:line="291" w:lineRule="auto"/>
        <w:rPr>
          <w:sz w:val="20"/>
          <w:szCs w:val="20"/>
          <w:color w:val="auto"/>
        </w:rPr>
      </w:pPr>
      <w:r>
        <w:rPr>
          <w:rFonts w:ascii="Arial" w:cs="Arial" w:eastAsia="Arial" w:hAnsi="Arial"/>
          <w:sz w:val="16"/>
          <w:szCs w:val="16"/>
          <w:color w:val="auto"/>
        </w:rPr>
        <w:t>We may acquire businesses or assets or create joint ventures with third parties that we believe may complement our existing product candidates. For example, on October 4, 2021, we entered into a share purchase agreement with ScalmiBio, Inc., or ScalmiBio, with plans to develop new anti-cancer drug candidates based on ScalmiBio’s platform and to enhance our internal research and development capabilities. In order to realize the benefits of the ScalmiBio acquisition, we will need to make a substantial investment of time and resources to support research and development efforts, including hiring additional skilled research personnel. Additionally, we may not be able to realize the benefit of acquiring such businesses or assets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w:t>
      </w:r>
    </w:p>
    <w:p>
      <w:pPr>
        <w:spacing w:after="0" w:line="166" w:lineRule="exact"/>
        <w:rPr>
          <w:sz w:val="20"/>
          <w:szCs w:val="20"/>
          <w:color w:val="auto"/>
        </w:rPr>
      </w:pPr>
    </w:p>
    <w:p>
      <w:pPr>
        <w:ind w:right="280" w:firstLine="589"/>
        <w:spacing w:after="0" w:line="279" w:lineRule="auto"/>
        <w:rPr>
          <w:sz w:val="20"/>
          <w:szCs w:val="20"/>
          <w:color w:val="auto"/>
        </w:rPr>
      </w:pPr>
      <w:r>
        <w:rPr>
          <w:rFonts w:ascii="Arial" w:cs="Arial" w:eastAsia="Arial" w:hAnsi="Arial"/>
          <w:sz w:val="17"/>
          <w:szCs w:val="17"/>
          <w:color w:val="auto"/>
        </w:rPr>
        <w:t>Also, the anticipated benefit of any joint venture or acquisition may not materialize or such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Under the U.S. Internal Revenue Code of 1986, as amended, if a corporation undergoes an “ownership change” (generally defined as a greater than 50 percentage points change (by value) in the ownership of its equity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subsequent shifts in our stock ownership, some of which are outside our control. As of December 31, 2021, we had net operating loss carryforwards of approximately $47.1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will begin to expire beginning in 2038.</w:t>
      </w:r>
    </w:p>
    <w:p>
      <w:pPr>
        <w:spacing w:after="0" w:line="165"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As of December 31, 2021, we had Irish net operating loss carryforwards of approximately $5.6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sustained for our common stock.</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9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2"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on December 17, 2021 we entered into a Sales Agreement with Cantor Fitzgerald &amp; Co. and Credit Suisse Securities (USA) LLC, pursuant to which we may offer and sell from time to time up to $150 million of shares of our common stock through at-the-market offerings. If we issue common stock or securities convertible into common stock, our common stockholders would experience additional dilution and, as a result, our stock price may decline.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1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The trading price of our common stock may be highly volatile and subject to wide fluctuations in response to various factors, some of which are beyond our control. In addition to those discussed in this “Risk Factors” section and elsewhere in this Annual Report on Form 10-K, the following factors may cause the market price of our common stock to fluctuate:</w:t>
      </w:r>
    </w:p>
    <w:p>
      <w:pPr>
        <w:spacing w:after="0" w:line="76" w:lineRule="exact"/>
        <w:rPr>
          <w:sz w:val="20"/>
          <w:szCs w:val="20"/>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and timing of our preclinical studies and clinical trials and studies and trials of our competitors;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issues in manufacturing our product candidates or any future approved products;</w:t>
      </w:r>
    </w:p>
    <w:p>
      <w:pPr>
        <w:spacing w:after="0" w:line="144" w:lineRule="exact"/>
        <w:rPr>
          <w:rFonts w:ascii="Arial" w:cs="Arial" w:eastAsia="Arial" w:hAnsi="Arial"/>
          <w:sz w:val="18"/>
          <w:szCs w:val="18"/>
          <w:color w:val="auto"/>
        </w:rPr>
      </w:pPr>
    </w:p>
    <w:p>
      <w:pPr>
        <w:ind w:left="1160" w:right="820" w:hanging="572"/>
        <w:spacing w:after="0" w:line="277"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developments or enforcement in the United States and foreign countries with respect to our product candidates or our competitors’ products;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or anticipated changes in our growth and development relative to our competitors;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introduction of new product candidates or technological innovations by us or our competitors;</w:t>
      </w:r>
    </w:p>
    <w:p>
      <w:pPr>
        <w:spacing w:after="0" w:line="144" w:lineRule="exact"/>
        <w:rPr>
          <w:rFonts w:ascii="Arial" w:cs="Arial" w:eastAsia="Arial" w:hAnsi="Arial"/>
          <w:sz w:val="18"/>
          <w:szCs w:val="18"/>
          <w:color w:val="auto"/>
        </w:rPr>
      </w:pPr>
    </w:p>
    <w:p>
      <w:pPr>
        <w:ind w:left="1160" w:right="240" w:hanging="572"/>
        <w:spacing w:after="0" w:line="277"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by us, our future strategic partners or our competitors of significant acquisitions, strategic partnerships, joint ventures or capital commitments;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or anticipated changes in estimates or recommendations by securities analysts, if any cover our common stock;</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public concern over our product candidates or any future approved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sales of our common stock by us, our insiders or our other stockholders;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91" w:name="page92"/>
    <w:bookmarkEnd w:id="91"/>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 in the United States or overseas;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of any of our product candidates, if approved, to achieve commercial success;</w:t>
      </w:r>
    </w:p>
    <w:p>
      <w:pPr>
        <w:spacing w:after="0" w:line="144"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economic and other external factors such as macroeconomic conditions, such as inflation, disasters, crises or health matters, including the impact of the COVID-19 pandemic;</w:t>
      </w:r>
    </w:p>
    <w:p>
      <w:pPr>
        <w:spacing w:after="0" w:line="62"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period-to-period fluctuations in our financial condition and results of operations, including the timing of payment or receipt of any future milestone or other payments under commercialization or licensing agreements;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overall fluctuations in U.S. equity markets, general market conditions and market conditions for biotechnology stocks;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factors that may be unanticipated or out of our control.</w:t>
      </w:r>
    </w:p>
    <w:p>
      <w:pPr>
        <w:spacing w:after="0" w:line="252"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In addition, the stock market has recently experienced significant volatility, particularly with respect to biotechnology and other life sciences company stocks as a result of the COVID-19 pandemic.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16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2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88" w:lineRule="exact"/>
        <w:rPr>
          <w:sz w:val="20"/>
          <w:szCs w:val="20"/>
          <w:color w:val="auto"/>
        </w:rPr>
      </w:pPr>
    </w:p>
    <w:p>
      <w:pPr>
        <w:jc w:val="both"/>
        <w:ind w:right="60" w:firstLine="589"/>
        <w:spacing w:after="0" w:line="259"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87"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2" w:lineRule="exact"/>
        <w:rPr>
          <w:sz w:val="20"/>
          <w:szCs w:val="20"/>
          <w:color w:val="auto"/>
        </w:rPr>
      </w:pPr>
    </w:p>
    <w:p>
      <w:pPr>
        <w:ind w:left="1160" w:right="240" w:hanging="572"/>
        <w:spacing w:after="0" w:line="263" w:lineRule="auto"/>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enroll subjects in clinical trials and the timing of enrollment;</w:t>
      </w:r>
    </w:p>
    <w:p>
      <w:pPr>
        <w:spacing w:after="0" w:line="144" w:lineRule="exact"/>
        <w:rPr>
          <w:rFonts w:ascii="Arial" w:cs="Arial" w:eastAsia="Arial" w:hAnsi="Arial"/>
          <w:sz w:val="18"/>
          <w:szCs w:val="18"/>
          <w:color w:val="auto"/>
        </w:rPr>
      </w:pPr>
    </w:p>
    <w:p>
      <w:pPr>
        <w:ind w:left="1160" w:hanging="572"/>
        <w:spacing w:after="0" w:line="263" w:lineRule="auto"/>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92" w:name="page93"/>
    <w:bookmarkEnd w:id="92"/>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timing and outcomes of clinical trials for evorpacept, and any of our other product candidates, or competing product candidates;</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44"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evorpacept and any of our other product candidates, and changes in the competitive landscape of our industry, including consolidation among our competitors or partners;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delays in regulatory review or approval of evorpacept or any of our other product candidates;</w:t>
      </w:r>
    </w:p>
    <w:p>
      <w:pPr>
        <w:spacing w:after="0" w:line="144"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level of demand for evorpacept and any of our other product candidates, if approved, which may fluctuate significantly and be difficult to predict;</w:t>
      </w:r>
    </w:p>
    <w:p>
      <w:pPr>
        <w:spacing w:after="0" w:line="62" w:lineRule="exact"/>
        <w:rPr>
          <w:rFonts w:ascii="Arial" w:cs="Arial" w:eastAsia="Arial" w:hAnsi="Arial"/>
          <w:sz w:val="18"/>
          <w:szCs w:val="18"/>
          <w:color w:val="auto"/>
        </w:rPr>
      </w:pPr>
    </w:p>
    <w:p>
      <w:pPr>
        <w:ind w:left="1160" w:right="380" w:hanging="572"/>
        <w:spacing w:after="0" w:line="277" w:lineRule="auto"/>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evorpacept and any of our other product candidates;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commercialize evorpacept and any of our other product candidates, if approved, inside and outside of the United States, either independently or working with third parties;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COVID-19 pandemic;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252" w:lineRule="exact"/>
        <w:rPr>
          <w:sz w:val="20"/>
          <w:szCs w:val="20"/>
          <w:color w:val="auto"/>
        </w:rPr>
      </w:pPr>
    </w:p>
    <w:p>
      <w:pPr>
        <w:ind w:right="140" w:firstLine="589"/>
        <w:spacing w:after="0" w:line="29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jc w:val="both"/>
        <w:ind w:right="480" w:firstLine="589"/>
        <w:spacing w:after="0" w:line="286"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As of December 31, 2021, we had 40,587,067 shares of our common stock outstanding. If our stockholders sell, or the market perceives that our stockholders intend to sell, substantial amount of our common stock in the public market, the market price of our common stock could decline significantly.</w:t>
      </w:r>
    </w:p>
    <w:p>
      <w:pPr>
        <w:spacing w:after="0" w:line="165"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184"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On July 17, 2020, we filed a registration statement on Form S-8 to register 3,563,962 shares of our common stock reserved for future issuance under our equity compensation plans. In addition, on March 18, 2021, we filed a registration statement on Form S-8 to register 1,992,226 shares of our common stock reserved for future issuance under our equity compensation plans. As a result, shares registered under these registration statements on Form S-8 will be available for sale in the public market subject to the satisfaction of applicable vesting arrangements and the exercise of such options and, in the case of our affiliates, the restrictions of Rule 144.</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93" w:name="page94"/>
    <w:bookmarkEnd w:id="93"/>
    <w:p>
      <w:pPr>
        <w:jc w:val="both"/>
        <w:ind w:right="220" w:firstLine="589"/>
        <w:spacing w:after="0" w:line="311" w:lineRule="auto"/>
        <w:rPr>
          <w:sz w:val="20"/>
          <w:szCs w:val="20"/>
          <w:color w:val="auto"/>
        </w:rPr>
      </w:pPr>
      <w:r>
        <w:rPr>
          <w:rFonts w:ascii="Arial" w:cs="Arial" w:eastAsia="Arial" w:hAnsi="Arial"/>
          <w:sz w:val="16"/>
          <w:szCs w:val="16"/>
          <w:color w:val="auto"/>
        </w:rPr>
        <w:t>On August 13, 2021, we filed a shelf registration statement on Form S-3 with the SEC that automatically became effective and on December 17, 2021, we filed a prospectus supplement to the shelf registration statement that permits us to use our at-the-market facility for sales of up to $150 million worth of shares of common stock from time to time. To date, we have not yet sold any shares of common stock under this at-the-market facility.</w:t>
      </w:r>
    </w:p>
    <w:p>
      <w:pPr>
        <w:spacing w:after="0" w:line="149" w:lineRule="exact"/>
        <w:rPr>
          <w:sz w:val="20"/>
          <w:szCs w:val="20"/>
          <w:color w:val="auto"/>
        </w:rPr>
      </w:pPr>
    </w:p>
    <w:p>
      <w:pPr>
        <w:ind w:right="100" w:firstLine="589"/>
        <w:spacing w:after="0" w:line="301" w:lineRule="auto"/>
        <w:rPr>
          <w:sz w:val="20"/>
          <w:szCs w:val="20"/>
          <w:color w:val="auto"/>
        </w:rPr>
      </w:pPr>
      <w:r>
        <w:rPr>
          <w:rFonts w:ascii="Arial" w:cs="Arial" w:eastAsia="Arial" w:hAnsi="Arial"/>
          <w:sz w:val="16"/>
          <w:szCs w:val="16"/>
          <w:color w:val="auto"/>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and will continue to incur significant increased costs and management resources as a result of operating as a public company.</w:t>
      </w:r>
    </w:p>
    <w:p>
      <w:pPr>
        <w:spacing w:after="0" w:line="140"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We have incurred and will continue to incur significant legal, accounting, compliance and other expenses as a public company and these expenses may increase even more given that we are no longer an “emerging growth company”. Our management and other personnel need to devote a substantial amount of time and incur significant expense in connection with compliance initiatives. For example, as a public company, we must adopt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161"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In addition, during the first quarter of 2021, we implemented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17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initial public offering, we increased our directors’ and officers’ insurance coverage, which substantially increased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4" w:name="page95"/>
    <w:bookmarkEnd w:id="94"/>
    <w:p>
      <w:pPr>
        <w:ind w:right="440"/>
        <w:spacing w:after="0" w:line="277" w:lineRule="auto"/>
        <w:rPr>
          <w:sz w:val="20"/>
          <w:szCs w:val="20"/>
          <w:color w:val="auto"/>
        </w:rPr>
      </w:pPr>
      <w:r>
        <w:rPr>
          <w:rFonts w:ascii="Arial" w:cs="Arial" w:eastAsia="Arial" w:hAnsi="Arial"/>
          <w:sz w:val="18"/>
          <w:szCs w:val="18"/>
          <w:b w:val="1"/>
          <w:bCs w:val="1"/>
          <w:i w:val="1"/>
          <w:iCs w:val="1"/>
          <w:color w:val="auto"/>
        </w:rPr>
        <w:t>Effective as of December 31, 2021, we became a large accelerated filer and were no longer an emerging growth company. We are not able to take advantage of the reduced disclosure requirements applicable to emerging growth companies.</w:t>
      </w:r>
    </w:p>
    <w:p>
      <w:pPr>
        <w:spacing w:after="0" w:line="170" w:lineRule="exact"/>
        <w:rPr>
          <w:sz w:val="20"/>
          <w:szCs w:val="20"/>
          <w:color w:val="auto"/>
        </w:rPr>
      </w:pPr>
    </w:p>
    <w:p>
      <w:pPr>
        <w:ind w:right="160" w:firstLine="589"/>
        <w:spacing w:after="0" w:line="308" w:lineRule="auto"/>
        <w:rPr>
          <w:sz w:val="20"/>
          <w:szCs w:val="20"/>
          <w:color w:val="auto"/>
        </w:rPr>
      </w:pPr>
      <w:r>
        <w:rPr>
          <w:rFonts w:ascii="Arial" w:cs="Arial" w:eastAsia="Arial" w:hAnsi="Arial"/>
          <w:sz w:val="17"/>
          <w:szCs w:val="17"/>
          <w:color w:val="auto"/>
        </w:rPr>
        <w:t>As a result of our public float (the market value of our common shares held by non-affiliates) as of June 30, 2021, we became a large accelerated filer as of December 31, 2021 and therefore no longer qualified as an “emerging growth company,” as defined in the JOBS Act.</w:t>
      </w:r>
    </w:p>
    <w:p>
      <w:pPr>
        <w:spacing w:after="0" w:line="146" w:lineRule="exact"/>
        <w:rPr>
          <w:sz w:val="20"/>
          <w:szCs w:val="20"/>
          <w:color w:val="auto"/>
        </w:rPr>
      </w:pPr>
    </w:p>
    <w:p>
      <w:pPr>
        <w:ind w:right="400" w:firstLine="589"/>
        <w:spacing w:after="0" w:line="308" w:lineRule="auto"/>
        <w:rPr>
          <w:sz w:val="20"/>
          <w:szCs w:val="20"/>
          <w:color w:val="auto"/>
        </w:rPr>
      </w:pPr>
      <w:r>
        <w:rPr>
          <w:rFonts w:ascii="Arial" w:cs="Arial" w:eastAsia="Arial" w:hAnsi="Arial"/>
          <w:sz w:val="17"/>
          <w:szCs w:val="17"/>
          <w:color w:val="auto"/>
        </w:rPr>
        <w:t>As a large accelerated filer, we are subject to certain disclosure and compliance requirements that apply to other public companies but did not previously apply to us due to our status as an emerging growth company. These requirements include, but are not limited to:</w:t>
      </w:r>
    </w:p>
    <w:p>
      <w:pPr>
        <w:spacing w:after="0" w:line="38" w:lineRule="exact"/>
        <w:rPr>
          <w:sz w:val="20"/>
          <w:szCs w:val="20"/>
          <w:color w:val="auto"/>
        </w:rPr>
      </w:pPr>
    </w:p>
    <w:p>
      <w:pPr>
        <w:ind w:left="1020" w:right="540" w:hanging="432"/>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requirement that our independent registered public accounting firm attest to the effectiveness of our internal control over financial reporting under Section 404(b) of the Sarbanes-Oxley Act of 2002;</w:t>
      </w:r>
    </w:p>
    <w:p>
      <w:pPr>
        <w:spacing w:after="0" w:line="62" w:lineRule="exact"/>
        <w:rPr>
          <w:rFonts w:ascii="Arial" w:cs="Arial" w:eastAsia="Arial" w:hAnsi="Arial"/>
          <w:sz w:val="18"/>
          <w:szCs w:val="18"/>
          <w:color w:val="auto"/>
        </w:rPr>
      </w:pPr>
    </w:p>
    <w:p>
      <w:pPr>
        <w:ind w:left="1020" w:right="80" w:hanging="432"/>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Public Company Accounting Oversight Board regarding mandatory audit firm rotation;</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requirement that we provide full and more detailed disclosures regarding executive compensation; and</w:t>
      </w:r>
    </w:p>
    <w:p>
      <w:pPr>
        <w:spacing w:after="0" w:line="144" w:lineRule="exact"/>
        <w:rPr>
          <w:rFonts w:ascii="Arial" w:cs="Arial" w:eastAsia="Arial" w:hAnsi="Arial"/>
          <w:sz w:val="18"/>
          <w:szCs w:val="18"/>
          <w:color w:val="auto"/>
        </w:rPr>
      </w:pPr>
    </w:p>
    <w:p>
      <w:pPr>
        <w:ind w:left="1020" w:right="620" w:hanging="432"/>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requirement that we hold a non-binding advisory vote on executive compensation and obtain stockholder approval of any golden parachute payments not previously approved.</w:t>
      </w:r>
    </w:p>
    <w:p>
      <w:pPr>
        <w:spacing w:after="0" w:line="170"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We expect that compliance with the additional requirements of being a large accelerated filer will increase our legal and financial compliance costs and cause management and other personnel to divert attention from operational and other business matters to devote substantial time to public company reporting requirements.</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As of December 31, 2021 our executive officers, directors, holders of 5% or more of our capital stock and their respective affiliates beneficially owned approximately 71.6% of our outstanding voting stock.</w:t>
      </w:r>
    </w:p>
    <w:p>
      <w:pPr>
        <w:spacing w:after="0" w:line="170"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anticipate paying cash dividends and, accordingly, stockholders must rely on share appreciation for any return on their investment.</w:t>
      </w:r>
    </w:p>
    <w:p>
      <w:pPr>
        <w:spacing w:after="0" w:line="140"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substantial rights.</w:t>
      </w:r>
    </w:p>
    <w:p>
      <w:pPr>
        <w:spacing w:after="0" w:line="129"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29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38"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63" w:lineRule="exact"/>
        <w:rPr>
          <w:sz w:val="20"/>
          <w:szCs w:val="20"/>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staggered three-year terms;</w:t>
      </w:r>
    </w:p>
    <w:p>
      <w:pPr>
        <w:spacing w:after="0" w:line="144" w:lineRule="exact"/>
        <w:rPr>
          <w:rFonts w:ascii="Arial" w:cs="Arial" w:eastAsia="Arial" w:hAnsi="Arial"/>
          <w:sz w:val="18"/>
          <w:szCs w:val="18"/>
          <w:color w:val="auto"/>
        </w:rPr>
      </w:pPr>
    </w:p>
    <w:p>
      <w:pPr>
        <w:ind w:left="1160" w:right="600" w:hanging="572"/>
        <w:spacing w:after="0" w:line="277"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44" w:lineRule="exact"/>
        <w:rPr>
          <w:rFonts w:ascii="Arial" w:cs="Arial" w:eastAsia="Arial" w:hAnsi="Arial"/>
          <w:sz w:val="18"/>
          <w:szCs w:val="18"/>
          <w:color w:val="auto"/>
        </w:rPr>
      </w:pPr>
    </w:p>
    <w:p>
      <w:pPr>
        <w:ind w:left="1160" w:right="440" w:hanging="572"/>
        <w:spacing w:after="0" w:line="277"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convertible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 and</w:t>
      </w:r>
    </w:p>
    <w:p>
      <w:pPr>
        <w:spacing w:after="0" w:line="144" w:lineRule="exact"/>
        <w:rPr>
          <w:rFonts w:ascii="Arial" w:cs="Arial" w:eastAsia="Arial" w:hAnsi="Arial"/>
          <w:sz w:val="18"/>
          <w:szCs w:val="18"/>
          <w:color w:val="auto"/>
        </w:rPr>
      </w:pPr>
    </w:p>
    <w:p>
      <w:pPr>
        <w:ind w:left="1160" w:right="540" w:hanging="572"/>
        <w:spacing w:after="0" w:line="277"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170"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96" w:name="page97"/>
    <w:bookmarkEnd w:id="96"/>
    <w:p>
      <w:pPr>
        <w:ind w:right="260" w:firstLine="589"/>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68" w:lineRule="exact"/>
        <w:rPr>
          <w:sz w:val="20"/>
          <w:szCs w:val="20"/>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us;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w:t>
      </w:r>
    </w:p>
    <w:p>
      <w:pPr>
        <w:spacing w:after="0" w:line="144" w:lineRule="exact"/>
        <w:rPr>
          <w:rFonts w:ascii="Arial" w:cs="Arial" w:eastAsia="Arial" w:hAnsi="Arial"/>
          <w:sz w:val="18"/>
          <w:szCs w:val="18"/>
          <w:color w:val="auto"/>
        </w:rPr>
      </w:pPr>
    </w:p>
    <w:p>
      <w:pPr>
        <w:ind w:left="1160" w:right="720" w:hanging="572"/>
        <w:spacing w:after="0" w:line="308" w:lineRule="auto"/>
        <w:tabs>
          <w:tab w:leader="none" w:pos="11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52"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170"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170"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7" w:name="page98"/>
    <w:bookmarkEnd w:id="97"/>
    <w:p>
      <w:pPr>
        <w:ind w:right="280"/>
        <w:spacing w:after="0" w:line="286" w:lineRule="auto"/>
        <w:rPr>
          <w:sz w:val="20"/>
          <w:szCs w:val="20"/>
          <w:color w:val="auto"/>
        </w:rPr>
      </w:pPr>
      <w:r>
        <w:rPr>
          <w:rFonts w:ascii="Arial" w:cs="Arial" w:eastAsia="Arial" w:hAnsi="Arial"/>
          <w:sz w:val="17"/>
          <w:szCs w:val="17"/>
          <w:b w:val="1"/>
          <w:bCs w:val="1"/>
          <w:i w:val="1"/>
          <w:iCs w:val="1"/>
          <w:color w:val="auto"/>
        </w:rPr>
        <w:t>In the past, we have identified material weaknesses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57"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In the past, we and our independent registered public accounting firm identified two material weaknesses in our internal control over financial reporting, all of which have since been remediated. We did not identify any material weakness as of December 31, 2021.</w:t>
      </w:r>
    </w:p>
    <w:p>
      <w:pPr>
        <w:spacing w:after="0" w:line="170"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Furthermore, if in the future,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62" w:lineRule="exact"/>
        <w:rPr>
          <w:sz w:val="20"/>
          <w:szCs w:val="20"/>
          <w:color w:val="auto"/>
        </w:rPr>
      </w:pPr>
    </w:p>
    <w:p>
      <w:pPr>
        <w:ind w:right="100" w:firstLine="589"/>
        <w:spacing w:after="0" w:line="253"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w:t>
      </w:r>
    </w:p>
    <w:p>
      <w:pPr>
        <w:spacing w:after="0" w:line="196"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Any failure to maintain effective internal control over financial reporting could have a material adverse effect on our business, financial condition and results of operations and the trading price of our common stock.</w:t>
      </w:r>
    </w:p>
    <w:p>
      <w:pPr>
        <w:spacing w:after="0" w:line="170"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We will be required to disclose material changes made in our internal controls over financing reporting and procedures on a quarterly basis and our management will be required to assess the effectiveness of these controls annually. We are no longer an “emerging growth company” as of December 31, 2021 as the market value of our common stock held by non-affiliates exceeded $700.0 million as of June 30, 2021. As such, pursuant to Section 404 of the Sarbanes-Oxley Act, or Section 404, our independent registered public accounting firm is required to attest to the effectiveness of our internal control over financial reporting as of December 31, 2021.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8" w:name="page99"/>
    <w:bookmarkEnd w:id="98"/>
    <w:p>
      <w:pPr>
        <w:ind w:right="120"/>
        <w:spacing w:after="0" w:line="277" w:lineRule="auto"/>
        <w:rPr>
          <w:sz w:val="20"/>
          <w:szCs w:val="20"/>
          <w:color w:val="auto"/>
        </w:rPr>
      </w:pPr>
      <w:r>
        <w:rPr>
          <w:rFonts w:ascii="Arial" w:cs="Arial" w:eastAsia="Arial" w:hAnsi="Arial"/>
          <w:sz w:val="18"/>
          <w:szCs w:val="18"/>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62" w:lineRule="exact"/>
        <w:rPr>
          <w:sz w:val="20"/>
          <w:szCs w:val="20"/>
          <w:color w:val="auto"/>
        </w:rPr>
      </w:pPr>
    </w:p>
    <w:p>
      <w:pPr>
        <w:ind w:right="100" w:firstLine="589"/>
        <w:spacing w:after="0" w:line="253" w:lineRule="auto"/>
        <w:rPr>
          <w:sz w:val="20"/>
          <w:szCs w:val="20"/>
          <w:color w:val="auto"/>
        </w:rPr>
      </w:pPr>
      <w:r>
        <w:rPr>
          <w:rFonts w:ascii="Arial" w:cs="Arial" w:eastAsia="Arial" w:hAnsi="Arial"/>
          <w:sz w:val="18"/>
          <w:szCs w:val="18"/>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General Risks</w:t>
      </w:r>
    </w:p>
    <w:p>
      <w:pPr>
        <w:spacing w:after="0" w:line="117"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95"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64"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9" w:name="page100"/>
    <w:bookmarkEnd w:id="99"/>
    <w:p>
      <w:pPr>
        <w:spacing w:after="0"/>
        <w:rPr>
          <w:sz w:val="20"/>
          <w:szCs w:val="20"/>
          <w:color w:val="auto"/>
        </w:rPr>
      </w:pPr>
      <w:r>
        <w:rPr>
          <w:rFonts w:ascii="Arial" w:cs="Arial" w:eastAsia="Arial" w:hAnsi="Arial"/>
          <w:sz w:val="17"/>
          <w:szCs w:val="17"/>
          <w:b w:val="1"/>
          <w:bCs w:val="1"/>
          <w:i w:val="1"/>
          <w:iCs w:val="1"/>
          <w:color w:val="auto"/>
        </w:rPr>
        <w:t>We may experience disruptions and delays or incur financial damages as a result of system failures or security breaches or incidents.</w:t>
      </w:r>
    </w:p>
    <w:p>
      <w:pPr>
        <w:spacing w:after="0" w:line="129" w:lineRule="exact"/>
        <w:rPr>
          <w:sz w:val="20"/>
          <w:szCs w:val="20"/>
          <w:color w:val="auto"/>
        </w:rPr>
      </w:pPr>
    </w:p>
    <w:p>
      <w:pPr>
        <w:ind w:firstLine="589"/>
        <w:spacing w:after="0" w:line="267" w:lineRule="auto"/>
        <w:rPr>
          <w:sz w:val="20"/>
          <w:szCs w:val="20"/>
          <w:color w:val="auto"/>
        </w:rPr>
      </w:pPr>
      <w:r>
        <w:rPr>
          <w:rFonts w:ascii="Arial" w:cs="Arial" w:eastAsia="Arial" w:hAnsi="Arial"/>
          <w:sz w:val="17"/>
          <w:szCs w:val="17"/>
          <w:color w:val="auto"/>
        </w:rPr>
        <w:t>Despite our implementation of security measures, any of the internal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and other third-party service providers’ operations could result in a material disruption of our drug discovery and development programs or other aspects of our operations. A system failure or security breach or incident that causes the loss, corruption or unavailability of clinical trial data from completed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w:t>
      </w:r>
    </w:p>
    <w:p>
      <w:pPr>
        <w:spacing w:after="0" w:line="182"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Our principal executive office is located in South San Francisco, California. We currently lease 10,000 square feet of office space in South San Francisco, California, under a lease that expires in 2026. We believe that this space is sufficient to meet our needs for the foreseeable future and that any additional space we may require will be available on commercially reasonable terms.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5080" w:val="left"/>
        </w:tabs>
        <w:rPr>
          <w:sz w:val="20"/>
          <w:szCs w:val="20"/>
          <w:color w:val="auto"/>
        </w:rPr>
      </w:pPr>
      <w:r>
        <w:rPr>
          <w:rFonts w:ascii="Arial" w:cs="Arial" w:eastAsia="Arial" w:hAnsi="Arial"/>
          <w:sz w:val="18"/>
          <w:szCs w:val="18"/>
          <w:b w:val="1"/>
          <w:bCs w:val="1"/>
          <w:color w:val="auto"/>
        </w:rPr>
        <w:t>Item 5. Market for Registrant’s Common Equity, Related</w:t>
      </w:r>
      <w:r>
        <w:rPr>
          <w:sz w:val="20"/>
          <w:szCs w:val="20"/>
          <w:color w:val="auto"/>
        </w:rPr>
        <w:tab/>
      </w:r>
      <w:r>
        <w:rPr>
          <w:rFonts w:ascii="Arial" w:cs="Arial" w:eastAsia="Arial" w:hAnsi="Arial"/>
          <w:sz w:val="16"/>
          <w:szCs w:val="16"/>
          <w:b w:val="1"/>
          <w:bCs w:val="1"/>
          <w:color w:val="auto"/>
        </w:rPr>
        <w:t>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Our Common Stock</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“ALXO” since July 17, 2020. Prior to that date, there was no public trading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As of February 22, 2022, there were 63 holders of record of our common stock. Certain shares are held in "street" name and, accordingly, the number of beneficial owners of such shares is not known or included in the foregoing number.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except to the extent that we specifically incorporate this information by reference therein, whether made before or after the date hereof and irrespective of any general incorporation language in any such filing.</w:t>
      </w:r>
    </w:p>
    <w:p>
      <w:pPr>
        <w:spacing w:after="0" w:line="187" w:lineRule="exact"/>
        <w:rPr>
          <w:sz w:val="20"/>
          <w:szCs w:val="20"/>
          <w:color w:val="auto"/>
        </w:rPr>
      </w:pPr>
    </w:p>
    <w:p>
      <w:pPr>
        <w:ind w:right="40" w:firstLine="594"/>
        <w:spacing w:after="0" w:line="273" w:lineRule="auto"/>
        <w:rPr>
          <w:sz w:val="20"/>
          <w:szCs w:val="20"/>
          <w:color w:val="auto"/>
        </w:rPr>
      </w:pPr>
      <w:r>
        <w:rPr>
          <w:rFonts w:ascii="Arial" w:cs="Arial" w:eastAsia="Arial" w:hAnsi="Arial"/>
          <w:sz w:val="17"/>
          <w:szCs w:val="17"/>
          <w:color w:val="auto"/>
        </w:rPr>
        <w:t>The following graph compares the cumulative total return to stockholder on our common stock relative to the cumulative total returns of the Nasdaq Composite Index and the Nasdaq Biotechnology Index. An investment of $100 is assumed to have been made in our common stock and each index on July 17, 2020 (the first day of trading of our common stock with a closing price on that date of $30.00) and its relative performance is tracked through December 31, 2021. Pursuant to applicable SEC rules, all values assume reinvestment of the full amount of all dividends; however, no dividends have been declared on our common stock to date. The stockholder returns shown on the graph below are based on historical results and are not indicative of future performance, and we do not make or endorse any predictions as to future stockholder returns.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363220</wp:posOffset>
            </wp:positionV>
            <wp:extent cx="5349240" cy="28543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offer and sale of the shares in the initial public offering was registered under the Securities Act pursuant to registration statements on Form S-1 (File No. 333- 239490), which was filed with the SEC on June 26, 2020 and amended subsequently and declared effective on July 16, 2020, and Form S-1MEF, which was filed with the SEC on July 16, 2020 and became effective on July 16, 2020. The underwriters of the offering were Jefferies LLC, Credit Suisse Securities (USA) LLC, Piper Sandler &amp; Co. and Cantor Fitzgerald &amp; Co.</w:t>
      </w:r>
    </w:p>
    <w:p>
      <w:pPr>
        <w:spacing w:after="0" w:line="18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We invested the funds received in accordance with our investment policy. None of such payments were direct or indirect payments to any of our directors or officers (or their associates), to persons owning ten percent or more of our common stock or to any other affiliates. There has been no material change in the planned use of proceeds from our initial public offering as described in our final prospectus filed with the SEC on July 17, 2020 pursuant to Rule 424(b)(4).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together with our consolidated financial statements and related notes included elsewhere in this Annual Report on Form 10-K. This discussion and analysis generally addresses 2021 and 2020 items and year-over-year comparisons between 2021 and 2020. Discussions of 2019 items and year-over-year comparisons between 2020 and 2019 that are not included in this Annual Report on Form 10-K can be found in “Item 7. Management’s Discussion and Analysis of Financial Condition and Results of Operations” in our Annual Report on Form 10-K for the fiscal year ended December 31, 2020, filed with the SEC on March 18, 2021.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Annual Report on Form 10-K.</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89"/>
        <w:spacing w:after="0" w:line="267"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a pipeline of product candidates based on expertise in protein engineering and oncology led by the CD47 blocker, evorpacept (evorpacept is the recommended United States Adopted Name (USAN); this product is also known as ALX148), currently in phase 1 and 2 clinical trials.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evorpacept will have a wide therapeutic window to block the “don’t eat me” signal on cancer cells, and will leverage the immune activation of broadly used anti-cancer agents through combination strategies. As of December 31, 2021, we had dosed over 185 subjects with evorpacept across a range of hematologic and solid malignancies in combination with a number of leading anti-cancer agents. We plan to initiate additional studies in combination with leading anti-cancer agents. In solid tumors, we have initiated two randomized Phase 2 trials of evorpacept for the treatment of first-line advanced head and neck squamous cell carcinoma, or HNSCC, and enrolled the first subject in the first trial in May 2021 and enrolled the first subject in the second trial in July 2021. Our collaborator, Zymeworks, also initiated a Phase 1 trial for the treatment of advanced HER2-expressing breast cancer and enrolled the first subject in October 2021. We intend to initiate a randomized Phase 2 trial of evorpacept for the treatment of second line advanced HER2-overexpressing gastric/gastroesophageal junction, or GEJ, cancer in the first quarter of 2022. In hematologic malignancies, we have dosed 13 subjects with myelodysplastic syndromes, or MDS, and also advanced evorpacept into clinical development for the treatment of acute myeloid leukemia, or AML, enrolling the first patient in a Phase 1 trial in October 2021. Based on our early clinical results to date in multiple oncology indications showing encouraging anti-tumor activity and tolerability and our clinical development plans, our strategy is to pursue evorpacept as a potentially critical component of future oncology combination treatments. Our second program, which is a collaboration between ALX Oncology (ALX) and Tallac Therapeutics (Tallac), combines our company’s SIRPα antibodies with Tallac’s toll-like receptor 9 agonist antibody conjugate to deliver ALTA-002, a potent immune activator to myeloid cells in the tumor to promote innate and adaptive anti-cancer immune responses. This novel Toll-like receptor agonist antibody conjugation platform (TRAAC) enables systemic delivery of targeted TLR9 activation. An IND for ALTA-002 is planned for 2023. Additionally, with our recent acquisition of ScalmiBio, Inc, we seek to expand our pipeline of drug candidates to antibody drug conjugates based on expertise in protein engineering and oncology.</w:t>
      </w:r>
    </w:p>
    <w:p>
      <w:pPr>
        <w:spacing w:after="0" w:line="184" w:lineRule="exact"/>
        <w:rPr>
          <w:sz w:val="20"/>
          <w:szCs w:val="20"/>
          <w:color w:val="auto"/>
        </w:rPr>
      </w:pPr>
    </w:p>
    <w:p>
      <w:pPr>
        <w:ind w:right="120" w:firstLine="589"/>
        <w:spacing w:after="0" w:line="291" w:lineRule="auto"/>
        <w:rPr>
          <w:sz w:val="20"/>
          <w:szCs w:val="20"/>
          <w:color w:val="auto"/>
        </w:rPr>
      </w:pPr>
      <w:r>
        <w:rPr>
          <w:rFonts w:ascii="Arial" w:cs="Arial" w:eastAsia="Arial" w:hAnsi="Arial"/>
          <w:sz w:val="16"/>
          <w:szCs w:val="16"/>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an internal reorganization effective as of the same date whereby ALX Oncology Limited became our wholly-owned subsidiary and all of the stockholders, warrant holders and option holders of ALX Oncology Limited became our stockholders, warrant holders and option holders, holding the same number of corresponding shares, warrants and/or options in us as they did in ALX Oncology Limited immediately prior to the internal reorganization. The information included herein are presented as that of ALX Oncology Holdings Inc., unless such information refers to a date prior to April 1, 2020, in which case it will reflect that of our predecessor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4" w:name="page105"/>
    <w:bookmarkEnd w:id="104"/>
    <w:p>
      <w:pPr>
        <w:jc w:val="both"/>
        <w:ind w:right="80" w:firstLine="589"/>
        <w:spacing w:after="0" w:line="263" w:lineRule="auto"/>
        <w:rPr>
          <w:sz w:val="20"/>
          <w:szCs w:val="20"/>
          <w:color w:val="auto"/>
        </w:rPr>
      </w:pPr>
      <w:r>
        <w:rPr>
          <w:rFonts w:ascii="Arial" w:cs="Arial" w:eastAsia="Arial" w:hAnsi="Arial"/>
          <w:sz w:val="18"/>
          <w:szCs w:val="18"/>
          <w:color w:val="auto"/>
        </w:rPr>
        <w:t>Since our founding, we have devoted substantially all of our resources to identifying and developing evorpacept, advancing preclinical programs, scaling up manufacturing, conducting clinical trials and providing general and administrative support for these operations. We have no products approved for marketing and we have never received any revenue from drug product sales.</w:t>
      </w:r>
    </w:p>
    <w:p>
      <w:pPr>
        <w:spacing w:after="0" w:line="184"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In July 2020, we consummated our initial public offering, raising net proceeds of $169.5 million, after deducting underwriting discounts and commissions of $13.0 million and offering-related expenses of $3.2 million. In December 2020, we consummated a follow-on public offering, raising net proceeds of $194.9 million, after deducting underwriting discounts and commissions of $12.5 million and offering-related expenses of $0.7 million. From inception through December 31, 2021, we have raised an aggregate of $545.3 million to fund our operations, of which $175.1 million were net proceeds from sales of our convertible preferred stock, $5.8 million were net proceeds from borrowings under a term loan, $169.5 million were net proceeds from our initial public offering and $194.9 million were net proceeds from our follow-on public offering.</w:t>
      </w:r>
    </w:p>
    <w:p>
      <w:pPr>
        <w:spacing w:after="0" w:line="17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December 2021, we entered into a sales agreement with Cantor Fitzgerald &amp; Co. and Credit Suisse Securities (USA) LLC, under which we may offer and sell our common stock, having aggregate gross proceeds of up to $150.0 million, from time to time through them as our sales agent in our At the Market, or ATM Offering Program.</w:t>
      </w:r>
    </w:p>
    <w:p>
      <w:pPr>
        <w:spacing w:after="0" w:line="184"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We have incurred net losses in each year since inception. Our net losses were $83.5 million, $45.7 million and $19.2 million for the years ended December 31, 2021, 2020 and 2019, respectively. As of December 31, 2021, we had an accumulated deficit of $202.0 million. Substantially all of our operating losses are a result of expenses incurred in connection with our research and development programs, primarily evorpacept, and from general and administrative expenses associated with our operations.</w:t>
      </w:r>
    </w:p>
    <w:p>
      <w:pPr>
        <w:spacing w:after="0" w:line="187"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over at least the foreseeable future. We expect our expenses will increase substantially in connection with our ongoing activities, as we:</w:t>
      </w:r>
    </w:p>
    <w:p>
      <w:pPr>
        <w:spacing w:after="0" w:line="62" w:lineRule="exact"/>
        <w:rPr>
          <w:sz w:val="20"/>
          <w:szCs w:val="20"/>
          <w:color w:val="auto"/>
        </w:rPr>
      </w:pPr>
    </w:p>
    <w:p>
      <w:pPr>
        <w:ind w:left="1180" w:hanging="578"/>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advance evorpacept through multiple clinical trials in multiple indications;</w:t>
      </w:r>
    </w:p>
    <w:p>
      <w:pPr>
        <w:spacing w:after="0" w:line="117" w:lineRule="exact"/>
        <w:rPr>
          <w:rFonts w:ascii="Arial" w:cs="Arial" w:eastAsia="Arial" w:hAnsi="Arial"/>
          <w:sz w:val="18"/>
          <w:szCs w:val="18"/>
          <w:color w:val="auto"/>
        </w:rPr>
      </w:pPr>
    </w:p>
    <w:p>
      <w:pPr>
        <w:ind w:left="1180" w:hanging="578"/>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pursue regulatory approval of evorpacept in hematological malignancies and solid tumors;</w:t>
      </w:r>
    </w:p>
    <w:p>
      <w:pPr>
        <w:spacing w:after="0" w:line="117" w:lineRule="exact"/>
        <w:rPr>
          <w:rFonts w:ascii="Arial" w:cs="Arial" w:eastAsia="Arial" w:hAnsi="Arial"/>
          <w:sz w:val="18"/>
          <w:szCs w:val="18"/>
          <w:color w:val="auto"/>
        </w:rPr>
      </w:pPr>
    </w:p>
    <w:p>
      <w:pPr>
        <w:ind w:left="1180" w:right="620" w:hanging="578"/>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 our discovery and preclinical and clinical development efforts, including our collaborations with Tallac Therapeutics and Zymeworks and our recent acquisition of ScalmiBio;</w:t>
      </w:r>
    </w:p>
    <w:p>
      <w:pPr>
        <w:spacing w:after="0" w:line="62" w:lineRule="exact"/>
        <w:rPr>
          <w:rFonts w:ascii="Arial" w:cs="Arial" w:eastAsia="Arial" w:hAnsi="Arial"/>
          <w:sz w:val="18"/>
          <w:szCs w:val="18"/>
          <w:color w:val="auto"/>
        </w:rPr>
      </w:pPr>
    </w:p>
    <w:p>
      <w:pPr>
        <w:ind w:left="1180" w:hanging="578"/>
        <w:spacing w:after="0"/>
        <w:tabs>
          <w:tab w:leader="none" w:pos="1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obtain and maintain patent, trade secret and other intellectual property protection and regulatory exclusivity for our product candidates;</w:t>
      </w:r>
    </w:p>
    <w:p>
      <w:pPr>
        <w:spacing w:after="0" w:line="140" w:lineRule="exact"/>
        <w:rPr>
          <w:rFonts w:ascii="Arial" w:cs="Arial" w:eastAsia="Arial" w:hAnsi="Arial"/>
          <w:sz w:val="16"/>
          <w:szCs w:val="16"/>
          <w:color w:val="auto"/>
        </w:rPr>
      </w:pPr>
    </w:p>
    <w:p>
      <w:pPr>
        <w:ind w:left="1180" w:hanging="578"/>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manufacture supplies for our preclinical studies and clinical trials; and</w:t>
      </w:r>
    </w:p>
    <w:p>
      <w:pPr>
        <w:spacing w:after="0" w:line="117" w:lineRule="exact"/>
        <w:rPr>
          <w:rFonts w:ascii="Arial" w:cs="Arial" w:eastAsia="Arial" w:hAnsi="Arial"/>
          <w:sz w:val="18"/>
          <w:szCs w:val="18"/>
          <w:color w:val="auto"/>
        </w:rPr>
      </w:pPr>
    </w:p>
    <w:p>
      <w:pPr>
        <w:ind w:left="1180" w:hanging="578"/>
        <w:spacing w:after="0"/>
        <w:tabs>
          <w:tab w:leader="none" w:pos="11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continue to add operational, financial and management information systems to support ongoing operations as a public company.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Revenue</w:t>
      </w:r>
    </w:p>
    <w:p>
      <w:pPr>
        <w:spacing w:after="0" w:line="117"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To date, we have not generated any revenue from product sales, licenses or collaborations and do not expect to generate any revenue from the sale of products in the foreseeable future. We recognized related-party revenue related to research and development services to Tallac Therapeutics, which ceased as of July 1, 2020. If our clinical development efforts for our product candidates are successful and result in regulatory approval, we may generate revenue from future product sales. If we enter into license or collaboration agreements for any of our product candidates or intellectual property, we may generate revenue in the future from payments as a result of such license or collaboration agreements. We cannot predict if, when, or to what extent we will generate revenue from the commercialization and sale of our product candidates including evorpacept. We may never succeed in obtaining regulatory approval for any of our product candidates.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Research and development expenses consist primarily of costs incurred for the development of our lead product candidate, evorpacept, which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103" w:lineRule="exact"/>
        <w:rPr>
          <w:sz w:val="20"/>
          <w:szCs w:val="20"/>
          <w:color w:val="auto"/>
        </w:rPr>
      </w:pPr>
    </w:p>
    <w:p>
      <w:pPr>
        <w:ind w:left="1180" w:hanging="578"/>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expenses incurred in connection with the preclinical and clinical development, including expenses incurred under agreements with contract research organizations, or CROs;</w:t>
      </w:r>
    </w:p>
    <w:p>
      <w:pPr>
        <w:spacing w:after="0" w:line="62" w:lineRule="exact"/>
        <w:rPr>
          <w:rFonts w:ascii="Arial" w:cs="Arial" w:eastAsia="Arial" w:hAnsi="Arial"/>
          <w:sz w:val="18"/>
          <w:szCs w:val="18"/>
          <w:color w:val="auto"/>
        </w:rPr>
      </w:pPr>
    </w:p>
    <w:p>
      <w:pPr>
        <w:ind w:left="1180" w:right="860" w:hanging="578"/>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expenses incurred in connection with the preclinical and clinical development, including expenses incurred under collaboration agreements;</w:t>
      </w:r>
    </w:p>
    <w:p>
      <w:pPr>
        <w:spacing w:after="0" w:line="62" w:lineRule="exact"/>
        <w:rPr>
          <w:rFonts w:ascii="Arial" w:cs="Arial" w:eastAsia="Arial" w:hAnsi="Arial"/>
          <w:sz w:val="18"/>
          <w:szCs w:val="18"/>
          <w:color w:val="auto"/>
        </w:rPr>
      </w:pPr>
    </w:p>
    <w:p>
      <w:pPr>
        <w:ind w:left="1180" w:right="260" w:hanging="578"/>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1180" w:hanging="578"/>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expenses related to production of clinical materials, including fees paid to contract manufacturing organizations, or CMOs;</w:t>
      </w:r>
    </w:p>
    <w:p>
      <w:pPr>
        <w:spacing w:after="0" w:line="117" w:lineRule="exact"/>
        <w:rPr>
          <w:rFonts w:ascii="Arial" w:cs="Arial" w:eastAsia="Arial" w:hAnsi="Arial"/>
          <w:sz w:val="18"/>
          <w:szCs w:val="18"/>
          <w:color w:val="auto"/>
        </w:rPr>
      </w:pPr>
    </w:p>
    <w:p>
      <w:pPr>
        <w:ind w:left="1180" w:hanging="578"/>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laboratory, vendor expenses and third-party drugs related to the execution of preclinical studies and clinical trials;</w:t>
      </w:r>
    </w:p>
    <w:p>
      <w:pPr>
        <w:spacing w:after="0" w:line="117" w:lineRule="exact"/>
        <w:rPr>
          <w:rFonts w:ascii="Arial" w:cs="Arial" w:eastAsia="Arial" w:hAnsi="Arial"/>
          <w:sz w:val="18"/>
          <w:szCs w:val="18"/>
          <w:color w:val="auto"/>
        </w:rPr>
      </w:pPr>
    </w:p>
    <w:p>
      <w:pPr>
        <w:ind w:left="1180" w:right="320" w:hanging="578"/>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facilities and other expenses, which include expenses for rent and maintenance of facilities, depreciation and amortization expense and other supplies; and</w:t>
      </w:r>
    </w:p>
    <w:p>
      <w:pPr>
        <w:spacing w:after="0" w:line="62" w:lineRule="exact"/>
        <w:rPr>
          <w:rFonts w:ascii="Arial" w:cs="Arial" w:eastAsia="Arial" w:hAnsi="Arial"/>
          <w:sz w:val="18"/>
          <w:szCs w:val="18"/>
          <w:color w:val="auto"/>
        </w:rPr>
      </w:pPr>
    </w:p>
    <w:p>
      <w:pPr>
        <w:ind w:left="1180" w:hanging="578"/>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acquired in-process research and development (IPR&amp;D) related to our ScalmiBio acquisition.</w:t>
      </w:r>
    </w:p>
    <w:p>
      <w:pPr>
        <w:spacing w:after="0" w:line="225"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and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161"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w:t>
      </w:r>
    </w:p>
    <w:p>
      <w:pPr>
        <w:spacing w:after="0" w:line="184" w:lineRule="exact"/>
        <w:rPr>
          <w:sz w:val="20"/>
          <w:szCs w:val="20"/>
          <w:color w:val="auto"/>
        </w:rPr>
      </w:pPr>
    </w:p>
    <w:p>
      <w:pPr>
        <w:ind w:right="120" w:firstLine="589"/>
        <w:spacing w:after="0" w:line="270" w:lineRule="auto"/>
        <w:rPr>
          <w:sz w:val="20"/>
          <w:szCs w:val="20"/>
          <w:color w:val="auto"/>
        </w:rPr>
      </w:pPr>
      <w:r>
        <w:rPr>
          <w:rFonts w:ascii="Arial" w:cs="Arial" w:eastAsia="Arial" w:hAnsi="Arial"/>
          <w:sz w:val="17"/>
          <w:szCs w:val="17"/>
          <w:color w:val="auto"/>
        </w:rPr>
        <w:t>Almost all of our research and development expenses to date related to the clinical development of our lead product candidate, evorpacept. We expect our research and development expenses to increase substantially for the foreseeable future as we continue to invest in research and development activities related to progress on our existing product candidates and developing new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conducted internally and through the contract with Tallac Therapeutics, as further described in Note 11 to our consolidated financial statements appearing elsewhere in this Annual Report on Form 10-K.</w:t>
      </w:r>
    </w:p>
    <w:p>
      <w:pPr>
        <w:spacing w:after="0" w:line="181"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 successful development of our current and future product candidates is highly uncertain. This is due to the numerous risks and uncertainties, including the following:</w:t>
      </w:r>
    </w:p>
    <w:p>
      <w:pPr>
        <w:spacing w:after="0" w:line="62" w:lineRule="exact"/>
        <w:rPr>
          <w:sz w:val="20"/>
          <w:szCs w:val="20"/>
          <w:color w:val="auto"/>
        </w:rPr>
      </w:pPr>
    </w:p>
    <w:p>
      <w:pPr>
        <w:ind w:left="1160" w:hanging="572"/>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17" w:lineRule="exact"/>
        <w:rPr>
          <w:rFonts w:ascii="Arial" w:cs="Arial" w:eastAsia="Arial" w:hAnsi="Arial"/>
          <w:sz w:val="18"/>
          <w:szCs w:val="18"/>
          <w:color w:val="auto"/>
        </w:rPr>
      </w:pPr>
    </w:p>
    <w:p>
      <w:pPr>
        <w:ind w:left="1160" w:right="320" w:hanging="572"/>
        <w:spacing w:after="0" w:line="277" w:lineRule="auto"/>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delays in regulators or institutional review boards authorizing us or our investigators to commence our clinical trials or in our ability to negotiate agreements with clinical trial sites or CROs;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and location of clinical sites included in the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our product candidates;</w:t>
      </w:r>
    </w:p>
    <w:p>
      <w:pPr>
        <w:spacing w:after="0" w:line="117" w:lineRule="exact"/>
        <w:rPr>
          <w:rFonts w:ascii="Arial" w:cs="Arial" w:eastAsia="Arial" w:hAnsi="Arial"/>
          <w:sz w:val="18"/>
          <w:szCs w:val="18"/>
          <w:color w:val="auto"/>
        </w:rPr>
      </w:pPr>
    </w:p>
    <w:p>
      <w:pPr>
        <w:ind w:left="1160" w:right="700" w:hanging="572"/>
        <w:spacing w:after="0" w:line="277" w:lineRule="auto"/>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obtaining and maintaining patent, trade secret and other intellectual property protection and regulatory exclusivity for our product candidates;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06" w:name="page107"/>
    <w:bookmarkEnd w:id="106"/>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contracting with third-party manufacturers for clinical supplies of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including, if necessary, litigation;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225"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184"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Research and development activities are essential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 Facilities costs consist of rent and maintenance of facilities.</w:t>
      </w:r>
    </w:p>
    <w:p>
      <w:pPr>
        <w:spacing w:after="0" w:line="187"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We anticipate that our general and administrative expenses will continue to increase as a result of increased headcount, expanded infrastructure and higher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for Related-Party Revenue</w:t>
      </w:r>
    </w:p>
    <w:p>
      <w:pPr>
        <w:spacing w:after="0" w:line="117" w:lineRule="exact"/>
        <w:rPr>
          <w:sz w:val="20"/>
          <w:szCs w:val="20"/>
          <w:color w:val="auto"/>
        </w:rPr>
      </w:pPr>
    </w:p>
    <w:p>
      <w:pPr>
        <w:ind w:right="480" w:firstLine="589"/>
        <w:spacing w:after="0" w:line="311" w:lineRule="auto"/>
        <w:rPr>
          <w:sz w:val="20"/>
          <w:szCs w:val="20"/>
          <w:color w:val="auto"/>
        </w:rPr>
      </w:pPr>
      <w:r>
        <w:rPr>
          <w:rFonts w:ascii="Arial" w:cs="Arial" w:eastAsia="Arial" w:hAnsi="Arial"/>
          <w:sz w:val="16"/>
          <w:szCs w:val="16"/>
          <w:color w:val="auto"/>
        </w:rPr>
        <w:t>We incurred costs associated with related-party contract research services including direct labor and associated employee benefits, laboratory supplies and other expenses with Tallac Therapeutics, which ceased as of July 1, 2020. These costs are recorded in cost of services for related-party transactions as a component of total operating expenses in the accompanying consolidated statements of operations and comprehensive loss.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Our interest expense consisted primarily of interest expense on the term loan, amortization of deferred debt issuance costs, and interest related to finance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Our other expense, net, consists of interest income on cash balances, changes in the fair value of our convertible preferred stock warrant liability and compound derivative liability, gain on assignment of lease, and foreign currency re-measurement and transaction gains and losses. Prior to our initial public offering, the underlying shares of our Series B convertible preferred stock warrants were contingently redeemable, and we accounted for these warrants as a liability at fair value and re-measured the fair value at each balance sheet date. As a result of the completion of our initial public offering, the Series B convertible preferred stock warrant liability was reclassified to stockholders’ equity and re-measurement was no longer required. The compound derivative liability was extinguished upon the extinguishment of the host instrument in December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Debt Extinguishment</w:t>
      </w:r>
    </w:p>
    <w:p>
      <w:pPr>
        <w:spacing w:after="0" w:line="11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In December 2020, we used approximately $6.5 million of the net proceeds from our follow-on public offering to repay the outstanding principal amount of $6.0 million and early extinguish the outstanding Term Loan with SVB and WestRiver. As a result of the early repayment, we recognized a $0.6 million loss on early debt extinguishment, representing the difference between the reacquisition price of debt and the net carrying amount of the loan as of the date of the payoff.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Results of Operations and Net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Years Ended December 31, 2021 and 2020</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2020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4"/>
                <w:szCs w:val="14"/>
                <w:color w:val="auto"/>
              </w:rPr>
            </w:pPr>
          </w:p>
        </w:tc>
        <w:tc>
          <w:tcPr>
            <w:tcW w:w="1460" w:type="dxa"/>
            <w:vAlign w:val="bottom"/>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55"/>
        </w:trPr>
        <w:tc>
          <w:tcPr>
            <w:tcW w:w="396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FF0FC"/>
            </w:tcBorders>
          </w:tcPr>
          <w:p>
            <w:pPr>
              <w:spacing w:after="0"/>
              <w:rPr>
                <w:sz w:val="13"/>
                <w:szCs w:val="13"/>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14,809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8,576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related-party</w:t>
            </w: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30"/>
        </w:trPr>
        <w:tc>
          <w:tcPr>
            <w:tcW w:w="3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revenue</w:t>
            </w: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(1,075)</w:t>
            </w:r>
          </w:p>
        </w:tc>
        <w:tc>
          <w:tcPr>
            <w:tcW w:w="3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3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3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83,555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44,845</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38,710</w:t>
            </w:r>
          </w:p>
        </w:tc>
        <w:tc>
          <w:tcPr>
            <w:tcW w:w="2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(43,663)</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(39,892)</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(404)</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 %</w:t>
            </w: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Loss on early debt extinguishment</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(621)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(83,484)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(45,499)</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(37,985)</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(109) %</w:t>
            </w: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(83,463)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(45,740)</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(37,723)</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Cumulative dividends allocated to</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preferred stockholders</w:t>
            </w: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(5,202)</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09"/>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w:t>
            </w:r>
          </w:p>
        </w:tc>
        <w:tc>
          <w:tcPr>
            <w:tcW w:w="1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r>
      <w:tr>
        <w:trPr>
          <w:trHeight w:val="230"/>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16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(83,463)</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(50,942)</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(32,521)</w:t>
            </w: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Revenue</w:t>
      </w:r>
    </w:p>
    <w:p>
      <w:pPr>
        <w:spacing w:after="0" w:line="117"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Related-party revenue for the years ended December 31, 2021 and 2020 was zero and $1.2 million, respectively, which was generated solely from payments received for reimbursement of research and development expenses pursuant to the Research and Development Services Agreement with Tallac Therapeutics, or the Tollnine Agreement, as further described in Note 11 to our consolidated financial statements appearing elsewhere in this Annual Report on Form 10-K. The decrease of $1.2 million from 2020 to 2021 related to decreased fee-for-service hours provided to Tallac Therapeutics as a result of winding down the Tollnine Agreement, which was terminated on July 1, 2020.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The following table summarizes our research and development expenses incurred for the years ended December 31, 2021 and 2020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14"/>
                <w:szCs w:val="14"/>
                <w:color w:val="auto"/>
              </w:rPr>
            </w:pPr>
          </w:p>
        </w:tc>
        <w:tc>
          <w:tcPr>
            <w:tcW w:w="1120" w:type="dxa"/>
            <w:vAlign w:val="bottom"/>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55"/>
        </w:trPr>
        <w:tc>
          <w:tcPr>
            <w:tcW w:w="52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Clinical and development costs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41,033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21,743</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19,290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Personnel and related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8,471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4,504</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3,967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research and development costs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60,170</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28,961</w:t>
            </w:r>
          </w:p>
        </w:tc>
        <w:tc>
          <w:tcPr>
            <w:tcW w:w="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31,209</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Research and development expenses for the year ended December 31, 2021 were $60.2 million, compared to $29.0 million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The increase of $31.2 million was primarily attributable to (i) an increase of $19.3 million in clinical and development costs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$14.7 million higher clinical costs mainly associated with a higher number of active clinical trials and increased patient enrollment and other research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advancement of our current lead product candidate, evorpacept, $2.8 million related to collaborations, of which $2.1 million was related to the Tallac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Collaboration, and $1.7 million related to regulatory expenses and other research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8" w:name="page109"/>
    <w:bookmarkEnd w:id="108"/>
    <w:p>
      <w:pPr>
        <w:ind w:right="20"/>
        <w:spacing w:after="0" w:line="254" w:lineRule="auto"/>
        <w:rPr>
          <w:sz w:val="20"/>
          <w:szCs w:val="20"/>
          <w:color w:val="auto"/>
        </w:rPr>
      </w:pPr>
      <w:r>
        <w:rPr>
          <w:rFonts w:ascii="Arial" w:cs="Arial" w:eastAsia="Arial" w:hAnsi="Arial"/>
          <w:sz w:val="18"/>
          <w:szCs w:val="18"/>
          <w:color w:val="auto"/>
        </w:rPr>
        <w:t>costs, (ii) an increase of $5.3 million in other research and development costs due to $4.7 million of acquired in-process research and development that was immediately expensed related to the ScalmiBio acquisition, an increase of $0.3 million milestone payments triggered by the initiation of our Phase 2 trials and an increase of $0.1 million clinical trial insurance as we continue to initiate our trials, (iii) an increase of $4.0 million in personnel expense due to $2.3 million increase driven by headcount growth, our share of Tallac’s personnel expenses of $0.6 million related to the collaboration and, $0.5 million increase in recruiting expenses, and an $0.5 million retention bonus related to the ScalmiBio acquisition, and (iv) an increase of $2.7 million in stock-based compensation expense mainly due to an increase of $4.0 million in stock-based compensation expense driven by additional stock option awards granted in 2021 at higher fair values, offset by a decrease of $1.3 million expense as we modified stock option awards for former employees who transferred to Tallac Therapeutics in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The following table summarizes our general and administrative expenses incurred for the years ended December 31, 2021 and 2020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4"/>
                <w:szCs w:val="14"/>
                <w:color w:val="auto"/>
              </w:rPr>
            </w:pPr>
          </w:p>
        </w:tc>
        <w:tc>
          <w:tcPr>
            <w:tcW w:w="1460" w:type="dxa"/>
            <w:vAlign w:val="bottom"/>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56"/>
        </w:trPr>
        <w:tc>
          <w:tcPr>
            <w:tcW w:w="40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516"/>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FF0FC"/>
            </w:tcBorders>
          </w:tcPr>
          <w:p>
            <w:pPr>
              <w:spacing w:after="0"/>
              <w:rPr>
                <w:sz w:val="13"/>
                <w:szCs w:val="13"/>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Personnel and related costs</w:t>
            </w: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8,703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costs</w:t>
            </w:r>
          </w:p>
        </w:tc>
        <w:tc>
          <w:tcPr>
            <w:tcW w:w="1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9,335</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7,031</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040" w:type="dxa"/>
            <w:vAlign w:val="bottom"/>
          </w:tcPr>
          <w:p>
            <w:pPr>
              <w:spacing w:after="0"/>
              <w:rPr>
                <w:sz w:val="20"/>
                <w:szCs w:val="20"/>
                <w:color w:val="auto"/>
              </w:rPr>
            </w:pPr>
            <w:r>
              <w:rPr>
                <w:rFonts w:ascii="Arial" w:cs="Arial" w:eastAsia="Arial" w:hAnsi="Arial"/>
                <w:sz w:val="18"/>
                <w:szCs w:val="18"/>
                <w:color w:val="auto"/>
              </w:rPr>
              <w:t>Total general and administrative</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expenses</w:t>
            </w:r>
          </w:p>
        </w:tc>
        <w:tc>
          <w:tcPr>
            <w:tcW w:w="1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23,385</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14,809</w:t>
            </w:r>
          </w:p>
        </w:tc>
        <w:tc>
          <w:tcPr>
            <w:tcW w:w="24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8,576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140" w:firstLine="589"/>
        <w:spacing w:after="0" w:line="270" w:lineRule="auto"/>
        <w:rPr>
          <w:sz w:val="20"/>
          <w:szCs w:val="20"/>
          <w:color w:val="auto"/>
        </w:rPr>
      </w:pPr>
      <w:r>
        <w:rPr>
          <w:rFonts w:ascii="Arial" w:cs="Arial" w:eastAsia="Arial" w:hAnsi="Arial"/>
          <w:sz w:val="17"/>
          <w:szCs w:val="17"/>
          <w:color w:val="auto"/>
        </w:rPr>
        <w:t>General and administrative expenses for the year ended December 31, 2021 were $23.4 million, compared to $14.8 million for the year ended December 31, 2020. The increase of $8.6 million was primarily attributable to (i) an increase of $5.8 million in stock-based compensation expense driven by an increase of $6.2 million due to additional stock option awards granted in 2021 at higher fair values, offset by a decrease of $0.4 million as we recorded additional expense related to the modification of stock option awards for former employees in 2020, (ii) an increase of $2.3 million in other general and administrative costs primarily driven $1.1 million increase in directors and officers liability insurance premiums and $1.7 million increase in various other expenses including SEC filing related fees, SOX consulting, legal expenses, recruiting fees, information system related expenses, board service fees, and other expenses; partially offset by a decrease of $0.7 million in accounting and consulting service fees, which were higher in 2020 due to the IPO, and (iii) an increase of $0.5 million personnel and related costs primarily driven $1.6 million increase by headcount growth, offset by a decrease of $1.1 million driven by special bonus in 2020 related to the IPO.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Services for Related-Party Revenue</w:t>
      </w:r>
    </w:p>
    <w:p>
      <w:pPr>
        <w:spacing w:after="0" w:line="117"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Cost of services for related-party revenue for the years ended December 31, 2021 and 2020 was zero and $1.1 million, respectively. The decrease of $1.1 million from 2020 to 2021 was attributable to decreased fee-for-service hours provided to Tallac Therapeutics as a result of winding down the Tollnine Agreement, which was terminated on July 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Debt Extinguishment</w:t>
      </w:r>
    </w:p>
    <w:p>
      <w:pPr>
        <w:spacing w:after="0" w:line="117"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color w:val="auto"/>
        </w:rPr>
        <w:t>For the year-ended December 31, 2020 we recognized a $0.6 million loss on early debt extinguishment, representing the difference between the reacquisition price of debt and the net carrying amount of the loan as of the date of the payoff.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Since our inception, we have incurred significant operating losses and have not generated any product revenue. We have not yet commercialized any of our product candidates and we do not expect to generate revenue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9" w:name="page110"/>
    <w:bookmarkEnd w:id="109"/>
    <w:p>
      <w:pPr>
        <w:spacing w:after="0" w:line="263" w:lineRule="auto"/>
        <w:rPr>
          <w:sz w:val="20"/>
          <w:szCs w:val="20"/>
          <w:color w:val="auto"/>
        </w:rPr>
      </w:pPr>
      <w:r>
        <w:rPr>
          <w:rFonts w:ascii="Arial" w:cs="Arial" w:eastAsia="Arial" w:hAnsi="Arial"/>
          <w:sz w:val="18"/>
          <w:szCs w:val="18"/>
          <w:color w:val="auto"/>
        </w:rPr>
        <w:t>from sales of any product candidates for several years, if at all, subject to marketing approval of any of our product candidates. To date, we have funded our operations with proceeds from the sales of shares of our common stock and convertible preferred stock and borrowings under our term loan. As of December 31, 2021, we had cash and cash equivalents of $363.7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w:t>
      </w:r>
    </w:p>
    <w:p>
      <w:pPr>
        <w:spacing w:after="0" w:line="117"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In December 2020, we used approximately $6.5 million of the net proceeds from our follow-on public offering to repay the outstanding principal amount of $6.0 million and early extinguish the outstanding Term Loan with SVB and WestRiver. As a result, we recognized a $0.6 million loss on early debt extinguishment, representing the difference between the reacquisition price of debt and the net carrying amount of the loan as of the date of the payoff.</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We have incurred losses and negative cash flows from operations since inception and anticipate that we will continue to incur net losses for the foreseeable future. As of December 31, 2021, we had an accumulated deficit of $202.0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84" w:lineRule="exact"/>
        <w:rPr>
          <w:sz w:val="20"/>
          <w:szCs w:val="20"/>
          <w:color w:val="auto"/>
        </w:rPr>
      </w:pPr>
    </w:p>
    <w:p>
      <w:pPr>
        <w:ind w:left="1160" w:hanging="572"/>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and outcome of regulatory review of our product candidates;</w:t>
      </w:r>
    </w:p>
    <w:p>
      <w:pPr>
        <w:spacing w:after="0" w:line="117" w:lineRule="exact"/>
        <w:rPr>
          <w:rFonts w:ascii="Arial" w:cs="Arial" w:eastAsia="Arial" w:hAnsi="Arial"/>
          <w:sz w:val="18"/>
          <w:szCs w:val="18"/>
          <w:color w:val="auto"/>
        </w:rPr>
      </w:pPr>
    </w:p>
    <w:p>
      <w:pPr>
        <w:ind w:left="1160" w:right="600" w:hanging="572"/>
        <w:spacing w:after="0" w:line="277"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establish agreements with third-party manufacturers for clinical supply for our clinical trials and, if any of our product candidates are approved, commercial manufacturing;</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addition and retention of key research and development personnel;</w:t>
      </w:r>
    </w:p>
    <w:p>
      <w:pPr>
        <w:spacing w:after="0" w:line="117"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efforts to enhance operational, financial and information management systems, and hire additional personnel, including personnel to support development of our product candidates;</w:t>
      </w:r>
    </w:p>
    <w:p>
      <w:pPr>
        <w:spacing w:after="0" w:line="62"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obtain marketing approval;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legal patent costs involved in prosecuting patent applications and enforcing patent claims and other intellectual property claims;</w:t>
      </w:r>
    </w:p>
    <w:p>
      <w:pPr>
        <w:spacing w:after="0" w:line="128" w:lineRule="exact"/>
        <w:rPr>
          <w:rFonts w:ascii="Arial" w:cs="Arial" w:eastAsia="Arial" w:hAnsi="Arial"/>
          <w:sz w:val="17"/>
          <w:szCs w:val="17"/>
          <w:color w:val="auto"/>
        </w:rPr>
      </w:pPr>
    </w:p>
    <w:p>
      <w:pPr>
        <w:ind w:left="1160" w:right="540" w:hanging="572"/>
        <w:spacing w:after="0" w:line="277"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and royalty payments thereunder;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25"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0" w:name="page111"/>
    <w:bookmarkEnd w:id="110"/>
    <w:p>
      <w:pPr>
        <w:jc w:val="both"/>
        <w:ind w:right="140"/>
        <w:spacing w:after="0" w:line="301" w:lineRule="auto"/>
        <w:rPr>
          <w:sz w:val="20"/>
          <w:szCs w:val="20"/>
          <w:color w:val="auto"/>
        </w:rPr>
      </w:pPr>
      <w:r>
        <w:rPr>
          <w:rFonts w:ascii="Arial" w:cs="Arial" w:eastAsia="Arial" w:hAnsi="Arial"/>
          <w:sz w:val="16"/>
          <w:szCs w:val="16"/>
          <w:color w:val="auto"/>
        </w:rPr>
        <w:t>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5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spacing w:after="0" w:line="18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December 2021, we entered into a sales agreement with Cantor Fitzgerald &amp; Co. and Credit Suisse Securities (USA) LLC, under which we may offer and sell our common stock, having aggregate gross proceeds of up to $150.0 million, from time to time through them as our sales agent in our at-the-market equity offering program, or the ATM Offering Program.</w:t>
      </w:r>
    </w:p>
    <w:p>
      <w:pPr>
        <w:spacing w:after="0" w:line="184" w:lineRule="exact"/>
        <w:rPr>
          <w:sz w:val="20"/>
          <w:szCs w:val="20"/>
          <w:color w:val="auto"/>
        </w:rPr>
      </w:pPr>
    </w:p>
    <w:p>
      <w:pPr>
        <w:jc w:val="both"/>
        <w:ind w:right="260" w:firstLine="589"/>
        <w:spacing w:after="0" w:line="263" w:lineRule="auto"/>
        <w:rPr>
          <w:sz w:val="20"/>
          <w:szCs w:val="20"/>
          <w:color w:val="auto"/>
        </w:rPr>
      </w:pPr>
      <w:r>
        <w:rPr>
          <w:rFonts w:ascii="Arial" w:cs="Arial" w:eastAsia="Arial" w:hAnsi="Arial"/>
          <w:sz w:val="18"/>
          <w:szCs w:val="18"/>
          <w:color w:val="auto"/>
        </w:rPr>
        <w:t>We believe our existing cash and cash equivalents will enable us to fund our operating expenses and capital expenditure requirements through 2024. We have based these estimates on assumptions in which actuals may materially differ, and we could utilize our available capital resources sooner than we expect.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a summary of the net cash flow activity for the years ended December 31, 2021, 2020, and 2019:</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3"/>
                <w:szCs w:val="13"/>
                <w:color w:val="auto"/>
              </w:rPr>
            </w:pPr>
          </w:p>
        </w:tc>
      </w:tr>
      <w:tr>
        <w:trPr>
          <w:trHeight w:val="156"/>
        </w:trPr>
        <w:tc>
          <w:tcPr>
            <w:tcW w:w="4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Operating activities</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(68,101)</w:t>
            </w: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(38,289)</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(4,923)</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CFF0FC"/>
          </w:tcPr>
          <w:p>
            <w:pPr>
              <w:spacing w:after="0"/>
              <w:rPr>
                <w:sz w:val="19"/>
                <w:szCs w:val="19"/>
                <w:color w:val="auto"/>
              </w:rPr>
            </w:pPr>
          </w:p>
        </w:tc>
      </w:tr>
      <w:tr>
        <w:trPr>
          <w:trHeight w:val="230"/>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462,881</w:t>
            </w:r>
          </w:p>
        </w:tc>
        <w:tc>
          <w:tcPr>
            <w:tcW w:w="240" w:type="dxa"/>
            <w:vAlign w:val="bottom"/>
            <w:tcBorders>
              <w:bottom w:val="single" w:sz="8" w:color="CFF0FC"/>
            </w:tcBorders>
          </w:tcPr>
          <w:p>
            <w:pPr>
              <w:spacing w:after="0"/>
              <w:rPr>
                <w:sz w:val="19"/>
                <w:szCs w:val="19"/>
                <w:color w:val="auto"/>
              </w:rPr>
            </w:pPr>
          </w:p>
        </w:tc>
      </w:tr>
      <w:tr>
        <w:trPr>
          <w:trHeight w:val="223"/>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1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(70,552)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425,202</w:t>
            </w:r>
          </w:p>
        </w:tc>
        <w:tc>
          <w:tcPr>
            <w:tcW w:w="240" w:type="dxa"/>
            <w:vAlign w:val="bottom"/>
            <w:tcBorders>
              <w:bottom w:val="single" w:sz="8" w:color="CFF0FC"/>
            </w:tcBorders>
            <w:shd w:val="clear" w:color="auto" w:fill="CFF0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60" w:firstLine="589"/>
        <w:spacing w:after="0" w:line="255" w:lineRule="auto"/>
        <w:rPr>
          <w:sz w:val="20"/>
          <w:szCs w:val="20"/>
          <w:color w:val="auto"/>
        </w:rPr>
      </w:pPr>
      <w:r>
        <w:rPr>
          <w:rFonts w:ascii="Arial" w:cs="Arial" w:eastAsia="Arial" w:hAnsi="Arial"/>
          <w:sz w:val="18"/>
          <w:szCs w:val="18"/>
          <w:color w:val="auto"/>
        </w:rPr>
        <w:t>In the year ended December 31, 2021, cash used in operating activities of $68.1 million was attributable to a net loss of $83.5 million and a net change of $4.0 million in our operating assets and liabilities, partially offset by $19.4 million in non-cash charges. The change in operating assets and liabilities was due to $9.7 million increase in other assets primarily related to long-term prepaid clinical costs and $1.7 million increases in prepaid expenses and other current assets, offset by $7.3 million increase in accounts payable and other accrued liabilities primarily due to timing of invoice and payments. The non-cash charges consisted of stock-based compensation of $13.9 million, acquired in-process research and development of $4.7 million, and non-cash lease costs of $0.7 million.</w:t>
      </w:r>
    </w:p>
    <w:p>
      <w:pPr>
        <w:spacing w:after="0" w:line="192" w:lineRule="exact"/>
        <w:rPr>
          <w:sz w:val="20"/>
          <w:szCs w:val="20"/>
          <w:color w:val="auto"/>
        </w:rPr>
      </w:pPr>
    </w:p>
    <w:p>
      <w:pPr>
        <w:ind w:right="140" w:firstLine="589"/>
        <w:spacing w:after="0" w:line="279" w:lineRule="auto"/>
        <w:rPr>
          <w:sz w:val="20"/>
          <w:szCs w:val="20"/>
          <w:color w:val="auto"/>
        </w:rPr>
      </w:pPr>
      <w:r>
        <w:rPr>
          <w:rFonts w:ascii="Arial" w:cs="Arial" w:eastAsia="Arial" w:hAnsi="Arial"/>
          <w:sz w:val="17"/>
          <w:szCs w:val="17"/>
          <w:color w:val="auto"/>
        </w:rPr>
        <w:t>In the year ended December 31, 2020, cash used in operating activities of $38.3 million was attributable to a net loss of $45.7 million and a net change of $0.2 million in our net operating assets and liabilities, partially offset by $7.2 million in non-cash charges. The non-cash charges consisted of stock-based compensation expense of $5.4 million, change in fair value of Series B convertible preferred stock warrant liability and term loan compound derivative of $0.7 million, a loss on debt extinguishment of $0.6 million, amortization of term loan discount and</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111" w:name="page112"/>
    <w:bookmarkEnd w:id="111"/>
    <w:p>
      <w:pPr>
        <w:ind w:right="240"/>
        <w:spacing w:after="0" w:line="259" w:lineRule="auto"/>
        <w:rPr>
          <w:sz w:val="20"/>
          <w:szCs w:val="20"/>
          <w:color w:val="auto"/>
        </w:rPr>
      </w:pPr>
      <w:r>
        <w:rPr>
          <w:rFonts w:ascii="Arial" w:cs="Arial" w:eastAsia="Arial" w:hAnsi="Arial"/>
          <w:sz w:val="18"/>
          <w:szCs w:val="18"/>
          <w:color w:val="auto"/>
        </w:rPr>
        <w:t>issuance costs of $0.4 million, and depreciation and amortization of $0.2 million, partially offset by a gain on assignment of lease of $0.1 million. The change in operating assets and liabilities was primarily due to a $3.7 million decrease in accounts payable and $1.5 million increase in prepaid expenses and other current assets, partially offset by a $5.0 million increase in accrued expenses and other current liabilities, which was primarily due to timing of cash payments for clinical-related activities.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0" w:firstLine="589"/>
        <w:spacing w:after="0" w:line="277" w:lineRule="auto"/>
        <w:rPr>
          <w:sz w:val="20"/>
          <w:szCs w:val="20"/>
          <w:color w:val="auto"/>
        </w:rPr>
      </w:pPr>
      <w:r>
        <w:rPr>
          <w:rFonts w:ascii="Arial" w:cs="Arial" w:eastAsia="Arial" w:hAnsi="Arial"/>
          <w:sz w:val="18"/>
          <w:szCs w:val="18"/>
          <w:color w:val="auto"/>
        </w:rPr>
        <w:t>In the year ended December 31, 2021, cash used in investing activities was $4.9 million due to the acquisition of in-process research and development of $4.3 million and purchase of property and equipment of $0.7 million.</w:t>
      </w:r>
    </w:p>
    <w:p>
      <w:pPr>
        <w:spacing w:after="0" w:line="170"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In the year ended December 31, 2020, cash provided by investing activities of $0.6 million was primarily related to proceeds from the sale of certain lab equipment and other assets.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300" w:firstLine="589"/>
        <w:spacing w:after="0" w:line="263" w:lineRule="auto"/>
        <w:rPr>
          <w:sz w:val="20"/>
          <w:szCs w:val="20"/>
          <w:color w:val="auto"/>
        </w:rPr>
      </w:pPr>
      <w:r>
        <w:rPr>
          <w:rFonts w:ascii="Arial" w:cs="Arial" w:eastAsia="Arial" w:hAnsi="Arial"/>
          <w:sz w:val="18"/>
          <w:szCs w:val="18"/>
          <w:color w:val="auto"/>
        </w:rPr>
        <w:t>In the year ended December 31, 2021, cash provided by financing activities was $2.5 million, which were driven by $2.6 million proceeds from exercise of common stock under equity incentive plans and $0.2 million proceeds from issuance of common stock pursuant to employee stock purchase plan, offset by $0.3 million of principal payments on finance leases.</w:t>
      </w:r>
    </w:p>
    <w:p>
      <w:pPr>
        <w:spacing w:after="0" w:line="184"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In the year ended December 31, 2020, cash provided by financing activities was $462.9 million, primarily from the net proceeds from our common stock offerings of $368.3 million, the net proceeds from the sale and issuance of Series C convertible preferred stock of $104.7 million and the proceeds from exercise of common stock options under equity incentive plans of $0.3 million. These cash inflows were partially offset by payments for early debt extinguishment of $6.5 million and payments of offering costs of $3.8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20" w:firstLine="589"/>
        <w:spacing w:after="0" w:line="308" w:lineRule="auto"/>
        <w:rPr>
          <w:sz w:val="20"/>
          <w:szCs w:val="20"/>
          <w:color w:val="auto"/>
        </w:rPr>
      </w:pPr>
      <w:r>
        <w:rPr>
          <w:rFonts w:ascii="Arial" w:cs="Arial" w:eastAsia="Arial" w:hAnsi="Arial"/>
          <w:sz w:val="17"/>
          <w:szCs w:val="17"/>
          <w:color w:val="auto"/>
        </w:rPr>
        <w:t>We have contractual obligations from our operating lease, manufacturing and service contracts and other research and development activities. The following table aggregates our material expected contractual obligations and commitments as of December 31, 2021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55"/>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880" w:type="dxa"/>
            <w:vAlign w:val="bottom"/>
          </w:tcPr>
          <w:p>
            <w:pPr>
              <w:jc w:val="right"/>
              <w:ind w:right="356"/>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34"/>
              <w:spacing w:after="0" w:line="155" w:lineRule="exact"/>
              <w:rPr>
                <w:sz w:val="20"/>
                <w:szCs w:val="20"/>
                <w:color w:val="auto"/>
              </w:rPr>
            </w:pPr>
            <w:r>
              <w:rPr>
                <w:rFonts w:ascii="Arial" w:cs="Arial" w:eastAsia="Arial" w:hAnsi="Arial"/>
                <w:sz w:val="14"/>
                <w:szCs w:val="14"/>
                <w:b w:val="1"/>
                <w:bCs w:val="1"/>
                <w:color w:val="auto"/>
                <w:w w:val="98"/>
              </w:rPr>
              <w:t>2023 - 2024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w w:val="98"/>
              </w:rPr>
              <w:t>2025 - 2026</w:t>
            </w:r>
          </w:p>
        </w:tc>
        <w:tc>
          <w:tcPr>
            <w:tcW w:w="200" w:type="dxa"/>
            <w:vAlign w:val="bottom"/>
          </w:tcPr>
          <w:p>
            <w:pPr>
              <w:spacing w:after="0"/>
              <w:rPr>
                <w:sz w:val="13"/>
                <w:szCs w:val="13"/>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2,181</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Borders>
              <w:top w:val="single" w:sz="8" w:color="CFF0FC"/>
            </w:tcBorders>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 xml:space="preserve">Finance lease obligations </w:t>
            </w: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Manufacturing and service contracts </w:t>
            </w:r>
            <w:r>
              <w:rPr>
                <w:rFonts w:ascii="Arial" w:cs="Arial" w:eastAsia="Arial" w:hAnsi="Arial"/>
                <w:sz w:val="15"/>
                <w:szCs w:val="15"/>
                <w:color w:val="auto"/>
              </w:rPr>
              <w:t>(3)</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17,578</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24,112</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18,529</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50" w:lineRule="exact"/>
        <w:rPr>
          <w:sz w:val="20"/>
          <w:szCs w:val="20"/>
          <w:color w:val="auto"/>
        </w:rPr>
      </w:pPr>
    </w:p>
    <w:p>
      <w:pPr>
        <w:ind w:left="1160" w:right="100" w:hanging="572"/>
        <w:spacing w:after="0" w:line="259" w:lineRule="auto"/>
        <w:tabs>
          <w:tab w:leader="none" w:pos="116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The payments consist of (i) payments due for the office space in Burlingame, California under a single operating sub-lease agreement that expires in 2023, and (ii) payments due for the office space in South San Francisco, California under a single operating lease agreement that expires in 2026. See Note 6 to our consolidated financial statements appearing elsewhere in this Annual Report on Form 10-K for details of related commitments.</w:t>
      </w:r>
    </w:p>
    <w:p>
      <w:pPr>
        <w:spacing w:after="0" w:line="78" w:lineRule="exact"/>
        <w:rPr>
          <w:rFonts w:ascii="Arial" w:cs="Arial" w:eastAsia="Arial" w:hAnsi="Arial"/>
          <w:sz w:val="18"/>
          <w:szCs w:val="18"/>
          <w:i w:val="1"/>
          <w:iCs w:val="1"/>
          <w:color w:val="auto"/>
        </w:rPr>
      </w:pPr>
    </w:p>
    <w:p>
      <w:pPr>
        <w:ind w:left="1160" w:right="160" w:hanging="572"/>
        <w:spacing w:after="0" w:line="308" w:lineRule="auto"/>
        <w:tabs>
          <w:tab w:leader="none" w:pos="1160" w:val="left"/>
        </w:tabs>
        <w:numPr>
          <w:ilvl w:val="0"/>
          <w:numId w:val="62"/>
        </w:numPr>
        <w:rPr>
          <w:rFonts w:ascii="Arial" w:cs="Arial" w:eastAsia="Arial" w:hAnsi="Arial"/>
          <w:sz w:val="17"/>
          <w:szCs w:val="17"/>
          <w:i w:val="1"/>
          <w:iCs w:val="1"/>
          <w:color w:val="auto"/>
        </w:rPr>
      </w:pPr>
      <w:r>
        <w:rPr>
          <w:rFonts w:ascii="Arial" w:cs="Arial" w:eastAsia="Arial" w:hAnsi="Arial"/>
          <w:sz w:val="17"/>
          <w:szCs w:val="17"/>
          <w:i w:val="1"/>
          <w:iCs w:val="1"/>
          <w:color w:val="auto"/>
        </w:rPr>
        <w:t>Payments due for embedded finance leases related to a pharmaceutical support service contract. See Note 6 to our consolidated financial statements appearing elsewhere in this Annual Report on Form 10-K for details of related commitments.</w:t>
      </w:r>
    </w:p>
    <w:p>
      <w:pPr>
        <w:spacing w:after="0" w:line="38" w:lineRule="exact"/>
        <w:rPr>
          <w:rFonts w:ascii="Arial" w:cs="Arial" w:eastAsia="Arial" w:hAnsi="Arial"/>
          <w:sz w:val="17"/>
          <w:szCs w:val="17"/>
          <w:i w:val="1"/>
          <w:iCs w:val="1"/>
          <w:color w:val="auto"/>
        </w:rPr>
      </w:pPr>
    </w:p>
    <w:p>
      <w:pPr>
        <w:ind w:left="1160" w:right="260" w:hanging="572"/>
        <w:spacing w:after="0" w:line="275" w:lineRule="auto"/>
        <w:tabs>
          <w:tab w:leader="none" w:pos="1160" w:val="left"/>
        </w:tabs>
        <w:numPr>
          <w:ilvl w:val="0"/>
          <w:numId w:val="62"/>
        </w:numPr>
        <w:rPr>
          <w:rFonts w:ascii="Arial" w:cs="Arial" w:eastAsia="Arial" w:hAnsi="Arial"/>
          <w:sz w:val="17"/>
          <w:szCs w:val="17"/>
          <w:i w:val="1"/>
          <w:iCs w:val="1"/>
          <w:color w:val="auto"/>
        </w:rPr>
      </w:pPr>
      <w:r>
        <w:rPr>
          <w:rFonts w:ascii="Arial" w:cs="Arial" w:eastAsia="Arial" w:hAnsi="Arial"/>
          <w:sz w:val="17"/>
          <w:szCs w:val="17"/>
          <w:i w:val="1"/>
          <w:iCs w:val="1"/>
          <w:color w:val="auto"/>
        </w:rPr>
        <w:t>In November 2015, we entered into a Master Service Agreement, or the MSA, with KBI Biopharma, Inc. relating to formulation development, process development and cGMP manufacturing of evorpacept for use in clinical trials on a project basis. The MSA had an initial term of three years with successive one-year renewal periods, is cancellable upon notice and is non-exclusive. Statements of work under the MSA commit us to certain future purchase obligations of approximately $20.7 million. In addition, we have commitments with two other drug product manufacturers that commit us to certain future purchase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2" w:name="page113"/>
    <w:bookmarkEnd w:id="112"/>
    <w:p>
      <w:pPr>
        <w:ind w:left="1160" w:right="120"/>
        <w:spacing w:after="0" w:line="308" w:lineRule="auto"/>
        <w:rPr>
          <w:sz w:val="20"/>
          <w:szCs w:val="20"/>
          <w:color w:val="auto"/>
        </w:rPr>
      </w:pPr>
      <w:r>
        <w:rPr>
          <w:rFonts w:ascii="Arial" w:cs="Arial" w:eastAsia="Arial" w:hAnsi="Arial"/>
          <w:sz w:val="17"/>
          <w:szCs w:val="17"/>
          <w:i w:val="1"/>
          <w:iCs w:val="1"/>
          <w:color w:val="auto"/>
        </w:rPr>
        <w:t>obligations of approximately $0.5 million. These amounts are based on non-cancellable commitments and forecasts that include estimates of future market demand, quantity discounts and manufacturing efficiencies that may impact timing of purchases.</w:t>
      </w:r>
    </w:p>
    <w:p>
      <w:pPr>
        <w:spacing w:after="0" w:line="38"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During the period presented, we did not have, nor do we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financial statements, which have been prepared in accordance with generally accepted accounting principles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spacing w:after="0" w:line="165"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While our significant accounting policies are more fully described in the notes to our audited consolidated financial statements elsewhere in this Annual Report on Form 10-K, we believe that the following accounting policies related to accrued expenses and equity-based compensation are most critical to understanding and evaluating our reported financial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and Manufacturing Accruals</w:t>
      </w:r>
    </w:p>
    <w:p>
      <w:pPr>
        <w:spacing w:after="0" w:line="117"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We record accruals for estimated costs of research, preclinical studies and clinical trials, and manufacturing development, which are a significant component of research and development expenses. A substantial portion of our ongoing research and development activities are conducted by third-party service providers, including CROs and contract manufacturing organizations, or CMOs. Our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us under such contracts. We accrue the costs incurred under agreements with these third parties based on estimates of actual work completed in accordance with the respective agreements. We determine the estimated costs through discussions with internal personnel and external service providers as to the progress or stage of completion of the services and the agreed-upon fees to be paid for such services.</w:t>
      </w:r>
    </w:p>
    <w:p>
      <w:pPr>
        <w:spacing w:after="0" w:line="165"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We make significant judgments and estimates in determining the accrual balance at the end of each reporting period. As actual costs become known, we adjust our accruals. Although we do not expect our estimates to be materially different from amounts actually incurred, our understanding of the status and timing of services performed relative to the actual status and timing of services performed may vary and could result in our reporting amounts that are too high or too low in any particular period. To assist in our estimates, we rely upon the receipt of timely and accurate reporting from our clinical and non-clinical studies and other third-party vendors. Through December 31, 2021, there have been no material differences from our accrued estimated expenses to the actual clinical trial expenses. However, variations in the assumptions used to estimate accruals, including, but not limited to, the number of patients enrolled, the rate of patient enrollment, and the actual services performed, and related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3" w:name="page114"/>
    <w:bookmarkEnd w:id="113"/>
    <w:p>
      <w:pPr>
        <w:ind w:right="400"/>
        <w:spacing w:after="0" w:line="277" w:lineRule="auto"/>
        <w:rPr>
          <w:sz w:val="20"/>
          <w:szCs w:val="20"/>
          <w:color w:val="auto"/>
        </w:rPr>
      </w:pPr>
      <w:r>
        <w:rPr>
          <w:rFonts w:ascii="Arial" w:cs="Arial" w:eastAsia="Arial" w:hAnsi="Arial"/>
          <w:sz w:val="18"/>
          <w:szCs w:val="18"/>
          <w:color w:val="auto"/>
        </w:rPr>
        <w:t>costs may vary from our estimates, resulting in adjustments to clinical trial expense in future periods. Changes in these estimates that result in material changes to our accruals could materially affect its financial position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Stock-based compensation expense represents the grant-date fair value of awards recognized over the requisite service period of the awards (usually the vesting period) on a straight-line basis. The grant-date fair value of restricted stock units is the fair value of the underlying stock on the award’s grant date. For stock options and shares purchased under our Employee Stock Purchase Plan, or ESPP, we estimate the grant-date fair value, and the resulting stock-based compensation expense, using the Black-Scholes option-pricing model.</w:t>
      </w:r>
    </w:p>
    <w:p>
      <w:pPr>
        <w:spacing w:after="0" w:line="187"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The Black-Scholes option-pricing model requires the derivation and use of subjective assumptions to determine the estimated fair value of stock option awards. These assumptions include:</w:t>
      </w:r>
    </w:p>
    <w:p>
      <w:pPr>
        <w:spacing w:after="0" w:line="62" w:lineRule="exact"/>
        <w:rPr>
          <w:sz w:val="20"/>
          <w:szCs w:val="20"/>
          <w:color w:val="auto"/>
        </w:rPr>
      </w:pPr>
    </w:p>
    <w:p>
      <w:pPr>
        <w:ind w:left="1160" w:hanging="572"/>
        <w:spacing w:after="0" w:line="311" w:lineRule="auto"/>
        <w:tabs>
          <w:tab w:leader="none" w:pos="11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Expected Term—We have concluded that our stock option exercise history does not provide a reasonable basis upon which to estimate expected term, and therefore we use the simplified method for estimating the expected term of stock option grants. Under this approach, the weighted-average expected term is presumed to be the average of the vesting term and the contractual term of the option.</w:t>
      </w:r>
    </w:p>
    <w:p>
      <w:pPr>
        <w:spacing w:after="0" w:line="40" w:lineRule="exact"/>
        <w:rPr>
          <w:rFonts w:ascii="Arial" w:cs="Arial" w:eastAsia="Arial" w:hAnsi="Arial"/>
          <w:sz w:val="16"/>
          <w:szCs w:val="16"/>
          <w:color w:val="auto"/>
        </w:rPr>
      </w:pPr>
    </w:p>
    <w:p>
      <w:pPr>
        <w:ind w:left="1160" w:right="160" w:hanging="572"/>
        <w:spacing w:after="0" w:line="257"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Expected Volatility—Since we do not have significant trading history for our common stock, the expected volatility is estimated based on the average volatility for comparable publicly traded biopharmaceutical companies over a period equal to the expected term of the stock option grants. The comparable companies were chosen based on their similar size, stage in the life cycle or area of specialty. We will continue to use comparable company information until the historical volatility of our common stock is sufficient to measure expected volatility for future option grants.</w:t>
      </w:r>
    </w:p>
    <w:p>
      <w:pPr>
        <w:spacing w:after="0" w:line="79" w:lineRule="exact"/>
        <w:rPr>
          <w:rFonts w:ascii="Arial" w:cs="Arial" w:eastAsia="Arial" w:hAnsi="Arial"/>
          <w:sz w:val="18"/>
          <w:szCs w:val="18"/>
          <w:color w:val="auto"/>
        </w:rPr>
      </w:pPr>
    </w:p>
    <w:p>
      <w:pPr>
        <w:ind w:left="1160" w:right="540" w:hanging="572"/>
        <w:spacing w:after="0" w:line="277"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Risk-Free Interest Rate—The risk-free interest rate is based on the U.S. Treasury zero coupon issues in effect at the time of grant for periods corresponding with the expected term of the award.</w:t>
      </w:r>
    </w:p>
    <w:p>
      <w:pPr>
        <w:spacing w:after="0" w:line="62"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Dividend Yield—We have not paid dividends on our common stock and do not anticipate paying dividends for the foreseeable future, and we therefore used an expected dividend yield of zero.</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to the Black-Scholes assumptions, we include the effect of forfeitures as they occur.</w:t>
      </w:r>
    </w:p>
    <w:p>
      <w:pPr>
        <w:spacing w:after="0" w:line="225"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We expect the impact of our stock-based compensation expense to grow in future periods due to the potential increases in the value of our common stock and the number of awards we expect to grant.</w:t>
      </w:r>
    </w:p>
    <w:p>
      <w:pPr>
        <w:spacing w:after="0" w:line="170"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We issue incentive and non-statutory stock options under the 2020 Amended and Restated Equity Incentive Plan, or 2020 Plan, to certain directors, officers, employees and consultants in consideration for services provided to us. To date, all incentive stock options have provided for vesting over a four year period from either the date of grant or the commencement of service. To date, all non-statutory stock options have provided for vesting over periods ranging from one to four years from either the date of grant or commencement of service. To date, all non-statutory stock options have been granted to directors and vest over a one year or a three year period from the award's date of grant, or the date of the Company’s next annual meeting of stockholders that occurs following the date of grant. New grants issued under the 2020 Plan do not allow the option holders to exercise their options prior to vesting.</w:t>
      </w:r>
    </w:p>
    <w:p>
      <w:pPr>
        <w:spacing w:after="0" w:line="164"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Prior to our initial public offering, the fair value of the common stock underlying our stock-based awards was determined on each grant date by our board of directors, with input from management, considering our most recently available third-party valuation of common shares. In the absence of a public trading market for our common stock, our board of directors made a reasonable determination of the fair value of our common stock based on the information known to us on the date of grant, upon a review of any recent events and their potential impact on the estimated fair value per share of the common stock, and timely valuations from an independent third-party valuation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4" w:name="page115"/>
    <w:bookmarkEnd w:id="114"/>
    <w:p>
      <w:pPr>
        <w:spacing w:after="0" w:line="277" w:lineRule="auto"/>
        <w:rPr>
          <w:sz w:val="20"/>
          <w:szCs w:val="20"/>
          <w:color w:val="auto"/>
        </w:rPr>
      </w:pPr>
      <w:r>
        <w:rPr>
          <w:rFonts w:ascii="Arial" w:cs="Arial" w:eastAsia="Arial" w:hAnsi="Arial"/>
          <w:sz w:val="18"/>
          <w:szCs w:val="18"/>
          <w:color w:val="auto"/>
        </w:rPr>
        <w:t xml:space="preserve">in accordance with guidance provided by the American Institute of Certified Public Accountants Practice Aid, </w:t>
      </w:r>
      <w:r>
        <w:rPr>
          <w:rFonts w:ascii="Arial" w:cs="Arial" w:eastAsia="Arial" w:hAnsi="Arial"/>
          <w:sz w:val="18"/>
          <w:szCs w:val="18"/>
          <w:i w:val="1"/>
          <w:iCs w:val="1"/>
          <w:color w:val="auto"/>
        </w:rPr>
        <w:t>Valuation of Privately-Held-Company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Issued as Compensation</w:t>
      </w:r>
      <w:r>
        <w:rPr>
          <w:rFonts w:ascii="Arial" w:cs="Arial" w:eastAsia="Arial" w:hAnsi="Arial"/>
          <w:sz w:val="18"/>
          <w:szCs w:val="18"/>
          <w:color w:val="auto"/>
        </w:rPr>
        <w:t>, or Practice Aid.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See “Note 2. Significant Accounting Policies” of the Notes to Consolidated Financial Statements in “Item 8. Financial Statements and Supplementary Data” for a full description of recent accounting pronouncements, including the respective expected dates of adoption and estimated effects, if any, on our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20" w:firstLine="589"/>
        <w:spacing w:after="0" w:line="301" w:lineRule="auto"/>
        <w:rPr>
          <w:sz w:val="20"/>
          <w:szCs w:val="20"/>
          <w:color w:val="auto"/>
        </w:rPr>
      </w:pPr>
      <w:r>
        <w:rPr>
          <w:rFonts w:ascii="Arial" w:cs="Arial" w:eastAsia="Arial" w:hAnsi="Arial"/>
          <w:sz w:val="16"/>
          <w:szCs w:val="16"/>
          <w:color w:val="auto"/>
        </w:rPr>
        <w:t>We are exposed to market risks in the ordinary course of our business. These risks primarily include interest rate sensitivities. As of December 31, 2021, we had cash and cash equivalents of $363.7 million. We generally hold our cash and cash equivalents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and cash equivalents.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Institution Risk</w:t>
      </w:r>
    </w:p>
    <w:p>
      <w:pPr>
        <w:spacing w:after="0" w:line="11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Substantially all of our cash and cash equivalents is held with a single financial institution. Due to its size, this financial institution represents a minimal credit risk. Cash amounts held at financial institutions are insured by the Federal Deposit Insurance Corporation up to $250,000. At December 31, 2021, we had $363.4 million in excess of this insured limit.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10.0% increase or decrease in current exchange rates would not have a material effect on our financial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910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14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40" w:type="dxa"/>
            <w:vAlign w:val="bottom"/>
            <w:gridSpan w:val="4"/>
          </w:tcPr>
          <w:p>
            <w:pPr>
              <w:ind w:left="860"/>
              <w:spacing w:after="0"/>
              <w:rPr>
                <w:sz w:val="20"/>
                <w:szCs w:val="20"/>
                <w:color w:val="auto"/>
              </w:rPr>
            </w:pPr>
            <w:r>
              <w:rPr>
                <w:rFonts w:ascii="Arial" w:cs="Arial" w:eastAsia="Arial" w:hAnsi="Arial"/>
                <w:sz w:val="18"/>
                <w:szCs w:val="18"/>
                <w:b w:val="1"/>
                <w:bCs w:val="1"/>
                <w:color w:val="auto"/>
              </w:rPr>
              <w:t>INDEX TO FINANCIAL STATEMENTS</w:t>
            </w:r>
          </w:p>
        </w:tc>
        <w:tc>
          <w:tcPr>
            <w:tcW w:w="2140" w:type="dxa"/>
            <w:vAlign w:val="bottom"/>
          </w:tcPr>
          <w:p>
            <w:pPr>
              <w:spacing w:after="0"/>
              <w:rPr>
                <w:sz w:val="24"/>
                <w:szCs w:val="24"/>
                <w:color w:val="auto"/>
              </w:rPr>
            </w:pPr>
          </w:p>
        </w:tc>
      </w:tr>
      <w:tr>
        <w:trPr>
          <w:trHeight w:val="405"/>
        </w:trPr>
        <w:tc>
          <w:tcPr>
            <w:tcW w:w="9100" w:type="dxa"/>
            <w:vAlign w:val="bottom"/>
            <w:gridSpan w:val="7"/>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Report of Independent Registered Public Accounting Firm</w:t>
              </w:r>
            </w:hyperlink>
          </w:p>
        </w:tc>
        <w:tc>
          <w:tcPr>
            <w:tcW w:w="21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45"/>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19">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24"/>
                <w:szCs w:val="24"/>
                <w:color w:val="auto"/>
              </w:rPr>
            </w:pPr>
          </w:p>
        </w:tc>
        <w:tc>
          <w:tcPr>
            <w:tcW w:w="4880" w:type="dxa"/>
            <w:vAlign w:val="bottom"/>
            <w:gridSpan w:val="3"/>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44"/>
        </w:trPr>
        <w:tc>
          <w:tcPr>
            <w:tcW w:w="9100" w:type="dxa"/>
            <w:vAlign w:val="bottom"/>
            <w:gridSpan w:val="7"/>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Consolidated Statements of Operations and Comprehensive Loss</w:t>
              </w:r>
            </w:hyperlink>
          </w:p>
        </w:tc>
        <w:tc>
          <w:tcPr>
            <w:tcW w:w="21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45"/>
        </w:trPr>
        <w:tc>
          <w:tcPr>
            <w:tcW w:w="9100" w:type="dxa"/>
            <w:vAlign w:val="bottom"/>
            <w:gridSpan w:val="7"/>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Consolidated Statements of Convertible Preferred Stock and Stockholders’ Equity (Deficit)</w:t>
              </w:r>
            </w:hyperlink>
          </w:p>
        </w:tc>
        <w:tc>
          <w:tcPr>
            <w:tcW w:w="21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44"/>
        </w:trPr>
        <w:tc>
          <w:tcPr>
            <w:tcW w:w="28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22">
              <w:r>
                <w:rPr>
                  <w:rFonts w:ascii="Arial" w:cs="Arial" w:eastAsia="Arial" w:hAnsi="Arial"/>
                  <w:sz w:val="18"/>
                  <w:szCs w:val="18"/>
                  <w:color w:val="0000EE"/>
                  <w:w w:val="89"/>
                </w:rPr>
                <w:t>Consolidated Statements of Cash Flows</w:t>
              </w:r>
            </w:hyperlink>
          </w:p>
        </w:tc>
        <w:tc>
          <w:tcPr>
            <w:tcW w:w="3700" w:type="dxa"/>
            <w:vAlign w:val="bottom"/>
            <w:tcBorders>
              <w:top w:val="single" w:sz="8" w:color="0000EE"/>
            </w:tcBorders>
            <w:gridSpan w:val="4"/>
          </w:tcPr>
          <w:p>
            <w:pPr>
              <w:spacing w:after="0"/>
              <w:rPr>
                <w:sz w:val="24"/>
                <w:szCs w:val="24"/>
                <w:color w:val="auto"/>
              </w:rPr>
            </w:pPr>
          </w:p>
        </w:tc>
        <w:tc>
          <w:tcPr>
            <w:tcW w:w="252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44"/>
        </w:trPr>
        <w:tc>
          <w:tcPr>
            <w:tcW w:w="31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23">
              <w:r>
                <w:rPr>
                  <w:rFonts w:ascii="Arial" w:cs="Arial" w:eastAsia="Arial" w:hAnsi="Arial"/>
                  <w:sz w:val="18"/>
                  <w:szCs w:val="18"/>
                  <w:color w:val="0000EE"/>
                  <w:w w:val="89"/>
                </w:rPr>
                <w:t>Notes to Consolidated Financial Statements</w:t>
              </w:r>
            </w:hyperlink>
          </w:p>
        </w:tc>
        <w:tc>
          <w:tcPr>
            <w:tcW w:w="5940" w:type="dxa"/>
            <w:vAlign w:val="bottom"/>
            <w:gridSpan w:val="4"/>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885"/>
        </w:trPr>
        <w:tc>
          <w:tcPr>
            <w:tcW w:w="6580" w:type="dxa"/>
            <w:vAlign w:val="bottom"/>
            <w:gridSpan w:val="6"/>
          </w:tcPr>
          <w:p>
            <w:pPr>
              <w:ind w:left="5500"/>
              <w:spacing w:after="0"/>
              <w:rPr>
                <w:sz w:val="20"/>
                <w:szCs w:val="20"/>
                <w:color w:val="auto"/>
              </w:rPr>
            </w:pPr>
            <w:r>
              <w:rPr>
                <w:rFonts w:ascii="Arial" w:cs="Arial" w:eastAsia="Arial" w:hAnsi="Arial"/>
                <w:sz w:val="18"/>
                <w:szCs w:val="18"/>
                <w:color w:val="auto"/>
              </w:rPr>
              <w:t>112</w:t>
            </w:r>
          </w:p>
        </w:tc>
        <w:tc>
          <w:tcPr>
            <w:tcW w:w="25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audited the accompanying consolidated balance sheets of ALX Oncology Holdings Inc. and subsidiaries (the Company) as of December 31, 2021 and 2020, the related consolidated statements of operations and comprehensive loss, convertible preferred stock and stockholders’ equity (deficit) and cash flows for each of the years in the three-year period ended December 31, 2021, and the related notes (collectively,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 Also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leases as of January 1, 2021 due to the adoption of Accounting Standards Update No. 2016-02, Leases (Topic 842).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58"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Assessment of clinical accruals</w:t>
      </w:r>
    </w:p>
    <w:p>
      <w:pPr>
        <w:spacing w:after="0" w:line="144" w:lineRule="exact"/>
        <w:rPr>
          <w:sz w:val="20"/>
          <w:szCs w:val="20"/>
          <w:color w:val="auto"/>
        </w:rPr>
      </w:pPr>
    </w:p>
    <w:p>
      <w:pPr>
        <w:ind w:left="520" w:right="260"/>
        <w:spacing w:after="0" w:line="275" w:lineRule="auto"/>
        <w:rPr>
          <w:sz w:val="20"/>
          <w:szCs w:val="20"/>
          <w:color w:val="auto"/>
        </w:rPr>
      </w:pPr>
      <w:r>
        <w:rPr>
          <w:rFonts w:ascii="Arial" w:cs="Arial" w:eastAsia="Arial" w:hAnsi="Arial"/>
          <w:sz w:val="17"/>
          <w:szCs w:val="17"/>
          <w:color w:val="auto"/>
        </w:rPr>
        <w:t>As discussed in Notes 2 and 5 to the consolidated financial statements, the Company has accrued clinical and nonclinical study costs of $4,125 thousand, which includes accrued contract research organization costs. The Company accrues the costs incurred under agreements with contract research organizations (CROs) based on estimates of clinical activities completed to date in accordance with the respective agreements. The Company determines the estimated costs incurred through discussions with internal personnel and external service providers as to the progress or stage of completion of the services and the agreed-upon fees to be paid for such services.</w:t>
      </w:r>
    </w:p>
    <w:p>
      <w:pPr>
        <w:spacing w:after="0" w:line="109" w:lineRule="exact"/>
        <w:rPr>
          <w:sz w:val="20"/>
          <w:szCs w:val="20"/>
          <w:color w:val="auto"/>
        </w:rPr>
      </w:pPr>
    </w:p>
    <w:p>
      <w:pPr>
        <w:jc w:val="both"/>
        <w:ind w:left="520" w:right="80"/>
        <w:spacing w:after="0" w:line="263" w:lineRule="auto"/>
        <w:rPr>
          <w:sz w:val="20"/>
          <w:szCs w:val="20"/>
          <w:color w:val="auto"/>
        </w:rPr>
      </w:pPr>
      <w:r>
        <w:rPr>
          <w:rFonts w:ascii="Arial" w:cs="Arial" w:eastAsia="Arial" w:hAnsi="Arial"/>
          <w:sz w:val="18"/>
          <w:szCs w:val="18"/>
          <w:color w:val="auto"/>
        </w:rPr>
        <w:t>We identified the assessment of clinical accruals as a critical audit matter. Specifically, assessing the estimate of clinical activities completed to date required a higher degree of auditor judgment. Changes to the estimate of clinical activities completed to date could have had a significant impact on the amount of accrued clinical costs recorded by the Company.</w:t>
      </w:r>
    </w:p>
    <w:p>
      <w:pPr>
        <w:spacing w:after="0" w:line="116" w:lineRule="exact"/>
        <w:rPr>
          <w:sz w:val="20"/>
          <w:szCs w:val="20"/>
          <w:color w:val="auto"/>
        </w:rPr>
      </w:pPr>
    </w:p>
    <w:p>
      <w:pPr>
        <w:ind w:left="520"/>
        <w:spacing w:after="0" w:line="254"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clinical accruals. This included controls related to the estimation of the clinical activities completed to date. For a sample of the Company’s clinical accruals, we assessed the Company’s estimate of the related activities completed to date by: (1) inquiring of Company personnel responsible for overseeing the respective clinical activities to understand their progress; (2) inspecting correspondence received by the Company from CROs, if any, and comparing the reported information to the Company’s estimate; and (3) inspecting the terms of the contract and any executed change orders, including the timeline and budget, and comparing them to the Company’s estimate of clinical activities completed to date.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4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09"/>
        </w:trPr>
        <w:tc>
          <w:tcPr>
            <w:tcW w:w="74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1100" w:type="dxa"/>
            <w:vAlign w:val="bottom"/>
            <w:gridSpan w:val="2"/>
            <w:shd w:val="clear" w:color="auto" w:fill="CFF0FC"/>
          </w:tcPr>
          <w:p>
            <w:pPr>
              <w:jc w:val="right"/>
              <w:ind w:right="799"/>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363,667</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434,219</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3,352</w:t>
            </w:r>
          </w:p>
        </w:tc>
        <w:tc>
          <w:tcPr>
            <w:tcW w:w="30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1,773</w:t>
            </w:r>
          </w:p>
        </w:tc>
        <w:tc>
          <w:tcPr>
            <w:tcW w:w="100" w:type="dxa"/>
            <w:vAlign w:val="bottom"/>
            <w:tcBorders>
              <w:bottom w:val="single" w:sz="8" w:color="CFF0FC"/>
            </w:tcBorders>
          </w:tcPr>
          <w:p>
            <w:pPr>
              <w:spacing w:after="0"/>
              <w:rPr>
                <w:sz w:val="18"/>
                <w:szCs w:val="18"/>
                <w:color w:val="auto"/>
              </w:rPr>
            </w:pPr>
          </w:p>
        </w:tc>
      </w:tr>
      <w:tr>
        <w:trPr>
          <w:trHeight w:val="209"/>
        </w:trPr>
        <w:tc>
          <w:tcPr>
            <w:tcW w:w="74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current assets</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367,019</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435,992</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897</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12,267</w:t>
            </w:r>
          </w:p>
        </w:tc>
        <w:tc>
          <w:tcPr>
            <w:tcW w:w="30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FF0FC"/>
          </w:tcPr>
          <w:p>
            <w:pPr>
              <w:spacing w:after="0"/>
              <w:rPr>
                <w:sz w:val="18"/>
                <w:szCs w:val="18"/>
                <w:color w:val="auto"/>
              </w:rPr>
            </w:pPr>
          </w:p>
        </w:tc>
      </w:tr>
      <w:tr>
        <w:trPr>
          <w:trHeight w:val="250"/>
        </w:trPr>
        <w:tc>
          <w:tcPr>
            <w:tcW w:w="748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assets</w:t>
            </w:r>
          </w:p>
        </w:tc>
        <w:tc>
          <w:tcPr>
            <w:tcW w:w="12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380,183</w:t>
            </w:r>
          </w:p>
        </w:tc>
        <w:tc>
          <w:tcPr>
            <w:tcW w:w="30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436,054</w:t>
            </w:r>
          </w:p>
        </w:tc>
        <w:tc>
          <w:tcPr>
            <w:tcW w:w="100" w:type="dxa"/>
            <w:vAlign w:val="bottom"/>
            <w:tcBorders>
              <w:bottom w:val="single" w:sz="8" w:color="CFF0FC"/>
            </w:tcBorders>
          </w:tcPr>
          <w:p>
            <w:pPr>
              <w:spacing w:after="0"/>
              <w:rPr>
                <w:sz w:val="21"/>
                <w:szCs w:val="21"/>
                <w:color w:val="auto"/>
              </w:rPr>
            </w:pPr>
          </w:p>
        </w:tc>
      </w:tr>
      <w:tr>
        <w:trPr>
          <w:trHeight w:val="197"/>
        </w:trPr>
        <w:tc>
          <w:tcPr>
            <w:tcW w:w="7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1100" w:type="dxa"/>
            <w:vAlign w:val="bottom"/>
            <w:gridSpan w:val="2"/>
          </w:tcPr>
          <w:p>
            <w:pPr>
              <w:jc w:val="right"/>
              <w:ind w:right="799"/>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3,764</w:t>
            </w:r>
          </w:p>
        </w:tc>
        <w:tc>
          <w:tcPr>
            <w:tcW w:w="300" w:type="dxa"/>
            <w:vAlign w:val="bottom"/>
          </w:tcPr>
          <w:p>
            <w:pPr>
              <w:spacing w:after="0"/>
              <w:rPr>
                <w:sz w:val="18"/>
                <w:szCs w:val="18"/>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Payable and accrued liabilities due to related party</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1,630</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Accrued expenses and other current liabilities</w:t>
            </w: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9,901</w:t>
            </w:r>
          </w:p>
        </w:tc>
        <w:tc>
          <w:tcPr>
            <w:tcW w:w="30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6,128</w:t>
            </w:r>
          </w:p>
        </w:tc>
        <w:tc>
          <w:tcPr>
            <w:tcW w:w="100" w:type="dxa"/>
            <w:vAlign w:val="bottom"/>
            <w:tcBorders>
              <w:bottom w:val="single" w:sz="8" w:color="CFF0FC"/>
            </w:tcBorders>
          </w:tcPr>
          <w:p>
            <w:pPr>
              <w:spacing w:after="0"/>
              <w:rPr>
                <w:sz w:val="18"/>
                <w:szCs w:val="18"/>
                <w:color w:val="auto"/>
              </w:rPr>
            </w:pPr>
          </w:p>
        </w:tc>
      </w:tr>
      <w:tr>
        <w:trPr>
          <w:trHeight w:val="210"/>
        </w:trPr>
        <w:tc>
          <w:tcPr>
            <w:tcW w:w="74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current liabilities</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15,295</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6,204</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non-current liabilities</w:t>
            </w: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1,839</w:t>
            </w:r>
          </w:p>
        </w:tc>
        <w:tc>
          <w:tcPr>
            <w:tcW w:w="30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FF0FC"/>
            </w:tcBorders>
          </w:tcPr>
          <w:p>
            <w:pPr>
              <w:spacing w:after="0"/>
              <w:rPr>
                <w:sz w:val="18"/>
                <w:szCs w:val="18"/>
                <w:color w:val="auto"/>
              </w:rPr>
            </w:pPr>
          </w:p>
        </w:tc>
      </w:tr>
      <w:tr>
        <w:trPr>
          <w:trHeight w:val="209"/>
        </w:trPr>
        <w:tc>
          <w:tcPr>
            <w:tcW w:w="74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17,134</w:t>
            </w:r>
          </w:p>
        </w:tc>
        <w:tc>
          <w:tcPr>
            <w:tcW w:w="30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6,209</w:t>
            </w:r>
          </w:p>
        </w:tc>
        <w:tc>
          <w:tcPr>
            <w:tcW w:w="100" w:type="dxa"/>
            <w:vAlign w:val="bottom"/>
            <w:shd w:val="clear" w:color="auto" w:fill="CFF0FC"/>
          </w:tcPr>
          <w:p>
            <w:pPr>
              <w:spacing w:after="0"/>
              <w:rPr>
                <w:sz w:val="18"/>
                <w:szCs w:val="18"/>
                <w:color w:val="auto"/>
              </w:rPr>
            </w:pPr>
          </w:p>
        </w:tc>
      </w:tr>
      <w:tr>
        <w:trPr>
          <w:trHeight w:val="208"/>
        </w:trPr>
        <w:tc>
          <w:tcPr>
            <w:tcW w:w="7480" w:type="dxa"/>
            <w:vAlign w:val="bottom"/>
          </w:tcPr>
          <w:p>
            <w:pPr>
              <w:spacing w:after="0"/>
              <w:rPr>
                <w:sz w:val="20"/>
                <w:szCs w:val="20"/>
                <w:color w:val="auto"/>
              </w:rPr>
            </w:pPr>
            <w:r>
              <w:rPr>
                <w:rFonts w:ascii="Arial" w:cs="Arial" w:eastAsia="Arial" w:hAnsi="Arial"/>
                <w:sz w:val="17"/>
                <w:szCs w:val="17"/>
                <w:color w:val="auto"/>
              </w:rPr>
              <w:t>Commitments and contingencies (Note 13)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48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480" w:type="dxa"/>
            <w:vAlign w:val="bottom"/>
          </w:tcPr>
          <w:p>
            <w:pPr>
              <w:spacing w:after="0"/>
              <w:rPr>
                <w:sz w:val="20"/>
                <w:szCs w:val="20"/>
                <w:color w:val="auto"/>
              </w:rPr>
            </w:pPr>
            <w:r>
              <w:rPr>
                <w:rFonts w:ascii="Arial" w:cs="Arial" w:eastAsia="Arial" w:hAnsi="Arial"/>
                <w:sz w:val="17"/>
                <w:szCs w:val="17"/>
                <w:color w:val="auto"/>
                <w:w w:val="95"/>
              </w:rPr>
              <w:t>Common stock, $0.001 par value; 1,000,000,000 shares authorized as of December 31, 2021 and 2020,</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80" w:type="dxa"/>
            <w:vAlign w:val="bottom"/>
          </w:tcPr>
          <w:p>
            <w:pPr>
              <w:spacing w:after="0"/>
              <w:rPr>
                <w:sz w:val="20"/>
                <w:szCs w:val="20"/>
                <w:color w:val="auto"/>
              </w:rPr>
            </w:pPr>
            <w:r>
              <w:rPr>
                <w:rFonts w:ascii="Arial" w:cs="Arial" w:eastAsia="Arial" w:hAnsi="Arial"/>
                <w:sz w:val="17"/>
                <w:szCs w:val="17"/>
                <w:color w:val="auto"/>
                <w:w w:val="91"/>
              </w:rPr>
              <w:t>respectively; 40,587,067 and 39,844,522 shares issued and outstanding as of December 31, 2021 and 2020,</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7480" w:type="dxa"/>
            <w:vAlign w:val="bottom"/>
          </w:tcPr>
          <w:p>
            <w:pPr>
              <w:spacing w:after="0"/>
              <w:rPr>
                <w:sz w:val="20"/>
                <w:szCs w:val="20"/>
                <w:color w:val="auto"/>
              </w:rPr>
            </w:pPr>
            <w:r>
              <w:rPr>
                <w:rFonts w:ascii="Arial" w:cs="Arial" w:eastAsia="Arial" w:hAnsi="Arial"/>
                <w:sz w:val="17"/>
                <w:szCs w:val="17"/>
                <w:color w:val="auto"/>
              </w:rPr>
              <w:t>respectively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r>
      <w:tr>
        <w:trPr>
          <w:trHeight w:val="218"/>
        </w:trPr>
        <w:tc>
          <w:tcPr>
            <w:tcW w:w="7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Additional paid-in capital</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564,993</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548,327</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w w:val="93"/>
              </w:rPr>
              <w:t>(201,985)</w:t>
            </w:r>
          </w:p>
        </w:tc>
        <w:tc>
          <w:tcPr>
            <w:tcW w:w="4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(118,522)</w:t>
            </w:r>
          </w:p>
        </w:tc>
      </w:tr>
      <w:tr>
        <w:trPr>
          <w:trHeight w:val="210"/>
        </w:trPr>
        <w:tc>
          <w:tcPr>
            <w:tcW w:w="74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stockholders’ equity</w:t>
            </w: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363,049</w:t>
            </w:r>
          </w:p>
        </w:tc>
        <w:tc>
          <w:tcPr>
            <w:tcW w:w="3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429,845</w:t>
            </w:r>
          </w:p>
        </w:tc>
        <w:tc>
          <w:tcPr>
            <w:tcW w:w="100" w:type="dxa"/>
            <w:vAlign w:val="bottom"/>
            <w:tcBorders>
              <w:top w:val="single" w:sz="8" w:color="CFF0FC"/>
            </w:tcBorders>
            <w:shd w:val="clear" w:color="auto" w:fill="CFF0FC"/>
          </w:tcPr>
          <w:p>
            <w:pPr>
              <w:spacing w:after="0"/>
              <w:rPr>
                <w:sz w:val="18"/>
                <w:szCs w:val="18"/>
                <w:color w:val="auto"/>
              </w:rPr>
            </w:pPr>
          </w:p>
        </w:tc>
      </w:tr>
      <w:tr>
        <w:trPr>
          <w:trHeight w:val="209"/>
        </w:trPr>
        <w:tc>
          <w:tcPr>
            <w:tcW w:w="7480" w:type="dxa"/>
            <w:vAlign w:val="bottom"/>
          </w:tcPr>
          <w:p>
            <w:pPr>
              <w:ind w:left="500"/>
              <w:spacing w:after="0"/>
              <w:rPr>
                <w:sz w:val="20"/>
                <w:szCs w:val="20"/>
                <w:color w:val="auto"/>
              </w:rPr>
            </w:pPr>
            <w:r>
              <w:rPr>
                <w:rFonts w:ascii="Arial" w:cs="Arial" w:eastAsia="Arial" w:hAnsi="Arial"/>
                <w:sz w:val="17"/>
                <w:szCs w:val="17"/>
                <w:color w:val="auto"/>
              </w:rPr>
              <w:t>Total liabilities and stockholders’ equity</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380,183</w:t>
            </w:r>
          </w:p>
        </w:tc>
        <w:tc>
          <w:tcPr>
            <w:tcW w:w="300" w:type="dxa"/>
            <w:vAlign w:val="bottom"/>
          </w:tcPr>
          <w:p>
            <w:pPr>
              <w:spacing w:after="0"/>
              <w:rPr>
                <w:sz w:val="18"/>
                <w:szCs w:val="18"/>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436,054</w:t>
            </w:r>
          </w:p>
        </w:tc>
        <w:tc>
          <w:tcPr>
            <w:tcW w:w="10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4"/>
              </w:rPr>
              <w:t>Year Ended December 31,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14,809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related-party revenue</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83,555</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44,845</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(83,555)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(404)</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Loss on early debt extinguishment</w:t>
            </w: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(621)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(83,484)</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(45,499)</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(83,463)</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(45,740)</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Cumulative dividends allocated to preferred stockholders</w:t>
            </w: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(5,202)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4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196"/>
        </w:trPr>
        <w:tc>
          <w:tcPr>
            <w:tcW w:w="66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of common stock used to compute net</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per share attributable to common stockholders, basic and</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40,308,050</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18,485,343</w:t>
            </w:r>
          </w:p>
        </w:tc>
        <w:tc>
          <w:tcPr>
            <w:tcW w:w="2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3,076,461</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Convertible Preferred Stock and Stockholders’ Equity (Deficit)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8863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488632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216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Convertible Preferred</w:t>
            </w: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3120" w:type="dxa"/>
            <w:vAlign w:val="bottom"/>
            <w:vMerge w:val="restart"/>
          </w:tcPr>
          <w:p>
            <w:pPr>
              <w:spacing w:after="0"/>
              <w:rPr>
                <w:sz w:val="20"/>
                <w:szCs w:val="20"/>
                <w:color w:val="auto"/>
              </w:rPr>
            </w:pPr>
            <w:r>
              <w:rPr>
                <w:rFonts w:ascii="Arial" w:cs="Arial" w:eastAsia="Arial" w:hAnsi="Arial"/>
                <w:sz w:val="15"/>
                <w:szCs w:val="15"/>
                <w:b w:val="1"/>
                <w:bCs w:val="1"/>
                <w:color w:val="auto"/>
              </w:rPr>
              <w:t>Balance as of December 31, 2018</w:t>
            </w:r>
          </w:p>
        </w:tc>
        <w:tc>
          <w:tcPr>
            <w:tcW w:w="12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69"/>
        </w:trPr>
        <w:tc>
          <w:tcPr>
            <w:tcW w:w="3120" w:type="dxa"/>
            <w:vAlign w:val="bottom"/>
            <w:vMerge w:val="continue"/>
          </w:tcPr>
          <w:p>
            <w:pPr>
              <w:spacing w:after="0"/>
              <w:rPr>
                <w:sz w:val="14"/>
                <w:szCs w:val="14"/>
                <w:color w:val="auto"/>
              </w:rPr>
            </w:pPr>
          </w:p>
        </w:tc>
        <w:tc>
          <w:tcPr>
            <w:tcW w:w="10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9,297,081</w:t>
            </w:r>
          </w:p>
        </w:tc>
        <w:tc>
          <w:tcPr>
            <w:tcW w:w="160" w:type="dxa"/>
            <w:vAlign w:val="bottom"/>
          </w:tcPr>
          <w:p>
            <w:pPr>
              <w:spacing w:after="0"/>
              <w:rPr>
                <w:sz w:val="14"/>
                <w:szCs w:val="14"/>
                <w:color w:val="auto"/>
              </w:rPr>
            </w:pPr>
          </w:p>
        </w:tc>
        <w:tc>
          <w:tcPr>
            <w:tcW w:w="1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60,933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Arial" w:cs="Arial" w:eastAsia="Arial" w:hAnsi="Arial"/>
                <w:sz w:val="15"/>
                <w:szCs w:val="15"/>
                <w:color w:val="auto"/>
              </w:rPr>
              <w:t>Issuance of convertible</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20"/>
              <w:spacing w:after="0" w:line="162" w:lineRule="exact"/>
              <w:rPr>
                <w:sz w:val="20"/>
                <w:szCs w:val="20"/>
                <w:color w:val="auto"/>
              </w:rPr>
            </w:pPr>
            <w:r>
              <w:rPr>
                <w:rFonts w:ascii="Arial" w:cs="Arial" w:eastAsia="Arial" w:hAnsi="Arial"/>
                <w:sz w:val="15"/>
                <w:szCs w:val="15"/>
                <w:color w:val="auto"/>
              </w:rPr>
              <w:t>preferred stock, net of</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120"/>
              <w:spacing w:after="0"/>
              <w:rPr>
                <w:sz w:val="20"/>
                <w:szCs w:val="20"/>
                <w:color w:val="auto"/>
              </w:rPr>
            </w:pPr>
            <w:r>
              <w:rPr>
                <w:rFonts w:ascii="Arial" w:cs="Arial" w:eastAsia="Arial" w:hAnsi="Arial"/>
                <w:sz w:val="15"/>
                <w:szCs w:val="15"/>
                <w:color w:val="auto"/>
              </w:rPr>
              <w:t>issuance costs</w:t>
            </w:r>
          </w:p>
        </w:tc>
        <w:tc>
          <w:tcPr>
            <w:tcW w:w="1080" w:type="dxa"/>
            <w:vAlign w:val="bottom"/>
          </w:tcPr>
          <w:p>
            <w:pPr>
              <w:jc w:val="right"/>
              <w:spacing w:after="0"/>
              <w:rPr>
                <w:sz w:val="20"/>
                <w:szCs w:val="20"/>
                <w:color w:val="auto"/>
              </w:rPr>
            </w:pPr>
            <w:r>
              <w:rPr>
                <w:rFonts w:ascii="Arial" w:cs="Arial" w:eastAsia="Arial" w:hAnsi="Arial"/>
                <w:sz w:val="15"/>
                <w:szCs w:val="15"/>
                <w:color w:val="auto"/>
              </w:rPr>
              <w:t>1,016,727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9,430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Arial" w:cs="Arial" w:eastAsia="Arial" w:hAnsi="Arial"/>
                <w:sz w:val="15"/>
                <w:szCs w:val="15"/>
                <w:color w:val="auto"/>
              </w:rPr>
              <w:t>Issuance of common stock</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120"/>
              <w:spacing w:after="0"/>
              <w:rPr>
                <w:sz w:val="20"/>
                <w:szCs w:val="20"/>
                <w:color w:val="auto"/>
              </w:rPr>
            </w:pPr>
            <w:r>
              <w:rPr>
                <w:rFonts w:ascii="Arial" w:cs="Arial" w:eastAsia="Arial" w:hAnsi="Arial"/>
                <w:sz w:val="15"/>
                <w:szCs w:val="15"/>
                <w:color w:val="auto"/>
              </w:rPr>
              <w:t>under equity incentive plans</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Arial" w:cs="Arial" w:eastAsia="Arial" w:hAnsi="Arial"/>
                <w:sz w:val="15"/>
                <w:szCs w:val="15"/>
                <w:color w:val="auto"/>
              </w:rPr>
              <w:t>Vesting of early exercised stock</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120"/>
              <w:spacing w:after="0"/>
              <w:rPr>
                <w:sz w:val="20"/>
                <w:szCs w:val="20"/>
                <w:color w:val="auto"/>
              </w:rPr>
            </w:pPr>
            <w:r>
              <w:rPr>
                <w:rFonts w:ascii="Arial" w:cs="Arial" w:eastAsia="Arial" w:hAnsi="Arial"/>
                <w:sz w:val="15"/>
                <w:szCs w:val="15"/>
                <w:color w:val="auto"/>
              </w:rPr>
              <w:t>options</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312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Net loss</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120" w:type="dxa"/>
            <w:vAlign w:val="bottom"/>
          </w:tcPr>
          <w:p>
            <w:pPr>
              <w:spacing w:after="0" w:line="169" w:lineRule="exact"/>
              <w:rPr>
                <w:sz w:val="20"/>
                <w:szCs w:val="20"/>
                <w:color w:val="auto"/>
              </w:rPr>
            </w:pPr>
            <w:r>
              <w:rPr>
                <w:rFonts w:ascii="Arial" w:cs="Arial" w:eastAsia="Arial" w:hAnsi="Arial"/>
                <w:sz w:val="15"/>
                <w:szCs w:val="15"/>
                <w:b w:val="1"/>
                <w:bCs w:val="1"/>
                <w:color w:val="auto"/>
              </w:rPr>
              <w:t>Balance as of December 31, 2019</w:t>
            </w:r>
          </w:p>
        </w:tc>
        <w:tc>
          <w:tcPr>
            <w:tcW w:w="10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10,313,808</w:t>
            </w: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70,363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Arial" w:cs="Arial" w:eastAsia="Arial" w:hAnsi="Arial"/>
                <w:sz w:val="15"/>
                <w:szCs w:val="15"/>
                <w:color w:val="auto"/>
              </w:rPr>
              <w:t>Issuance of convertible</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20"/>
              <w:spacing w:after="0" w:line="162" w:lineRule="exact"/>
              <w:rPr>
                <w:sz w:val="20"/>
                <w:szCs w:val="20"/>
                <w:color w:val="auto"/>
              </w:rPr>
            </w:pPr>
            <w:r>
              <w:rPr>
                <w:rFonts w:ascii="Arial" w:cs="Arial" w:eastAsia="Arial" w:hAnsi="Arial"/>
                <w:sz w:val="15"/>
                <w:szCs w:val="15"/>
                <w:color w:val="auto"/>
              </w:rPr>
              <w:t>preferred stock, net of</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120"/>
              <w:spacing w:after="0"/>
              <w:rPr>
                <w:sz w:val="20"/>
                <w:szCs w:val="20"/>
                <w:color w:val="auto"/>
              </w:rPr>
            </w:pPr>
            <w:r>
              <w:rPr>
                <w:rFonts w:ascii="Arial" w:cs="Arial" w:eastAsia="Arial" w:hAnsi="Arial"/>
                <w:sz w:val="15"/>
                <w:szCs w:val="15"/>
                <w:color w:val="auto"/>
              </w:rPr>
              <w:t>issuance costs</w:t>
            </w:r>
          </w:p>
        </w:tc>
        <w:tc>
          <w:tcPr>
            <w:tcW w:w="1080" w:type="dxa"/>
            <w:vAlign w:val="bottom"/>
          </w:tcPr>
          <w:p>
            <w:pPr>
              <w:jc w:val="right"/>
              <w:spacing w:after="0"/>
              <w:rPr>
                <w:sz w:val="20"/>
                <w:szCs w:val="20"/>
                <w:color w:val="auto"/>
              </w:rPr>
            </w:pPr>
            <w:r>
              <w:rPr>
                <w:rFonts w:ascii="Arial" w:cs="Arial" w:eastAsia="Arial" w:hAnsi="Arial"/>
                <w:sz w:val="15"/>
                <w:szCs w:val="15"/>
                <w:color w:val="auto"/>
              </w:rPr>
              <w:t>11,055,966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104,680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Arial" w:cs="Arial" w:eastAsia="Arial" w:hAnsi="Arial"/>
                <w:sz w:val="15"/>
                <w:szCs w:val="15"/>
                <w:color w:val="auto"/>
              </w:rPr>
              <w:t>Reclassification of warrants</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120"/>
              <w:spacing w:after="0"/>
              <w:rPr>
                <w:sz w:val="20"/>
                <w:szCs w:val="20"/>
                <w:color w:val="auto"/>
              </w:rPr>
            </w:pPr>
            <w:r>
              <w:rPr>
                <w:rFonts w:ascii="Arial" w:cs="Arial" w:eastAsia="Arial" w:hAnsi="Arial"/>
                <w:sz w:val="15"/>
                <w:szCs w:val="15"/>
                <w:color w:val="auto"/>
              </w:rPr>
              <w:t>from liability to equity</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Arial" w:cs="Arial" w:eastAsia="Arial" w:hAnsi="Arial"/>
                <w:sz w:val="15"/>
                <w:szCs w:val="15"/>
                <w:color w:val="auto"/>
              </w:rPr>
              <w:t>Conversion of convertible</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20"/>
              <w:spacing w:after="0" w:line="162" w:lineRule="exact"/>
              <w:rPr>
                <w:sz w:val="20"/>
                <w:szCs w:val="20"/>
                <w:color w:val="auto"/>
              </w:rPr>
            </w:pPr>
            <w:r>
              <w:rPr>
                <w:rFonts w:ascii="Arial" w:cs="Arial" w:eastAsia="Arial" w:hAnsi="Arial"/>
                <w:sz w:val="15"/>
                <w:szCs w:val="15"/>
                <w:color w:val="auto"/>
              </w:rPr>
              <w:t>preferred stock into</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120"/>
              <w:spacing w:after="0"/>
              <w:rPr>
                <w:sz w:val="20"/>
                <w:szCs w:val="20"/>
                <w:color w:val="auto"/>
              </w:rPr>
            </w:pPr>
            <w:r>
              <w:rPr>
                <w:rFonts w:ascii="Arial" w:cs="Arial" w:eastAsia="Arial" w:hAnsi="Arial"/>
                <w:sz w:val="15"/>
                <w:szCs w:val="15"/>
                <w:color w:val="auto"/>
              </w:rPr>
              <w:t>common stock</w:t>
            </w:r>
          </w:p>
        </w:tc>
        <w:tc>
          <w:tcPr>
            <w:tcW w:w="1240" w:type="dxa"/>
            <w:vAlign w:val="bottom"/>
            <w:gridSpan w:val="2"/>
          </w:tcPr>
          <w:p>
            <w:pPr>
              <w:jc w:val="right"/>
              <w:ind w:right="120"/>
              <w:spacing w:after="0"/>
              <w:rPr>
                <w:sz w:val="20"/>
                <w:szCs w:val="20"/>
                <w:color w:val="auto"/>
              </w:rPr>
            </w:pPr>
            <w:r>
              <w:rPr>
                <w:rFonts w:ascii="Arial" w:cs="Arial" w:eastAsia="Arial" w:hAnsi="Arial"/>
                <w:sz w:val="15"/>
                <w:szCs w:val="15"/>
                <w:color w:val="auto"/>
              </w:rPr>
              <w:t>(21,369,774)</w:t>
            </w:r>
          </w:p>
        </w:tc>
        <w:tc>
          <w:tcPr>
            <w:tcW w:w="1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(175,043)</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Cumulative dividends</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Arial" w:cs="Arial" w:eastAsia="Arial" w:hAnsi="Arial"/>
                <w:sz w:val="15"/>
                <w:szCs w:val="15"/>
                <w:color w:val="auto"/>
              </w:rPr>
              <w:t>Issuance of common stock in</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20"/>
              <w:spacing w:after="0" w:line="162" w:lineRule="exact"/>
              <w:rPr>
                <w:sz w:val="20"/>
                <w:szCs w:val="20"/>
                <w:color w:val="auto"/>
              </w:rPr>
            </w:pPr>
            <w:r>
              <w:rPr>
                <w:rFonts w:ascii="Arial" w:cs="Arial" w:eastAsia="Arial" w:hAnsi="Arial"/>
                <w:sz w:val="15"/>
                <w:szCs w:val="15"/>
                <w:color w:val="auto"/>
              </w:rPr>
              <w:t>connection with equity</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20"/>
              <w:spacing w:after="0" w:line="162" w:lineRule="exact"/>
              <w:rPr>
                <w:sz w:val="20"/>
                <w:szCs w:val="20"/>
                <w:color w:val="auto"/>
              </w:rPr>
            </w:pPr>
            <w:r>
              <w:rPr>
                <w:rFonts w:ascii="Arial" w:cs="Arial" w:eastAsia="Arial" w:hAnsi="Arial"/>
                <w:sz w:val="15"/>
                <w:szCs w:val="15"/>
                <w:color w:val="auto"/>
              </w:rPr>
              <w:t>offerings, net of underwriter</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120"/>
              <w:spacing w:after="0"/>
              <w:rPr>
                <w:sz w:val="20"/>
                <w:szCs w:val="20"/>
                <w:color w:val="auto"/>
              </w:rPr>
            </w:pPr>
            <w:r>
              <w:rPr>
                <w:rFonts w:ascii="Arial" w:cs="Arial" w:eastAsia="Arial" w:hAnsi="Arial"/>
                <w:sz w:val="15"/>
                <w:szCs w:val="15"/>
                <w:color w:val="auto"/>
              </w:rPr>
              <w:t>discounts and issuance costs</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Arial" w:cs="Arial" w:eastAsia="Arial" w:hAnsi="Arial"/>
                <w:sz w:val="15"/>
                <w:szCs w:val="15"/>
                <w:color w:val="auto"/>
              </w:rPr>
              <w:t>Issuance of common stock</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120"/>
              <w:spacing w:after="0"/>
              <w:rPr>
                <w:sz w:val="20"/>
                <w:szCs w:val="20"/>
                <w:color w:val="auto"/>
              </w:rPr>
            </w:pPr>
            <w:r>
              <w:rPr>
                <w:rFonts w:ascii="Arial" w:cs="Arial" w:eastAsia="Arial" w:hAnsi="Arial"/>
                <w:sz w:val="15"/>
                <w:szCs w:val="15"/>
                <w:color w:val="auto"/>
              </w:rPr>
              <w:t>upon net exercise of warrants</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Arial" w:cs="Arial" w:eastAsia="Arial" w:hAnsi="Arial"/>
                <w:sz w:val="15"/>
                <w:szCs w:val="15"/>
                <w:color w:val="auto"/>
              </w:rPr>
              <w:t>Issuance of common stock</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120"/>
              <w:spacing w:after="0"/>
              <w:rPr>
                <w:sz w:val="20"/>
                <w:szCs w:val="20"/>
                <w:color w:val="auto"/>
              </w:rPr>
            </w:pPr>
            <w:r>
              <w:rPr>
                <w:rFonts w:ascii="Arial" w:cs="Arial" w:eastAsia="Arial" w:hAnsi="Arial"/>
                <w:sz w:val="15"/>
                <w:szCs w:val="15"/>
                <w:color w:val="auto"/>
              </w:rPr>
              <w:t>under equity incentive plans</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Arial" w:cs="Arial" w:eastAsia="Arial" w:hAnsi="Arial"/>
                <w:sz w:val="15"/>
                <w:szCs w:val="15"/>
                <w:color w:val="auto"/>
              </w:rPr>
              <w:t>Vesting of early exercised stock</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120"/>
              <w:spacing w:after="0"/>
              <w:rPr>
                <w:sz w:val="20"/>
                <w:szCs w:val="20"/>
                <w:color w:val="auto"/>
              </w:rPr>
            </w:pPr>
            <w:r>
              <w:rPr>
                <w:rFonts w:ascii="Arial" w:cs="Arial" w:eastAsia="Arial" w:hAnsi="Arial"/>
                <w:sz w:val="15"/>
                <w:szCs w:val="15"/>
                <w:color w:val="auto"/>
              </w:rPr>
              <w:t>options</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Net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line="169" w:lineRule="exact"/>
              <w:rPr>
                <w:sz w:val="20"/>
                <w:szCs w:val="20"/>
                <w:color w:val="auto"/>
              </w:rPr>
            </w:pPr>
            <w:r>
              <w:rPr>
                <w:rFonts w:ascii="Arial" w:cs="Arial" w:eastAsia="Arial" w:hAnsi="Arial"/>
                <w:sz w:val="15"/>
                <w:szCs w:val="15"/>
                <w:b w:val="1"/>
                <w:bCs w:val="1"/>
                <w:color w:val="auto"/>
              </w:rPr>
              <w:t>Balance as of December 31, 2020</w:t>
            </w:r>
          </w:p>
        </w:tc>
        <w:tc>
          <w:tcPr>
            <w:tcW w:w="12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Arial" w:cs="Arial" w:eastAsia="Arial" w:hAnsi="Arial"/>
                <w:sz w:val="15"/>
                <w:szCs w:val="15"/>
                <w:color w:val="auto"/>
              </w:rPr>
              <w:t>Issuance of common stock</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120"/>
              <w:spacing w:after="0"/>
              <w:rPr>
                <w:sz w:val="20"/>
                <w:szCs w:val="20"/>
                <w:color w:val="auto"/>
              </w:rPr>
            </w:pPr>
            <w:r>
              <w:rPr>
                <w:rFonts w:ascii="Arial" w:cs="Arial" w:eastAsia="Arial" w:hAnsi="Arial"/>
                <w:sz w:val="15"/>
                <w:szCs w:val="15"/>
                <w:color w:val="auto"/>
              </w:rPr>
              <w:t>under equity incentive plans</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Arial" w:cs="Arial" w:eastAsia="Arial" w:hAnsi="Arial"/>
                <w:sz w:val="15"/>
                <w:szCs w:val="15"/>
                <w:color w:val="auto"/>
              </w:rPr>
              <w:t>Issuance of common stock under</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80"/>
              <w:spacing w:after="0"/>
              <w:rPr>
                <w:sz w:val="20"/>
                <w:szCs w:val="20"/>
                <w:color w:val="auto"/>
              </w:rPr>
            </w:pPr>
            <w:r>
              <w:rPr>
                <w:rFonts w:ascii="Arial" w:cs="Arial" w:eastAsia="Arial" w:hAnsi="Arial"/>
                <w:sz w:val="15"/>
                <w:szCs w:val="15"/>
                <w:color w:val="auto"/>
              </w:rPr>
              <w:t>employee stock purchase plan</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20"/>
                <w:szCs w:val="20"/>
                <w:color w:val="auto"/>
              </w:rPr>
            </w:pPr>
            <w:r>
              <w:rPr>
                <w:rFonts w:ascii="Arial" w:cs="Arial" w:eastAsia="Arial" w:hAnsi="Arial"/>
                <w:sz w:val="15"/>
                <w:szCs w:val="15"/>
                <w:color w:val="auto"/>
              </w:rPr>
              <w:t>Net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line="169" w:lineRule="exact"/>
              <w:rPr>
                <w:sz w:val="20"/>
                <w:szCs w:val="20"/>
                <w:color w:val="auto"/>
              </w:rPr>
            </w:pPr>
            <w:r>
              <w:rPr>
                <w:rFonts w:ascii="Arial" w:cs="Arial" w:eastAsia="Arial" w:hAnsi="Arial"/>
                <w:sz w:val="15"/>
                <w:szCs w:val="15"/>
                <w:b w:val="1"/>
                <w:bCs w:val="1"/>
                <w:color w:val="auto"/>
              </w:rPr>
              <w:t>Balance as of December 31, 2021</w:t>
            </w:r>
          </w:p>
        </w:tc>
        <w:tc>
          <w:tcPr>
            <w:tcW w:w="12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Stockholders' Equity (Deficit)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0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80"/>
              <w:spacing w:after="0" w:line="143" w:lineRule="exact"/>
              <w:rPr>
                <w:sz w:val="20"/>
                <w:szCs w:val="20"/>
                <w:color w:val="auto"/>
              </w:rPr>
            </w:pPr>
            <w:r>
              <w:rPr>
                <w:rFonts w:ascii="Arial" w:cs="Arial" w:eastAsia="Arial" w:hAnsi="Arial"/>
                <w:sz w:val="13"/>
                <w:szCs w:val="13"/>
                <w:b w:val="1"/>
                <w:bCs w:val="1"/>
                <w:color w:val="auto"/>
                <w:w w:val="97"/>
              </w:rPr>
              <w:t>Additional</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85"/>
              <w:spacing w:after="0" w:line="143" w:lineRule="exact"/>
              <w:rPr>
                <w:sz w:val="20"/>
                <w:szCs w:val="20"/>
                <w:color w:val="auto"/>
              </w:rPr>
            </w:pPr>
            <w:r>
              <w:rPr>
                <w:rFonts w:ascii="Arial" w:cs="Arial" w:eastAsia="Arial" w:hAnsi="Arial"/>
                <w:sz w:val="13"/>
                <w:szCs w:val="13"/>
                <w:b w:val="1"/>
                <w:bCs w:val="1"/>
                <w:color w:val="auto"/>
                <w:w w:val="96"/>
              </w:rPr>
              <w:t>Total</w:t>
            </w:r>
          </w:p>
        </w:tc>
        <w:tc>
          <w:tcPr>
            <w:tcW w:w="60" w:type="dxa"/>
            <w:vAlign w:val="bottom"/>
          </w:tcPr>
          <w:p>
            <w:pPr>
              <w:spacing w:after="0"/>
              <w:rPr>
                <w:sz w:val="12"/>
                <w:szCs w:val="12"/>
                <w:color w:val="auto"/>
              </w:rPr>
            </w:pPr>
          </w:p>
        </w:tc>
      </w:tr>
      <w:tr>
        <w:trPr>
          <w:trHeight w:val="161"/>
        </w:trPr>
        <w:tc>
          <w:tcPr>
            <w:tcW w:w="184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Stockholders'</w:t>
            </w:r>
          </w:p>
        </w:tc>
      </w:tr>
      <w:tr>
        <w:trPr>
          <w:trHeight w:val="156"/>
        </w:trPr>
        <w:tc>
          <w:tcPr>
            <w:tcW w:w="102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98"/>
              </w:rPr>
              <w:t>Equity (Deficit)</w:t>
            </w:r>
          </w:p>
        </w:tc>
        <w:tc>
          <w:tcPr>
            <w:tcW w:w="60" w:type="dxa"/>
            <w:vAlign w:val="bottom"/>
          </w:tcPr>
          <w:p>
            <w:pPr>
              <w:spacing w:after="0"/>
              <w:rPr>
                <w:sz w:val="13"/>
                <w:szCs w:val="13"/>
                <w:color w:val="auto"/>
              </w:rPr>
            </w:pPr>
          </w:p>
        </w:tc>
      </w:tr>
      <w:tr>
        <w:trPr>
          <w:trHeight w:val="188"/>
        </w:trPr>
        <w:tc>
          <w:tcPr>
            <w:tcW w:w="1020" w:type="dxa"/>
            <w:vAlign w:val="bottom"/>
          </w:tcPr>
          <w:p>
            <w:pPr>
              <w:jc w:val="right"/>
              <w:spacing w:after="0"/>
              <w:rPr>
                <w:sz w:val="20"/>
                <w:szCs w:val="20"/>
                <w:color w:val="auto"/>
              </w:rPr>
            </w:pPr>
            <w:r>
              <w:rPr>
                <w:rFonts w:ascii="Arial" w:cs="Arial" w:eastAsia="Arial" w:hAnsi="Arial"/>
                <w:sz w:val="15"/>
                <w:szCs w:val="15"/>
                <w:color w:val="auto"/>
              </w:rPr>
              <w:t>3,161,747</w:t>
            </w:r>
          </w:p>
        </w:tc>
        <w:tc>
          <w:tcPr>
            <w:tcW w:w="160" w:type="dxa"/>
            <w:vAlign w:val="bottom"/>
          </w:tcPr>
          <w:p>
            <w:pPr>
              <w:spacing w:after="0"/>
              <w:rPr>
                <w:sz w:val="16"/>
                <w:szCs w:val="16"/>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3</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1,758</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(53,539)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(51,778)</w:t>
            </w:r>
          </w:p>
        </w:tc>
      </w:tr>
      <w:tr>
        <w:trPr>
          <w:trHeight w:val="499"/>
        </w:trPr>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338"/>
        </w:trPr>
        <w:tc>
          <w:tcPr>
            <w:tcW w:w="1020" w:type="dxa"/>
            <w:vAlign w:val="bottom"/>
          </w:tcPr>
          <w:p>
            <w:pPr>
              <w:jc w:val="right"/>
              <w:spacing w:after="0"/>
              <w:rPr>
                <w:sz w:val="20"/>
                <w:szCs w:val="20"/>
                <w:color w:val="auto"/>
              </w:rPr>
            </w:pPr>
            <w:r>
              <w:rPr>
                <w:rFonts w:ascii="Arial" w:cs="Arial" w:eastAsia="Arial" w:hAnsi="Arial"/>
                <w:sz w:val="15"/>
                <w:szCs w:val="15"/>
                <w:color w:val="auto"/>
              </w:rPr>
              <w:t>5,199</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w:t>
            </w:r>
          </w:p>
        </w:tc>
        <w:tc>
          <w:tcPr>
            <w:tcW w:w="60" w:type="dxa"/>
            <w:vAlign w:val="bottom"/>
          </w:tcPr>
          <w:p>
            <w:pPr>
              <w:spacing w:after="0"/>
              <w:rPr>
                <w:sz w:val="24"/>
                <w:szCs w:val="24"/>
                <w:color w:val="auto"/>
              </w:rPr>
            </w:pPr>
          </w:p>
        </w:tc>
      </w:tr>
      <w:tr>
        <w:trPr>
          <w:trHeight w:val="319"/>
        </w:trPr>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75</w:t>
            </w:r>
          </w:p>
        </w:tc>
        <w:tc>
          <w:tcPr>
            <w:tcW w:w="60" w:type="dxa"/>
            <w:vAlign w:val="bottom"/>
          </w:tcPr>
          <w:p>
            <w:pPr>
              <w:spacing w:after="0"/>
              <w:rPr>
                <w:sz w:val="24"/>
                <w:szCs w:val="24"/>
                <w:color w:val="auto"/>
              </w:rPr>
            </w:pPr>
          </w:p>
        </w:tc>
      </w:tr>
      <w:tr>
        <w:trPr>
          <w:trHeight w:val="176"/>
        </w:trPr>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297</w:t>
            </w:r>
          </w:p>
        </w:tc>
        <w:tc>
          <w:tcPr>
            <w:tcW w:w="60" w:type="dxa"/>
            <w:vAlign w:val="bottom"/>
          </w:tcPr>
          <w:p>
            <w:pPr>
              <w:spacing w:after="0"/>
              <w:rPr>
                <w:sz w:val="15"/>
                <w:szCs w:val="15"/>
                <w:color w:val="auto"/>
              </w:rPr>
            </w:pPr>
          </w:p>
        </w:tc>
      </w:tr>
      <w:tr>
        <w:trPr>
          <w:trHeight w:val="175"/>
        </w:trPr>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(19,243)</w:t>
            </w:r>
          </w:p>
        </w:tc>
        <w:tc>
          <w:tcPr>
            <w:tcW w:w="1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(19,243)</w:t>
            </w:r>
          </w:p>
        </w:tc>
      </w:tr>
      <w:tr>
        <w:trPr>
          <w:trHeight w:val="20"/>
        </w:trPr>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8"/>
        </w:trPr>
        <w:tc>
          <w:tcPr>
            <w:tcW w:w="1020" w:type="dxa"/>
            <w:vAlign w:val="bottom"/>
          </w:tcPr>
          <w:p>
            <w:pPr>
              <w:jc w:val="right"/>
              <w:spacing w:after="0"/>
              <w:rPr>
                <w:sz w:val="20"/>
                <w:szCs w:val="20"/>
                <w:color w:val="auto"/>
              </w:rPr>
            </w:pPr>
            <w:r>
              <w:rPr>
                <w:rFonts w:ascii="Arial" w:cs="Arial" w:eastAsia="Arial" w:hAnsi="Arial"/>
                <w:sz w:val="15"/>
                <w:szCs w:val="15"/>
                <w:color w:val="auto"/>
              </w:rPr>
              <w:t>3,166,946</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2,140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(72,782)</w:t>
            </w:r>
          </w:p>
        </w:tc>
        <w:tc>
          <w:tcPr>
            <w:tcW w:w="1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(70,639)</w:t>
            </w:r>
          </w:p>
        </w:tc>
      </w:tr>
      <w:tr>
        <w:trPr>
          <w:trHeight w:val="500"/>
        </w:trPr>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338"/>
        </w:trPr>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1,019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1,019</w:t>
            </w:r>
          </w:p>
        </w:tc>
        <w:tc>
          <w:tcPr>
            <w:tcW w:w="60" w:type="dxa"/>
            <w:vAlign w:val="bottom"/>
          </w:tcPr>
          <w:p>
            <w:pPr>
              <w:spacing w:after="0"/>
              <w:rPr>
                <w:sz w:val="24"/>
                <w:szCs w:val="24"/>
                <w:color w:val="auto"/>
              </w:rPr>
            </w:pPr>
          </w:p>
        </w:tc>
      </w:tr>
      <w:tr>
        <w:trPr>
          <w:trHeight w:val="481"/>
        </w:trPr>
        <w:tc>
          <w:tcPr>
            <w:tcW w:w="1020" w:type="dxa"/>
            <w:vAlign w:val="bottom"/>
          </w:tcPr>
          <w:p>
            <w:pPr>
              <w:jc w:val="right"/>
              <w:spacing w:after="0"/>
              <w:rPr>
                <w:sz w:val="20"/>
                <w:szCs w:val="20"/>
                <w:color w:val="auto"/>
              </w:rPr>
            </w:pPr>
            <w:r>
              <w:rPr>
                <w:rFonts w:ascii="Arial" w:cs="Arial" w:eastAsia="Arial" w:hAnsi="Arial"/>
                <w:sz w:val="15"/>
                <w:szCs w:val="15"/>
                <w:color w:val="auto"/>
              </w:rPr>
              <w:t>21,369,774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83"/>
              </w:rPr>
              <w:t>21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175,022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175,043</w:t>
            </w:r>
          </w:p>
        </w:tc>
        <w:tc>
          <w:tcPr>
            <w:tcW w:w="60" w:type="dxa"/>
            <w:vAlign w:val="bottom"/>
          </w:tcPr>
          <w:p>
            <w:pPr>
              <w:spacing w:after="0"/>
              <w:rPr>
                <w:sz w:val="24"/>
                <w:szCs w:val="24"/>
                <w:color w:val="auto"/>
              </w:rPr>
            </w:pPr>
          </w:p>
        </w:tc>
      </w:tr>
      <w:tr>
        <w:trPr>
          <w:trHeight w:val="194"/>
        </w:trPr>
        <w:tc>
          <w:tcPr>
            <w:tcW w:w="1020" w:type="dxa"/>
            <w:vAlign w:val="bottom"/>
          </w:tcPr>
          <w:p>
            <w:pPr>
              <w:jc w:val="right"/>
              <w:spacing w:after="0"/>
              <w:rPr>
                <w:sz w:val="20"/>
                <w:szCs w:val="20"/>
                <w:color w:val="auto"/>
              </w:rPr>
            </w:pPr>
            <w:r>
              <w:rPr>
                <w:rFonts w:ascii="Arial" w:cs="Arial" w:eastAsia="Arial" w:hAnsi="Arial"/>
                <w:sz w:val="15"/>
                <w:szCs w:val="15"/>
                <w:color w:val="auto"/>
              </w:rPr>
              <w:t>2,564,759</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661"/>
        </w:trPr>
        <w:tc>
          <w:tcPr>
            <w:tcW w:w="1020" w:type="dxa"/>
            <w:vAlign w:val="bottom"/>
          </w:tcPr>
          <w:p>
            <w:pPr>
              <w:jc w:val="right"/>
              <w:spacing w:after="0"/>
              <w:rPr>
                <w:sz w:val="20"/>
                <w:szCs w:val="20"/>
                <w:color w:val="auto"/>
              </w:rPr>
            </w:pPr>
            <w:r>
              <w:rPr>
                <w:rFonts w:ascii="Arial" w:cs="Arial" w:eastAsia="Arial" w:hAnsi="Arial"/>
                <w:sz w:val="15"/>
                <w:szCs w:val="15"/>
                <w:color w:val="auto"/>
              </w:rPr>
              <w:t>12,512,000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83"/>
              </w:rPr>
              <w:t>13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364,387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364,400</w:t>
            </w:r>
          </w:p>
        </w:tc>
        <w:tc>
          <w:tcPr>
            <w:tcW w:w="60" w:type="dxa"/>
            <w:vAlign w:val="bottom"/>
          </w:tcPr>
          <w:p>
            <w:pPr>
              <w:spacing w:after="0"/>
              <w:rPr>
                <w:sz w:val="24"/>
                <w:szCs w:val="24"/>
                <w:color w:val="auto"/>
              </w:rPr>
            </w:pPr>
          </w:p>
        </w:tc>
      </w:tr>
      <w:tr>
        <w:trPr>
          <w:trHeight w:val="338"/>
        </w:trPr>
        <w:tc>
          <w:tcPr>
            <w:tcW w:w="1020" w:type="dxa"/>
            <w:vAlign w:val="bottom"/>
          </w:tcPr>
          <w:p>
            <w:pPr>
              <w:jc w:val="right"/>
              <w:spacing w:after="0"/>
              <w:rPr>
                <w:sz w:val="20"/>
                <w:szCs w:val="20"/>
                <w:color w:val="auto"/>
              </w:rPr>
            </w:pPr>
            <w:r>
              <w:rPr>
                <w:rFonts w:ascii="Arial" w:cs="Arial" w:eastAsia="Arial" w:hAnsi="Arial"/>
                <w:sz w:val="15"/>
                <w:szCs w:val="15"/>
                <w:color w:val="auto"/>
              </w:rPr>
              <w:t>48,932</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338"/>
        </w:trPr>
        <w:tc>
          <w:tcPr>
            <w:tcW w:w="1020" w:type="dxa"/>
            <w:vAlign w:val="bottom"/>
          </w:tcPr>
          <w:p>
            <w:pPr>
              <w:jc w:val="right"/>
              <w:spacing w:after="0"/>
              <w:rPr>
                <w:sz w:val="20"/>
                <w:szCs w:val="20"/>
                <w:color w:val="auto"/>
              </w:rPr>
            </w:pPr>
            <w:r>
              <w:rPr>
                <w:rFonts w:ascii="Arial" w:cs="Arial" w:eastAsia="Arial" w:hAnsi="Arial"/>
                <w:sz w:val="15"/>
                <w:szCs w:val="15"/>
                <w:color w:val="auto"/>
              </w:rPr>
              <w:t>182,111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299</w:t>
            </w:r>
          </w:p>
        </w:tc>
        <w:tc>
          <w:tcPr>
            <w:tcW w:w="60" w:type="dxa"/>
            <w:vAlign w:val="bottom"/>
          </w:tcPr>
          <w:p>
            <w:pPr>
              <w:spacing w:after="0"/>
              <w:rPr>
                <w:sz w:val="24"/>
                <w:szCs w:val="24"/>
                <w:color w:val="auto"/>
              </w:rPr>
            </w:pPr>
          </w:p>
        </w:tc>
      </w:tr>
      <w:tr>
        <w:trPr>
          <w:trHeight w:val="319"/>
        </w:trPr>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27</w:t>
            </w:r>
          </w:p>
        </w:tc>
        <w:tc>
          <w:tcPr>
            <w:tcW w:w="60" w:type="dxa"/>
            <w:vAlign w:val="bottom"/>
          </w:tcPr>
          <w:p>
            <w:pPr>
              <w:spacing w:after="0"/>
              <w:rPr>
                <w:sz w:val="24"/>
                <w:szCs w:val="24"/>
                <w:color w:val="auto"/>
              </w:rPr>
            </w:pPr>
          </w:p>
        </w:tc>
      </w:tr>
      <w:tr>
        <w:trPr>
          <w:trHeight w:val="175"/>
        </w:trPr>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5,436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5,436</w:t>
            </w:r>
          </w:p>
        </w:tc>
        <w:tc>
          <w:tcPr>
            <w:tcW w:w="60" w:type="dxa"/>
            <w:vAlign w:val="bottom"/>
          </w:tcPr>
          <w:p>
            <w:pPr>
              <w:spacing w:after="0"/>
              <w:rPr>
                <w:sz w:val="15"/>
                <w:szCs w:val="15"/>
                <w:color w:val="auto"/>
              </w:rPr>
            </w:pPr>
          </w:p>
        </w:tc>
      </w:tr>
      <w:tr>
        <w:trPr>
          <w:trHeight w:val="175"/>
        </w:trPr>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(45,740)</w:t>
            </w:r>
          </w:p>
        </w:tc>
        <w:tc>
          <w:tcPr>
            <w:tcW w:w="1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(45,740)</w:t>
            </w:r>
          </w:p>
        </w:tc>
      </w:tr>
      <w:tr>
        <w:trPr>
          <w:trHeight w:val="20"/>
        </w:trPr>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8"/>
        </w:trPr>
        <w:tc>
          <w:tcPr>
            <w:tcW w:w="1020" w:type="dxa"/>
            <w:vAlign w:val="bottom"/>
          </w:tcPr>
          <w:p>
            <w:pPr>
              <w:jc w:val="right"/>
              <w:spacing w:after="0"/>
              <w:rPr>
                <w:sz w:val="20"/>
                <w:szCs w:val="20"/>
                <w:color w:val="auto"/>
              </w:rPr>
            </w:pPr>
            <w:r>
              <w:rPr>
                <w:rFonts w:ascii="Arial" w:cs="Arial" w:eastAsia="Arial" w:hAnsi="Arial"/>
                <w:sz w:val="15"/>
                <w:szCs w:val="15"/>
                <w:color w:val="auto"/>
              </w:rPr>
              <w:t>39,844,522</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83"/>
              </w:rPr>
              <w:t>40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548,327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(118,522)</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429,845</w:t>
            </w:r>
          </w:p>
        </w:tc>
        <w:tc>
          <w:tcPr>
            <w:tcW w:w="60" w:type="dxa"/>
            <w:vAlign w:val="bottom"/>
          </w:tcPr>
          <w:p>
            <w:pPr>
              <w:spacing w:after="0"/>
              <w:rPr>
                <w:sz w:val="16"/>
                <w:szCs w:val="16"/>
                <w:color w:val="auto"/>
              </w:rPr>
            </w:pPr>
          </w:p>
        </w:tc>
      </w:tr>
      <w:tr>
        <w:trPr>
          <w:trHeight w:val="338"/>
        </w:trPr>
        <w:tc>
          <w:tcPr>
            <w:tcW w:w="1020" w:type="dxa"/>
            <w:vAlign w:val="bottom"/>
          </w:tcPr>
          <w:p>
            <w:pPr>
              <w:jc w:val="right"/>
              <w:spacing w:after="0"/>
              <w:rPr>
                <w:sz w:val="20"/>
                <w:szCs w:val="20"/>
                <w:color w:val="auto"/>
              </w:rPr>
            </w:pPr>
            <w:r>
              <w:rPr>
                <w:rFonts w:ascii="Arial" w:cs="Arial" w:eastAsia="Arial" w:hAnsi="Arial"/>
                <w:sz w:val="15"/>
                <w:szCs w:val="15"/>
                <w:color w:val="auto"/>
              </w:rPr>
              <w:t>734,922</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2,550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2,551</w:t>
            </w:r>
          </w:p>
        </w:tc>
        <w:tc>
          <w:tcPr>
            <w:tcW w:w="60" w:type="dxa"/>
            <w:vAlign w:val="bottom"/>
          </w:tcPr>
          <w:p>
            <w:pPr>
              <w:spacing w:after="0"/>
              <w:rPr>
                <w:sz w:val="24"/>
                <w:szCs w:val="24"/>
                <w:color w:val="auto"/>
              </w:rPr>
            </w:pPr>
          </w:p>
        </w:tc>
      </w:tr>
      <w:tr>
        <w:trPr>
          <w:trHeight w:val="319"/>
        </w:trPr>
        <w:tc>
          <w:tcPr>
            <w:tcW w:w="1020" w:type="dxa"/>
            <w:vAlign w:val="bottom"/>
          </w:tcPr>
          <w:p>
            <w:pPr>
              <w:jc w:val="right"/>
              <w:spacing w:after="0"/>
              <w:rPr>
                <w:sz w:val="20"/>
                <w:szCs w:val="20"/>
                <w:color w:val="auto"/>
              </w:rPr>
            </w:pPr>
            <w:r>
              <w:rPr>
                <w:rFonts w:ascii="Arial" w:cs="Arial" w:eastAsia="Arial" w:hAnsi="Arial"/>
                <w:sz w:val="15"/>
                <w:szCs w:val="15"/>
                <w:color w:val="auto"/>
              </w:rPr>
              <w:t>7,623</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202</w:t>
            </w:r>
          </w:p>
        </w:tc>
        <w:tc>
          <w:tcPr>
            <w:tcW w:w="60" w:type="dxa"/>
            <w:vAlign w:val="bottom"/>
          </w:tcPr>
          <w:p>
            <w:pPr>
              <w:spacing w:after="0"/>
              <w:rPr>
                <w:sz w:val="24"/>
                <w:szCs w:val="24"/>
                <w:color w:val="auto"/>
              </w:rPr>
            </w:pPr>
          </w:p>
        </w:tc>
      </w:tr>
      <w:tr>
        <w:trPr>
          <w:trHeight w:val="175"/>
        </w:trPr>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13,914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13,914</w:t>
            </w:r>
          </w:p>
        </w:tc>
        <w:tc>
          <w:tcPr>
            <w:tcW w:w="60" w:type="dxa"/>
            <w:vAlign w:val="bottom"/>
          </w:tcPr>
          <w:p>
            <w:pPr>
              <w:spacing w:after="0"/>
              <w:rPr>
                <w:sz w:val="15"/>
                <w:szCs w:val="15"/>
                <w:color w:val="auto"/>
              </w:rPr>
            </w:pPr>
          </w:p>
        </w:tc>
      </w:tr>
      <w:tr>
        <w:trPr>
          <w:trHeight w:val="175"/>
        </w:trPr>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(83,463)</w:t>
            </w:r>
          </w:p>
        </w:tc>
        <w:tc>
          <w:tcPr>
            <w:tcW w:w="1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(83,463)</w:t>
            </w:r>
          </w:p>
        </w:tc>
      </w:tr>
      <w:tr>
        <w:trPr>
          <w:trHeight w:val="20"/>
        </w:trPr>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40,587,067</w:t>
            </w:r>
          </w:p>
        </w:tc>
        <w:tc>
          <w:tcPr>
            <w:tcW w:w="160" w:type="dxa"/>
            <w:vAlign w:val="bottom"/>
          </w:tcPr>
          <w:p>
            <w:pPr>
              <w:spacing w:after="0"/>
              <w:rPr>
                <w:sz w:val="14"/>
                <w:szCs w:val="14"/>
                <w:color w:val="auto"/>
              </w:rPr>
            </w:pPr>
          </w:p>
        </w:tc>
        <w:tc>
          <w:tcPr>
            <w:tcW w:w="660" w:type="dxa"/>
            <w:vAlign w:val="bottom"/>
          </w:tcPr>
          <w:p>
            <w:pPr>
              <w:jc w:val="right"/>
              <w:ind w:right="507"/>
              <w:spacing w:after="0" w:line="169" w:lineRule="exact"/>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line="169" w:lineRule="exact"/>
              <w:rPr>
                <w:sz w:val="20"/>
                <w:szCs w:val="20"/>
                <w:color w:val="auto"/>
              </w:rPr>
            </w:pPr>
            <w:r>
              <w:rPr>
                <w:rFonts w:ascii="Arial" w:cs="Arial" w:eastAsia="Arial" w:hAnsi="Arial"/>
                <w:sz w:val="15"/>
                <w:szCs w:val="15"/>
                <w:color w:val="auto"/>
                <w:w w:val="83"/>
              </w:rPr>
              <w:t>41</w:t>
            </w:r>
          </w:p>
        </w:tc>
        <w:tc>
          <w:tcPr>
            <w:tcW w:w="16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564,993</w:t>
            </w:r>
          </w:p>
        </w:tc>
        <w:tc>
          <w:tcPr>
            <w:tcW w:w="16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(201,985)</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363,049</w:t>
            </w:r>
          </w:p>
        </w:tc>
        <w:tc>
          <w:tcPr>
            <w:tcW w:w="60" w:type="dxa"/>
            <w:vAlign w:val="bottom"/>
          </w:tcPr>
          <w:p>
            <w:pPr>
              <w:spacing w:after="0"/>
              <w:rPr>
                <w:sz w:val="14"/>
                <w:szCs w:val="14"/>
                <w:color w:val="auto"/>
              </w:rPr>
            </w:pP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80" w:space="140"/>
            <w:col w:w="5800"/>
          </w:cols>
          <w:pgMar w:left="320" w:top="337" w:right="359"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6"/>
              </w:rPr>
              <w:t>Year Ended</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5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87"/>
              </w:rPr>
              <w:t>December 31,</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760" w:type="dxa"/>
            <w:vAlign w:val="bottom"/>
            <w:tcBorders>
              <w:bottom w:val="single" w:sz="8" w:color="CFF0FC"/>
            </w:tcBorders>
          </w:tcPr>
          <w:p>
            <w:pPr>
              <w:spacing w:after="0"/>
              <w:rPr>
                <w:sz w:val="12"/>
                <w:szCs w:val="12"/>
                <w:color w:val="auto"/>
              </w:rPr>
            </w:pPr>
          </w:p>
        </w:tc>
        <w:tc>
          <w:tcPr>
            <w:tcW w:w="90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29"/>
              <w:spacing w:after="0" w:line="142" w:lineRule="exact"/>
              <w:rPr>
                <w:sz w:val="20"/>
                <w:szCs w:val="20"/>
                <w:color w:val="auto"/>
              </w:rPr>
            </w:pPr>
            <w:r>
              <w:rPr>
                <w:rFonts w:ascii="Arial" w:cs="Arial" w:eastAsia="Arial" w:hAnsi="Arial"/>
                <w:sz w:val="13"/>
                <w:szCs w:val="13"/>
                <w:b w:val="1"/>
                <w:bCs w:val="1"/>
                <w:color w:val="auto"/>
                <w:w w:val="89"/>
              </w:rPr>
              <w:t>2020</w:t>
            </w:r>
          </w:p>
        </w:tc>
        <w:tc>
          <w:tcPr>
            <w:tcW w:w="2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8"/>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r>
      <w:tr>
        <w:trPr>
          <w:trHeight w:val="155"/>
        </w:trPr>
        <w:tc>
          <w:tcPr>
            <w:tcW w:w="57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Net loss</w:t>
            </w:r>
          </w:p>
        </w:tc>
        <w:tc>
          <w:tcPr>
            <w:tcW w:w="1700" w:type="dxa"/>
            <w:vAlign w:val="bottom"/>
            <w:gridSpan w:val="2"/>
          </w:tcPr>
          <w:p>
            <w:pPr>
              <w:jc w:val="right"/>
              <w:ind w:right="653"/>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(83,463)</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(45,740)</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(19,243)</w:t>
            </w: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4"/>
                <w:szCs w:val="14"/>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Non-cash lease costs</w:t>
            </w:r>
          </w:p>
        </w:tc>
        <w:tc>
          <w:tcPr>
            <w:tcW w:w="9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Acquired in-process research and development</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4,739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9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13,914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5,436</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FF0FC"/>
          </w:tcPr>
          <w:p>
            <w:pPr>
              <w:spacing w:after="0"/>
              <w:rPr>
                <w:sz w:val="14"/>
                <w:szCs w:val="14"/>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Amortization of term loan discount and issuance costs</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fair value of compound derivative liability and warrants</w:t>
            </w:r>
          </w:p>
        </w:tc>
        <w:tc>
          <w:tcPr>
            <w:tcW w:w="9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Gain on assignment of lease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(126)</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Loss on early debt extinguishment</w:t>
            </w:r>
          </w:p>
        </w:tc>
        <w:tc>
          <w:tcPr>
            <w:tcW w:w="9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621</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Receivables due from related-party</w:t>
            </w:r>
          </w:p>
        </w:tc>
        <w:tc>
          <w:tcPr>
            <w:tcW w:w="9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FF0FC"/>
          </w:tcPr>
          <w:p>
            <w:pPr>
              <w:spacing w:after="0"/>
              <w:rPr>
                <w:sz w:val="14"/>
                <w:szCs w:val="14"/>
                <w:color w:val="auto"/>
              </w:rPr>
            </w:pPr>
          </w:p>
        </w:tc>
      </w:tr>
      <w:tr>
        <w:trPr>
          <w:trHeight w:val="162"/>
        </w:trPr>
        <w:tc>
          <w:tcPr>
            <w:tcW w:w="5760" w:type="dxa"/>
            <w:vAlign w:val="bottom"/>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(1,662)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(1,514)</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14"/>
                <w:szCs w:val="14"/>
                <w:color w:val="auto"/>
              </w:rPr>
            </w:pPr>
          </w:p>
        </w:tc>
      </w:tr>
      <w:tr>
        <w:trPr>
          <w:trHeight w:val="162"/>
        </w:trPr>
        <w:tc>
          <w:tcPr>
            <w:tcW w:w="57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assets</w:t>
            </w:r>
          </w:p>
        </w:tc>
        <w:tc>
          <w:tcPr>
            <w:tcW w:w="9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(9,682)</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4"/>
                <w:szCs w:val="14"/>
                <w:color w:val="auto"/>
              </w:rPr>
            </w:pPr>
          </w:p>
        </w:tc>
      </w:tr>
      <w:tr>
        <w:trPr>
          <w:trHeight w:val="162"/>
        </w:trPr>
        <w:tc>
          <w:tcPr>
            <w:tcW w:w="576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(3,744)</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2,976</w:t>
            </w:r>
          </w:p>
        </w:tc>
        <w:tc>
          <w:tcPr>
            <w:tcW w:w="100" w:type="dxa"/>
            <w:vAlign w:val="bottom"/>
          </w:tcPr>
          <w:p>
            <w:pPr>
              <w:spacing w:after="0"/>
              <w:rPr>
                <w:sz w:val="14"/>
                <w:szCs w:val="14"/>
                <w:color w:val="auto"/>
              </w:rPr>
            </w:pPr>
          </w:p>
        </w:tc>
      </w:tr>
      <w:tr>
        <w:trPr>
          <w:trHeight w:val="162"/>
        </w:trPr>
        <w:tc>
          <w:tcPr>
            <w:tcW w:w="57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Payable and accrued liabilities due to related party</w:t>
            </w:r>
          </w:p>
        </w:tc>
        <w:tc>
          <w:tcPr>
            <w:tcW w:w="9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tcPr>
          <w:p>
            <w:pPr>
              <w:ind w:left="500"/>
              <w:spacing w:after="0"/>
              <w:rPr>
                <w:sz w:val="20"/>
                <w:szCs w:val="20"/>
                <w:color w:val="auto"/>
              </w:rPr>
            </w:pPr>
            <w:r>
              <w:rPr>
                <w:rFonts w:ascii="Arial" w:cs="Arial" w:eastAsia="Arial" w:hAnsi="Arial"/>
                <w:sz w:val="14"/>
                <w:szCs w:val="14"/>
                <w:color w:val="auto"/>
              </w:rPr>
              <w:t>Accrued expenses and other current liabilities</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3,306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4,983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4"/>
                <w:szCs w:val="14"/>
                <w:color w:val="auto"/>
              </w:rPr>
            </w:pPr>
          </w:p>
        </w:tc>
      </w:tr>
      <w:tr>
        <w:trPr>
          <w:trHeight w:val="162"/>
        </w:trPr>
        <w:tc>
          <w:tcPr>
            <w:tcW w:w="57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non-current liabilities</w:t>
            </w:r>
          </w:p>
        </w:tc>
        <w:tc>
          <w:tcPr>
            <w:tcW w:w="9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(698)</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5760" w:type="dxa"/>
            <w:vAlign w:val="bottom"/>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9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(68,101)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(38,289)</w:t>
            </w: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(14,249)</w:t>
            </w:r>
          </w:p>
        </w:tc>
        <w:tc>
          <w:tcPr>
            <w:tcW w:w="100" w:type="dxa"/>
            <w:vAlign w:val="bottom"/>
          </w:tcPr>
          <w:p>
            <w:pPr>
              <w:spacing w:after="0"/>
              <w:rPr>
                <w:sz w:val="13"/>
                <w:szCs w:val="13"/>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Investing activities</w:t>
            </w:r>
          </w:p>
        </w:tc>
        <w:tc>
          <w:tcPr>
            <w:tcW w:w="9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Purchase of property and equipment</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(31)</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(353)</w:t>
            </w: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Acquisition of in-process research and development</w:t>
            </w:r>
          </w:p>
        </w:tc>
        <w:tc>
          <w:tcPr>
            <w:tcW w:w="9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(4,257)</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Proceeds from assets held for sale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57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9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(4,923)</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610</w:t>
            </w:r>
          </w:p>
        </w:tc>
        <w:tc>
          <w:tcPr>
            <w:tcW w:w="2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(353)</w:t>
            </w:r>
          </w:p>
        </w:tc>
        <w:tc>
          <w:tcPr>
            <w:tcW w:w="100" w:type="dxa"/>
            <w:vAlign w:val="bottom"/>
            <w:tcBorders>
              <w:top w:val="single" w:sz="8" w:color="CFF0FC"/>
            </w:tcBorders>
            <w:shd w:val="clear" w:color="auto" w:fill="CFF0FC"/>
          </w:tcPr>
          <w:p>
            <w:pPr>
              <w:spacing w:after="0"/>
              <w:rPr>
                <w:sz w:val="13"/>
                <w:szCs w:val="13"/>
                <w:color w:val="auto"/>
              </w:rPr>
            </w:pPr>
          </w:p>
        </w:tc>
      </w:tr>
      <w:tr>
        <w:trPr>
          <w:trHeight w:val="155"/>
        </w:trPr>
        <w:tc>
          <w:tcPr>
            <w:tcW w:w="5760" w:type="dxa"/>
            <w:vAlign w:val="bottom"/>
          </w:tcPr>
          <w:p>
            <w:pPr>
              <w:spacing w:after="0" w:line="155" w:lineRule="exact"/>
              <w:rPr>
                <w:sz w:val="20"/>
                <w:szCs w:val="20"/>
                <w:color w:val="auto"/>
              </w:rPr>
            </w:pPr>
            <w:r>
              <w:rPr>
                <w:rFonts w:ascii="Arial" w:cs="Arial" w:eastAsia="Arial" w:hAnsi="Arial"/>
                <w:sz w:val="14"/>
                <w:szCs w:val="14"/>
                <w:b w:val="1"/>
                <w:bCs w:val="1"/>
                <w:color w:val="auto"/>
              </w:rPr>
              <w:t>Financing activities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common stock offerings, net</w:t>
            </w:r>
          </w:p>
        </w:tc>
        <w:tc>
          <w:tcPr>
            <w:tcW w:w="9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368,256</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Payments of offering costs</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(3,848)</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exercise of stock options under equity incentive plan</w:t>
            </w:r>
          </w:p>
        </w:tc>
        <w:tc>
          <w:tcPr>
            <w:tcW w:w="9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4"/>
                <w:szCs w:val="14"/>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Proceeds from issuance of common stock pursuant to employee stock purchase plan</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convertible preferred stock, net</w:t>
            </w:r>
          </w:p>
        </w:tc>
        <w:tc>
          <w:tcPr>
            <w:tcW w:w="9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104,680</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9,430</w:t>
            </w:r>
          </w:p>
        </w:tc>
        <w:tc>
          <w:tcPr>
            <w:tcW w:w="100" w:type="dxa"/>
            <w:vAlign w:val="bottom"/>
            <w:shd w:val="clear" w:color="auto" w:fill="CFF0FC"/>
          </w:tcPr>
          <w:p>
            <w:pPr>
              <w:spacing w:after="0"/>
              <w:rPr>
                <w:sz w:val="14"/>
                <w:szCs w:val="14"/>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Principal payments on finance leases</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term loan, net</w:t>
            </w:r>
          </w:p>
        </w:tc>
        <w:tc>
          <w:tcPr>
            <w:tcW w:w="9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5,917</w:t>
            </w:r>
          </w:p>
        </w:tc>
        <w:tc>
          <w:tcPr>
            <w:tcW w:w="100" w:type="dxa"/>
            <w:vAlign w:val="bottom"/>
            <w:shd w:val="clear" w:color="auto" w:fill="CFF0FC"/>
          </w:tcPr>
          <w:p>
            <w:pPr>
              <w:spacing w:after="0"/>
              <w:rPr>
                <w:sz w:val="14"/>
                <w:szCs w:val="14"/>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Cash paid for early debt extinguishment</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(6,506)</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55"/>
        </w:trPr>
        <w:tc>
          <w:tcPr>
            <w:tcW w:w="57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9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2,472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462,881</w:t>
            </w:r>
          </w:p>
        </w:tc>
        <w:tc>
          <w:tcPr>
            <w:tcW w:w="2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15,357</w:t>
            </w:r>
          </w:p>
        </w:tc>
        <w:tc>
          <w:tcPr>
            <w:tcW w:w="100" w:type="dxa"/>
            <w:vAlign w:val="bottom"/>
            <w:tcBorders>
              <w:top w:val="single" w:sz="8" w:color="CFF0FC"/>
            </w:tcBorders>
            <w:shd w:val="clear" w:color="auto" w:fill="CFF0FC"/>
          </w:tcPr>
          <w:p>
            <w:pPr>
              <w:spacing w:after="0"/>
              <w:rPr>
                <w:sz w:val="13"/>
                <w:szCs w:val="13"/>
                <w:color w:val="auto"/>
              </w:rPr>
            </w:pPr>
          </w:p>
        </w:tc>
      </w:tr>
      <w:tr>
        <w:trPr>
          <w:trHeight w:val="155"/>
        </w:trPr>
        <w:tc>
          <w:tcPr>
            <w:tcW w:w="5760" w:type="dxa"/>
            <w:vAlign w:val="bottom"/>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5"/>
              </w:rPr>
              <w:t>(70,552)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425,202</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755</w:t>
            </w:r>
          </w:p>
        </w:tc>
        <w:tc>
          <w:tcPr>
            <w:tcW w:w="100" w:type="dxa"/>
            <w:vAlign w:val="bottom"/>
          </w:tcPr>
          <w:p>
            <w:pPr>
              <w:spacing w:after="0"/>
              <w:rPr>
                <w:sz w:val="13"/>
                <w:szCs w:val="13"/>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at beginning of year</w:t>
            </w:r>
          </w:p>
        </w:tc>
        <w:tc>
          <w:tcPr>
            <w:tcW w:w="90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4"/>
              </w:rPr>
              <w:t>434,219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9,017</w:t>
            </w:r>
          </w:p>
        </w:tc>
        <w:tc>
          <w:tcPr>
            <w:tcW w:w="2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8,262</w:t>
            </w:r>
          </w:p>
        </w:tc>
        <w:tc>
          <w:tcPr>
            <w:tcW w:w="100" w:type="dxa"/>
            <w:vAlign w:val="bottom"/>
            <w:shd w:val="clear" w:color="auto" w:fill="CFF0FC"/>
          </w:tcPr>
          <w:p>
            <w:pPr>
              <w:spacing w:after="0"/>
              <w:rPr>
                <w:sz w:val="14"/>
                <w:szCs w:val="14"/>
                <w:color w:val="auto"/>
              </w:rPr>
            </w:pPr>
          </w:p>
        </w:tc>
      </w:tr>
      <w:tr>
        <w:trPr>
          <w:trHeight w:val="195"/>
        </w:trPr>
        <w:tc>
          <w:tcPr>
            <w:tcW w:w="57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Cash and cash equivalents at end of year</w:t>
            </w:r>
          </w:p>
        </w:tc>
        <w:tc>
          <w:tcPr>
            <w:tcW w:w="90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363,667</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434,219</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9,017</w:t>
            </w:r>
          </w:p>
        </w:tc>
        <w:tc>
          <w:tcPr>
            <w:tcW w:w="100" w:type="dxa"/>
            <w:vAlign w:val="bottom"/>
            <w:tcBorders>
              <w:bottom w:val="single" w:sz="8" w:color="CFF0FC"/>
            </w:tcBorders>
          </w:tcPr>
          <w:p>
            <w:pPr>
              <w:spacing w:after="0"/>
              <w:rPr>
                <w:sz w:val="17"/>
                <w:szCs w:val="17"/>
                <w:color w:val="auto"/>
              </w:rPr>
            </w:pPr>
          </w:p>
        </w:tc>
      </w:tr>
      <w:tr>
        <w:trPr>
          <w:trHeight w:val="143"/>
        </w:trPr>
        <w:tc>
          <w:tcPr>
            <w:tcW w:w="576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w:t>
            </w:r>
          </w:p>
        </w:tc>
        <w:tc>
          <w:tcPr>
            <w:tcW w:w="9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Cash paid for interest</w:t>
            </w:r>
          </w:p>
        </w:tc>
        <w:tc>
          <w:tcPr>
            <w:tcW w:w="1700" w:type="dxa"/>
            <w:vAlign w:val="bottom"/>
            <w:gridSpan w:val="2"/>
          </w:tcPr>
          <w:p>
            <w:pPr>
              <w:jc w:val="right"/>
              <w:ind w:right="653"/>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427</w:t>
            </w:r>
          </w:p>
        </w:tc>
        <w:tc>
          <w:tcPr>
            <w:tcW w:w="2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Cash paid for taxes</w:t>
            </w:r>
          </w:p>
        </w:tc>
        <w:tc>
          <w:tcPr>
            <w:tcW w:w="1700" w:type="dxa"/>
            <w:vAlign w:val="bottom"/>
            <w:gridSpan w:val="2"/>
            <w:shd w:val="clear" w:color="auto" w:fill="CFF0FC"/>
          </w:tcPr>
          <w:p>
            <w:pPr>
              <w:jc w:val="right"/>
              <w:ind w:right="653"/>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w:t>
            </w:r>
          </w:p>
        </w:tc>
        <w:tc>
          <w:tcPr>
            <w:tcW w:w="14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39"/>
        </w:trPr>
        <w:tc>
          <w:tcPr>
            <w:tcW w:w="5760" w:type="dxa"/>
            <w:vAlign w:val="bottom"/>
          </w:tcPr>
          <w:p>
            <w:pPr>
              <w:spacing w:after="0" w:line="139" w:lineRule="exact"/>
              <w:rPr>
                <w:sz w:val="20"/>
                <w:szCs w:val="20"/>
                <w:color w:val="auto"/>
              </w:rPr>
            </w:pPr>
            <w:r>
              <w:rPr>
                <w:rFonts w:ascii="Arial" w:cs="Arial" w:eastAsia="Arial" w:hAnsi="Arial"/>
                <w:sz w:val="14"/>
                <w:szCs w:val="14"/>
                <w:b w:val="1"/>
                <w:bCs w:val="1"/>
                <w:color w:val="auto"/>
              </w:rPr>
              <w:t>Supplemental disclosure of non-cash investing and financing</w:t>
            </w: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760" w:type="dxa"/>
            <w:vAlign w:val="bottom"/>
          </w:tcPr>
          <w:p>
            <w:pPr>
              <w:ind w:left="120"/>
              <w:spacing w:after="0"/>
              <w:rPr>
                <w:sz w:val="20"/>
                <w:szCs w:val="20"/>
                <w:color w:val="auto"/>
              </w:rPr>
            </w:pPr>
            <w:r>
              <w:rPr>
                <w:rFonts w:ascii="Arial" w:cs="Arial" w:eastAsia="Arial" w:hAnsi="Arial"/>
                <w:sz w:val="14"/>
                <w:szCs w:val="14"/>
                <w:b w:val="1"/>
                <w:bCs w:val="1"/>
                <w:color w:val="auto"/>
              </w:rPr>
              <w:t>activities</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Vesting of early exercised stock options</w:t>
            </w:r>
          </w:p>
        </w:tc>
        <w:tc>
          <w:tcPr>
            <w:tcW w:w="1700" w:type="dxa"/>
            <w:vAlign w:val="bottom"/>
            <w:gridSpan w:val="2"/>
            <w:shd w:val="clear" w:color="auto" w:fill="CFF0FC"/>
          </w:tcPr>
          <w:p>
            <w:pPr>
              <w:jc w:val="right"/>
              <w:ind w:right="653"/>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FF0FC"/>
          </w:tcPr>
          <w:p>
            <w:pPr>
              <w:spacing w:after="0"/>
              <w:rPr>
                <w:sz w:val="14"/>
                <w:szCs w:val="14"/>
                <w:color w:val="auto"/>
              </w:rPr>
            </w:pPr>
          </w:p>
        </w:tc>
      </w:tr>
      <w:tr>
        <w:trPr>
          <w:trHeight w:val="143"/>
        </w:trPr>
        <w:tc>
          <w:tcPr>
            <w:tcW w:w="5760" w:type="dxa"/>
            <w:vAlign w:val="bottom"/>
          </w:tcPr>
          <w:p>
            <w:pPr>
              <w:spacing w:after="0" w:line="143" w:lineRule="exact"/>
              <w:rPr>
                <w:sz w:val="20"/>
                <w:szCs w:val="20"/>
                <w:color w:val="auto"/>
              </w:rPr>
            </w:pPr>
            <w:r>
              <w:rPr>
                <w:rFonts w:ascii="Arial" w:cs="Arial" w:eastAsia="Arial" w:hAnsi="Arial"/>
                <w:sz w:val="14"/>
                <w:szCs w:val="14"/>
                <w:color w:val="auto"/>
              </w:rPr>
              <w:t>Purchase of property and equipment in accounts payable and accrued</w:t>
            </w: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760" w:type="dxa"/>
            <w:vAlign w:val="bottom"/>
          </w:tcPr>
          <w:p>
            <w:pPr>
              <w:ind w:left="120"/>
              <w:spacing w:after="0"/>
              <w:rPr>
                <w:sz w:val="20"/>
                <w:szCs w:val="20"/>
                <w:color w:val="auto"/>
              </w:rPr>
            </w:pPr>
            <w:r>
              <w:rPr>
                <w:rFonts w:ascii="Arial" w:cs="Arial" w:eastAsia="Arial" w:hAnsi="Arial"/>
                <w:sz w:val="14"/>
                <w:szCs w:val="14"/>
                <w:color w:val="auto"/>
              </w:rPr>
              <w:t>expenses</w:t>
            </w:r>
          </w:p>
        </w:tc>
        <w:tc>
          <w:tcPr>
            <w:tcW w:w="1700" w:type="dxa"/>
            <w:vAlign w:val="bottom"/>
            <w:gridSpan w:val="2"/>
          </w:tcPr>
          <w:p>
            <w:pPr>
              <w:jc w:val="right"/>
              <w:ind w:right="653"/>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237</w:t>
            </w:r>
          </w:p>
        </w:tc>
        <w:tc>
          <w:tcPr>
            <w:tcW w:w="14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57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Acquisition of in-process research and development in accounts payable and</w:t>
            </w:r>
          </w:p>
        </w:tc>
        <w:tc>
          <w:tcPr>
            <w:tcW w:w="9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7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accrued expenses</w:t>
            </w:r>
          </w:p>
        </w:tc>
        <w:tc>
          <w:tcPr>
            <w:tcW w:w="1700" w:type="dxa"/>
            <w:vAlign w:val="bottom"/>
            <w:gridSpan w:val="2"/>
            <w:shd w:val="clear" w:color="auto" w:fill="CFF0FC"/>
          </w:tcPr>
          <w:p>
            <w:pPr>
              <w:jc w:val="right"/>
              <w:ind w:right="653"/>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w:t>
            </w:r>
          </w:p>
        </w:tc>
        <w:tc>
          <w:tcPr>
            <w:tcW w:w="14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Debt issuance costs in accounts payable</w:t>
            </w:r>
          </w:p>
        </w:tc>
        <w:tc>
          <w:tcPr>
            <w:tcW w:w="1700" w:type="dxa"/>
            <w:vAlign w:val="bottom"/>
            <w:gridSpan w:val="2"/>
          </w:tcPr>
          <w:p>
            <w:pPr>
              <w:jc w:val="right"/>
              <w:ind w:right="653"/>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4"/>
                <w:szCs w:val="14"/>
                <w:color w:val="auto"/>
              </w:rPr>
            </w:pPr>
          </w:p>
        </w:tc>
      </w:tr>
      <w:tr>
        <w:trPr>
          <w:trHeight w:val="143"/>
        </w:trPr>
        <w:tc>
          <w:tcPr>
            <w:tcW w:w="57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Conversion of convertible preferred stock into common stock upon</w:t>
            </w:r>
          </w:p>
        </w:tc>
        <w:tc>
          <w:tcPr>
            <w:tcW w:w="9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7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closing of initial public offering</w:t>
            </w:r>
          </w:p>
        </w:tc>
        <w:tc>
          <w:tcPr>
            <w:tcW w:w="1700" w:type="dxa"/>
            <w:vAlign w:val="bottom"/>
            <w:gridSpan w:val="2"/>
            <w:shd w:val="clear" w:color="auto" w:fill="CFF0FC"/>
          </w:tcPr>
          <w:p>
            <w:pPr>
              <w:jc w:val="right"/>
              <w:ind w:right="653"/>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175,043</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Accumulated dividend on convertible preferred stock</w:t>
            </w:r>
          </w:p>
        </w:tc>
        <w:tc>
          <w:tcPr>
            <w:tcW w:w="1700" w:type="dxa"/>
            <w:vAlign w:val="bottom"/>
            <w:gridSpan w:val="2"/>
          </w:tcPr>
          <w:p>
            <w:pPr>
              <w:jc w:val="right"/>
              <w:ind w:right="653"/>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Right-of-use asset acquired under operating leases</w:t>
            </w:r>
          </w:p>
        </w:tc>
        <w:tc>
          <w:tcPr>
            <w:tcW w:w="1700" w:type="dxa"/>
            <w:vAlign w:val="bottom"/>
            <w:gridSpan w:val="2"/>
            <w:shd w:val="clear" w:color="auto" w:fill="CFF0FC"/>
          </w:tcPr>
          <w:p>
            <w:pPr>
              <w:jc w:val="right"/>
              <w:ind w:right="653"/>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1,780</w:t>
            </w:r>
          </w:p>
        </w:tc>
        <w:tc>
          <w:tcPr>
            <w:tcW w:w="14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2"/>
        </w:trPr>
        <w:tc>
          <w:tcPr>
            <w:tcW w:w="5760" w:type="dxa"/>
            <w:vAlign w:val="bottom"/>
          </w:tcPr>
          <w:p>
            <w:pPr>
              <w:spacing w:after="0"/>
              <w:rPr>
                <w:sz w:val="20"/>
                <w:szCs w:val="20"/>
                <w:color w:val="auto"/>
              </w:rPr>
            </w:pPr>
            <w:r>
              <w:rPr>
                <w:rFonts w:ascii="Arial" w:cs="Arial" w:eastAsia="Arial" w:hAnsi="Arial"/>
                <w:sz w:val="14"/>
                <w:szCs w:val="14"/>
                <w:color w:val="auto"/>
              </w:rPr>
              <w:t>Right-of-use asset acquired under finance leases</w:t>
            </w:r>
          </w:p>
        </w:tc>
        <w:tc>
          <w:tcPr>
            <w:tcW w:w="1700" w:type="dxa"/>
            <w:vAlign w:val="bottom"/>
            <w:gridSpan w:val="2"/>
          </w:tcPr>
          <w:p>
            <w:pPr>
              <w:jc w:val="right"/>
              <w:ind w:right="653"/>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776</w:t>
            </w:r>
          </w:p>
        </w:tc>
        <w:tc>
          <w:tcPr>
            <w:tcW w:w="140" w:type="dxa"/>
            <w:vAlign w:val="bottom"/>
          </w:tcPr>
          <w:p>
            <w:pPr>
              <w:spacing w:after="0"/>
              <w:rPr>
                <w:sz w:val="15"/>
                <w:szCs w:val="15"/>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0" w:right="9520" w:hanging="592"/>
        <w:spacing w:after="0" w:line="400" w:lineRule="auto"/>
        <w:tabs>
          <w:tab w:leader="none" w:pos="266"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ORGANIZATION </w:t>
      </w:r>
      <w:r>
        <w:rPr>
          <w:rFonts w:ascii="Arial" w:cs="Arial" w:eastAsia="Arial" w:hAnsi="Arial"/>
          <w:sz w:val="17"/>
          <w:szCs w:val="17"/>
          <w:b w:val="1"/>
          <w:bCs w:val="1"/>
          <w:i w:val="1"/>
          <w:iCs w:val="1"/>
          <w:color w:val="auto"/>
        </w:rPr>
        <w:t>Organization</w:t>
      </w:r>
    </w:p>
    <w:p>
      <w:pPr>
        <w:ind w:right="20" w:firstLine="589"/>
        <w:spacing w:after="0" w:line="270" w:lineRule="auto"/>
        <w:rPr>
          <w:sz w:val="20"/>
          <w:szCs w:val="20"/>
          <w:color w:val="auto"/>
        </w:rPr>
      </w:pPr>
      <w:r>
        <w:rPr>
          <w:rFonts w:ascii="Arial" w:cs="Arial" w:eastAsia="Arial" w:hAnsi="Arial"/>
          <w:sz w:val="17"/>
          <w:szCs w:val="17"/>
          <w:color w:val="auto"/>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After Inception, ALX Oncology Limited became a wholly-owned subsidiary of the Company as a result of the internal reorganization. As part of the internal reorganization, all of the equity, option and warrant holders of ALX Oncology Limited became equity, option and warrant holders of the Company, holding the same number of corresponding shares, options and/or warrants in the Company as they did in ALX Oncology Limited immediately prior to the internal reorganization. The information included herein is presented as that of ALX Oncology Holdings Inc. unless such information refers to a date prior to April 1, 2020, in which case it will reflect that of ALX Oncology Limited, the predecessor company. The Company is a clinical-stage immuno-oncology company focused on helping patients fight cancer by developing therapies that block the CD47 checkpoint pathway and bridge the innate and adaptive immune system.</w:t>
      </w:r>
    </w:p>
    <w:p>
      <w:pPr>
        <w:spacing w:after="0" w:line="181" w:lineRule="exact"/>
        <w:rPr>
          <w:sz w:val="20"/>
          <w:szCs w:val="20"/>
          <w:color w:val="auto"/>
        </w:rPr>
      </w:pPr>
    </w:p>
    <w:p>
      <w:pPr>
        <w:ind w:right="200" w:firstLine="589"/>
        <w:spacing w:after="0" w:line="301" w:lineRule="auto"/>
        <w:rPr>
          <w:sz w:val="20"/>
          <w:szCs w:val="20"/>
          <w:color w:val="auto"/>
        </w:rPr>
      </w:pPr>
      <w:r>
        <w:rPr>
          <w:rFonts w:ascii="Arial" w:cs="Arial" w:eastAsia="Arial" w:hAnsi="Arial"/>
          <w:sz w:val="16"/>
          <w:szCs w:val="16"/>
          <w:color w:val="auto"/>
        </w:rPr>
        <w:t>The Company owns subsidiaries, consisting of ALX Oncology Limited, incorporated in Ireland; ALX Oncology Inc., incorporated in the United States, Alexo International Holdings Ltd, incorporated in Malta; ScalmiBio, Inc., incorporated in the United States, Alexo Therapeutics International, incorporated in the Cayman Islands, which is a wholly-owned subsidiary of Alexo International Holdings Ltd., and Sirpant Therapeutics, incorporated in the Cayman Islands, which is a wholly-owned subsidiary of Alexo Therapeutics International, or collectively, the Subsidiaries.</w:t>
      </w:r>
    </w:p>
    <w:p>
      <w:pPr>
        <w:spacing w:after="0" w:line="157"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As of December 31, 2021, the Company has devoted substantially all of its efforts to the formation and financing of the Company, as well as product development, and has not realized product revenues from its planned principal operations. The Company has no manufacturing facilities and all manufacturing related activities are contracted out to third-party service providers.</w:t>
      </w:r>
    </w:p>
    <w:p>
      <w:pPr>
        <w:spacing w:after="0" w:line="184"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Management expects to incur additional losses in the future to conduct product candidate research and development and to conduct pre-commercialization activities and recognizes that the Company will likely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w:t>
      </w:r>
    </w:p>
    <w:p>
      <w:pPr>
        <w:spacing w:after="0" w:line="270" w:lineRule="exact"/>
        <w:rPr>
          <w:sz w:val="20"/>
          <w:szCs w:val="20"/>
          <w:color w:val="auto"/>
        </w:rPr>
      </w:pPr>
    </w:p>
    <w:p>
      <w:pPr>
        <w:ind w:left="600" w:right="7560" w:hanging="592"/>
        <w:spacing w:after="0" w:line="378" w:lineRule="auto"/>
        <w:tabs>
          <w:tab w:leader="none" w:pos="266"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Preparation</w:t>
      </w:r>
    </w:p>
    <w:p>
      <w:pPr>
        <w:ind w:right="280" w:firstLine="589"/>
        <w:spacing w:after="0" w:line="308" w:lineRule="auto"/>
        <w:rPr>
          <w:sz w:val="20"/>
          <w:szCs w:val="20"/>
          <w:color w:val="auto"/>
        </w:rPr>
      </w:pPr>
      <w:r>
        <w:rPr>
          <w:rFonts w:ascii="Arial" w:cs="Arial" w:eastAsia="Arial" w:hAnsi="Arial"/>
          <w:sz w:val="17"/>
          <w:szCs w:val="17"/>
          <w:color w:val="auto"/>
        </w:rPr>
        <w:t>These consolidated financial statements have been prepared in accordance with accounting principles generally accepted in the United States of America, or U.S. GAAP, and the applicable rules and regulations of the U.S. Securities and Exchange Commission, or SEC.</w:t>
      </w:r>
    </w:p>
    <w:p>
      <w:pPr>
        <w:spacing w:after="0" w:line="25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40" w:firstLine="589"/>
        <w:spacing w:after="0" w:line="286" w:lineRule="auto"/>
        <w:rPr>
          <w:sz w:val="20"/>
          <w:szCs w:val="20"/>
          <w:color w:val="auto"/>
        </w:rPr>
      </w:pPr>
      <w:r>
        <w:rPr>
          <w:rFonts w:ascii="Arial" w:cs="Arial" w:eastAsia="Arial" w:hAnsi="Arial"/>
          <w:sz w:val="17"/>
          <w:szCs w:val="17"/>
          <w:color w:val="auto"/>
        </w:rPr>
        <w:t>Certain reclassifications have also been made within the consolidated balance sheet as of December 31, 2020 to conform to the current year presentation. The Company reclassified approximately $0.1 million out of accrued expenses and other current liabilities into payable and accrued liabilities due to related-party. Total current liabilities as of December 31, 2020 did not change as a result of these reclassifications.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3" w:name="page124"/>
    <w:bookmarkEnd w:id="123"/>
    <w:p>
      <w:pPr>
        <w:ind w:left="6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On July 8, 2020, the Company’s board of directors approved an amendment to the Company’s certificate of incorporation to effect a 1-for-6.5806 reverse split of its common stock and convertible preferred stock. The par values of the common and convertible preferred stock were not adjusted as a result of the reverse stock split. All authorized, issued and outstanding common stock, convertible preferred stock, stock options, warrants, and related per share amounts contained in the consolidated financial statements have been retroactively adjusted to reflect this reverse stock split for all periods presented. The reverse stock split was effected on July 9, 2020.</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stock warrant liability, term loan compound derivative liability, term loan, valuation of the Company’s common stock, income taxes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accounts that are stated at cost, which approximate fair value.</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Concentration of Credit Risk, Credit Losses and Other Risks and Uncertainties</w:t>
      </w:r>
    </w:p>
    <w:p>
      <w:pPr>
        <w:spacing w:after="0" w:line="11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primarily of cash and cash equivalents. The Company maintains deposits in federally insured financial institutions in excess of federally insured limits, and invests in money market funds. The Company is exposed to credit risk in the event of default by the financial institutions holding its cash and cash equivalents. The Company believes that the institutions are financially stable and, accordingly, minimal credit risk exists. The Company has not experienced any losses on its deposits of cash and cash equivalents.</w:t>
      </w:r>
    </w:p>
    <w:p>
      <w:pPr>
        <w:spacing w:after="0" w:line="188"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88"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Company’s product candidates require approvals from the U.S. Food and Drug Administration, or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24" w:name="page125"/>
    <w:bookmarkEnd w:id="124"/>
    <w:p>
      <w:pPr>
        <w:ind w:left="6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provided using the straight-line method over the estimated useful lives of the assets. Leasehold improvements are amortized on a straight-line basis over the shorter of the term of the lease, or the useful life of the assets. Upon sale or retirement of assets, the cost and related accumulated depreciation or amortization are removed from the consolidated balance sheet and the resulting gain or loss is reflected in the consolidated statement of operations and comprehensive loss. Maintenance and repairs are charged to the consolidated statement of operations and comprehensive loss as incurred.</w:t>
      </w:r>
    </w:p>
    <w:p>
      <w:pPr>
        <w:spacing w:after="0" w:line="28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jc w:val="both"/>
        <w:ind w:right="500" w:firstLine="589"/>
        <w:spacing w:after="0" w:line="286"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as a reduction of additional paid-in capital generated as a result of the equity financing.</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On January 1, 2021, the Company adopted Accounting Standards Update No. 2016-02, Leases, Topic 842, or Accounting Standards Codification (ASC) 842, using the alternative modified transition method, which applies the standard as of the adoption date. Results and disclosure requirements for reporting periods beginning after January 1, 2021 are presented under ASC 842, while prior period amounts have not been adjusted and continue to be reported in accordance with the historical accounting under ASC 840.</w:t>
      </w:r>
    </w:p>
    <w:p>
      <w:pPr>
        <w:spacing w:after="0" w:line="227" w:lineRule="exact"/>
        <w:rPr>
          <w:sz w:val="20"/>
          <w:szCs w:val="20"/>
          <w:color w:val="auto"/>
        </w:rPr>
      </w:pPr>
    </w:p>
    <w:p>
      <w:pPr>
        <w:ind w:firstLine="589"/>
        <w:spacing w:after="0" w:line="342" w:lineRule="auto"/>
        <w:rPr>
          <w:sz w:val="20"/>
          <w:szCs w:val="20"/>
          <w:color w:val="auto"/>
        </w:rPr>
      </w:pPr>
      <w:r>
        <w:rPr>
          <w:rFonts w:ascii="Arial" w:cs="Arial" w:eastAsia="Arial" w:hAnsi="Arial"/>
          <w:sz w:val="16"/>
          <w:szCs w:val="16"/>
          <w:color w:val="auto"/>
        </w:rPr>
        <w:t>The Company determines if an arrangement contains a lease at inception. For arrangements where the Company is the lessee, leases are included in operating or finance lease right-of-use, or ROU, assets; current operating or finance lease liabilities; and non-current operating or finance lease liabilities.</w:t>
      </w:r>
    </w:p>
    <w:p>
      <w:pPr>
        <w:spacing w:after="0" w:line="124"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Lease ROU assets and lease liabilities are recognized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is reevaluated upon a lease modification. The Company considered information available at the adoption date of ASC 842 to determine the incremental borrowing rate for leases in existence as of this date. Lease terms may include options to extend or terminate the lease when the Company is reasonably certain that the option will be exercised. Lease expense for operating leases is recognized on a straight-line basis over the lease term. For finance leases, ROU assets are amortized on a straight-line basis over the shorter of the expected useful life or the lease term, and the carrying amount of the lease liability is adjusted to reflect interest, which is recorded in interest expense.</w:t>
      </w:r>
    </w:p>
    <w:p>
      <w:pPr>
        <w:spacing w:after="0" w:line="18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Company elected to apply each of the practical expedients described in ASC 842 which allow companies (i) not to reassess prior conclusions on whether any expired or existing contracts are or contain a lease, lease classification, and initial direct costs, (ii) combine lease and non-lease components for all underlying assets groups, and (iii) not recognize ROU assets or lease liabilities for short term leases. A short-term lease is a lease that, at the commencement date, has a lease term of 12 months or less and does not include an option to purchase the underlying asset that the lessee is reasonably certain to exercise.</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amount of an asset or asset group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 Company has not recorded impairment of any long-lived assets.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25" w:name="page126"/>
    <w:bookmarkEnd w:id="125"/>
    <w:p>
      <w:pPr>
        <w:ind w:left="6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60" w:firstLine="589"/>
        <w:spacing w:after="0" w:line="296"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required to be recognized or disclosed at fair value in the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Company records convertible preferred stock net of issuance costs on the dates of issuance, which represents the carrying value. In the event of a change of control of the Company, proceeds will be distributed in accordance with the liquidation preferences set forth in its organization documents unless the holders of convertible preferred stock have converted their convertible preferred stock into common stock. Convertible preferred stock is classified outside of stockholders’ equity (deficit) on the accompanying consolidated balance sheets as events triggering the liquidation preferences are not solely within the Company’s control. The Company has elected not to adjust the carrying values of the convertible preferred stock to the liquidation preferences of such shares because of the uncertainty of whether or when such an event would occur. Upon the consummation of the Company’s initial public offering in July 2020, all shares of convertible preferred stock outstanding and accrued cumulative dividends automatically converted into 23,934,533 shares of common stock.</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Series B Convertible Preferred Stock Warrant Liability</w:t>
      </w:r>
    </w:p>
    <w:p>
      <w:pPr>
        <w:spacing w:after="0" w:line="117"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The Company has issued freestanding warrants to purchase its Series B convertible preferred stock. Freestanding warrants for the Company’s convertible preferred stock that are classified outside of permanent equity are recorded at fair value, and are subject to re-measurement at the end of every period until the earlier of the exercise of the warrants or the completion of a liquidation event, including the completion of an initial public offering. Upon exercise, the Series B convertible preferred stock warrant liability would be reclassified to additional paid-in capital, with any change in fair value recognized as a component of other expense, net. Following the Company’s initial public offering, the warrants were automatically converted to warrants to purchase shares of common stock. The Company revalued the Series B convertible preferred stock warrants as of the completion of the initial public offering and reclassified the outstanding preferred stock warrant liability balance to additional paid-in capital with no further re-measurement required as common stock warrants are considered permanent equity.</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To date, the Company has derived revenue from providing research and development services on a time and materials basis to a related-party.</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recognizes such revenues over time as services are delivered, and invoices the customer as the work is incurred in arrears.</w:t>
      </w:r>
    </w:p>
    <w:p>
      <w:pPr>
        <w:spacing w:after="0" w:line="237"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The Company recognizes revenue when its customer obtains control of promised goods or services, in an amount that reflects the consideration which the Company expects to receive in exchange for those goods or services.</w:t>
      </w:r>
    </w:p>
    <w:p>
      <w:pPr>
        <w:spacing w:after="0" w:line="170"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 xml:space="preserve">To determine revenue recognition for arrangements that the Company determines are within the scope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the Company performs the following five steps: (i) identify the contract(s) with a customer; (ii) identify the performance obligations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(iii) determine the transaction price; (iv) allocate the transaction price to the performance obligations in the contract; and (v) recognize revenue when (or as) the Company satisfies a performance obligation.</w:t>
      </w:r>
    </w:p>
    <w:p>
      <w:pPr>
        <w:spacing w:after="0" w:line="187" w:lineRule="exact"/>
        <w:rPr>
          <w:sz w:val="20"/>
          <w:szCs w:val="20"/>
          <w:color w:val="auto"/>
        </w:rPr>
      </w:pPr>
    </w:p>
    <w:p>
      <w:pPr>
        <w:jc w:val="both"/>
        <w:ind w:right="40" w:firstLine="589"/>
        <w:spacing w:after="0" w:line="275"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ASC 606,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6" w:name="page127"/>
    <w:bookmarkEnd w:id="126"/>
    <w:p>
      <w:pPr>
        <w:ind w:left="600"/>
        <w:spacing w:after="0"/>
        <w:rPr>
          <w:sz w:val="20"/>
          <w:szCs w:val="20"/>
          <w:color w:val="auto"/>
        </w:rPr>
      </w:pPr>
      <w:r>
        <w:rPr>
          <w:rFonts w:ascii="Arial" w:cs="Arial" w:eastAsia="Arial" w:hAnsi="Arial"/>
          <w:sz w:val="18"/>
          <w:szCs w:val="18"/>
          <w:b w:val="1"/>
          <w:bCs w:val="1"/>
          <w:i w:val="1"/>
          <w:iCs w:val="1"/>
          <w:color w:val="auto"/>
        </w:rPr>
        <w:t>Cost of Services for Related-Party Revenue</w:t>
      </w:r>
    </w:p>
    <w:p>
      <w:pPr>
        <w:spacing w:after="0" w:line="117"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consolidated statements of operations and comprehensive loss.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Research and development costs are expensed as incurred and consist primarily of salaries and benefits, stock-based compensation expense, lab supplies and facility costs, as well as fees paid to nonemployees and entities that conduct certain research and development activities on behalf of the Company and expenses incurred in connection with license agreements.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Asset Acquisition including Acquired In-Process Research and Development Expenses</w:t>
      </w:r>
    </w:p>
    <w:p>
      <w:pPr>
        <w:spacing w:after="0" w:line="117"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When determining whether a transaction gives rise to an acquisition of a business or asset group, the Company applies a screening test to determine whether substantially all of the fair value of the gross assets acquired in the transaction is concentrated in a single identifiable asset or group of similar identifiable assets. If so, then the assets are not considered a business and the transaction is accounted for as an asset acquisition.</w:t>
      </w:r>
    </w:p>
    <w:p>
      <w:pPr>
        <w:spacing w:after="0" w:line="165" w:lineRule="exact"/>
        <w:rPr>
          <w:sz w:val="20"/>
          <w:szCs w:val="20"/>
          <w:color w:val="auto"/>
        </w:rPr>
      </w:pPr>
    </w:p>
    <w:p>
      <w:pPr>
        <w:jc w:val="both"/>
        <w:ind w:right="40" w:firstLine="589"/>
        <w:spacing w:after="0" w:line="291" w:lineRule="auto"/>
        <w:rPr>
          <w:sz w:val="20"/>
          <w:szCs w:val="20"/>
          <w:color w:val="auto"/>
        </w:rPr>
      </w:pPr>
      <w:r>
        <w:rPr>
          <w:rFonts w:ascii="Arial" w:cs="Arial" w:eastAsia="Arial" w:hAnsi="Arial"/>
          <w:sz w:val="16"/>
          <w:szCs w:val="16"/>
          <w:color w:val="auto"/>
        </w:rPr>
        <w:t>The Company measures and recognizes asset acquisitions that are not deemed to be business combinations based on the cost to acquire the asset or group of assets, which includes transaction costs. Goodwill is not recognized in asset acquisitions or transactions to license intellectual property. In</w:t>
      </w:r>
    </w:p>
    <w:p>
      <w:pPr>
        <w:ind w:right="20"/>
        <w:spacing w:after="0" w:line="260" w:lineRule="auto"/>
        <w:rPr>
          <w:sz w:val="20"/>
          <w:szCs w:val="20"/>
          <w:color w:val="auto"/>
        </w:rPr>
      </w:pPr>
      <w:r>
        <w:rPr>
          <w:rFonts w:ascii="Arial" w:cs="Arial" w:eastAsia="Arial" w:hAnsi="Arial"/>
          <w:sz w:val="18"/>
          <w:szCs w:val="18"/>
          <w:color w:val="auto"/>
        </w:rPr>
        <w:t>an asset acquisition, the cost allocated to acquired in-process research and development (IPR&amp;D) with no alternative future use is recognized as an expense on the acquisition date.</w:t>
      </w:r>
    </w:p>
    <w:p>
      <w:pPr>
        <w:spacing w:after="0" w:line="185"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When a transaction is accounted for as an asset acquisition, an in-process research and development, or IPR&amp;D asset is only capitalized if it has an alternative future use other than in a particular research and development project. Otherwise, amounts allocated to IPR&amp;D that have no alternative use are expensed.</w:t>
      </w:r>
    </w:p>
    <w:p>
      <w:pPr>
        <w:spacing w:after="0" w:line="184"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Upfront and milestone payments made related to an asset acquisition are accrued for and expensed when the achievement of the milestone is considered probable.</w:t>
      </w:r>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Clinical and Manufacturing Accruals</w:t>
      </w:r>
    </w:p>
    <w:p>
      <w:pPr>
        <w:spacing w:after="0" w:line="117" w:lineRule="exact"/>
        <w:rPr>
          <w:sz w:val="20"/>
          <w:szCs w:val="20"/>
          <w:color w:val="auto"/>
        </w:rPr>
      </w:pPr>
    </w:p>
    <w:p>
      <w:pPr>
        <w:ind w:right="60" w:firstLine="589"/>
        <w:spacing w:after="0" w:line="289" w:lineRule="auto"/>
        <w:rPr>
          <w:sz w:val="20"/>
          <w:szCs w:val="20"/>
          <w:color w:val="auto"/>
        </w:rPr>
      </w:pPr>
      <w:r>
        <w:rPr>
          <w:rFonts w:ascii="Arial" w:cs="Arial" w:eastAsia="Arial" w:hAnsi="Arial"/>
          <w:sz w:val="16"/>
          <w:szCs w:val="16"/>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66"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7" w:name="page128"/>
    <w:bookmarkEnd w:id="127"/>
    <w:p>
      <w:pPr>
        <w:ind w:right="260"/>
        <w:spacing w:after="0" w:line="275" w:lineRule="auto"/>
        <w:rPr>
          <w:sz w:val="20"/>
          <w:szCs w:val="20"/>
          <w:color w:val="auto"/>
        </w:rPr>
      </w:pPr>
      <w:r>
        <w:rPr>
          <w:rFonts w:ascii="Arial" w:cs="Arial" w:eastAsia="Arial" w:hAnsi="Arial"/>
          <w:sz w:val="17"/>
          <w:szCs w:val="17"/>
          <w:color w:val="auto"/>
        </w:rPr>
        <w:t>from its clinical and non-clinical studies and other third-party vendors. Through December 31, 2021,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28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incurs stock-based compensation expense primarily from stock options, restricted stock units, and ESPP purchase rights.</w:t>
      </w:r>
    </w:p>
    <w:p>
      <w:pPr>
        <w:spacing w:after="0" w:line="23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The Company estimates the fair value of stock options granted to employees, directors and non-employees and ESPP purchase rights using the Black-Scholes option-pricing model. The Black-Scholes model requires the input of subjective assumptions, including expected volatility, expected dividend yield, expected term, risk-free rate of return and the estimated fair value of the underlying common stock on the date of grant. Prior to the Company’s initial public offering, the fair value of the common stock underlying the stock-based awards was determined on each grant date by the board of directors, with input from management, considering the most recently available third-party valuation of common shares. The grant-date fair value of restricted stock units is the fair value of the underlying stock on the award’s grant date. The Company uses the straight-line method to allocate compensation expense to reporting periods over the requisite service period, which is generally the vesting period. The Company accounts for the effect of forfeitures as they occur.</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manages its operations as a single operating segment for the purposes of assessing performance and making operating decisions.</w:t>
      </w:r>
    </w:p>
    <w:p>
      <w:pPr>
        <w:spacing w:after="0" w:line="35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 of operations and comprehensive loss and recorded in other expense, net, and were immaterial for the years December 31, 2021, 2020 and 2019.</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consolidated statements of operations and comprehensive loss in the period that includes the enactment date.</w:t>
      </w:r>
    </w:p>
    <w:p>
      <w:pPr>
        <w:spacing w:after="0" w:line="192"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Deferred income taxes comprise the impact of temporary differences between assets and liabilities recognized for financial reporting purposes and the amounts recognized for income tax reporting purposes, net operating loss carryforwards, and other tax credits measured by applying currently enacted tax laws. A valuation allowance is provided when necessary to reduce deferred tax assets to an amount that is more likely than not to be realized</w:t>
      </w:r>
      <w:r>
        <w:rPr>
          <w:rFonts w:ascii="Arial" w:cs="Arial" w:eastAsia="Arial" w:hAnsi="Arial"/>
          <w:sz w:val="16"/>
          <w:szCs w:val="16"/>
          <w:color w:val="FF0000"/>
        </w:rPr>
        <w:t>.</w:t>
      </w:r>
      <w:r>
        <w:rPr>
          <w:rFonts w:ascii="Arial" w:cs="Arial" w:eastAsia="Arial" w:hAnsi="Arial"/>
          <w:sz w:val="16"/>
          <w:szCs w:val="16"/>
          <w:color w:val="auto"/>
        </w:rPr>
        <w:t xml:space="preserve"> If the Company determines that it would be able to realize its deferred tax assets in the future in excess of their net recorded amount, it would make an adjustment to the deferred tax asset valuation allowance, which would reduce the provision for income taxes. 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8" w:name="page129"/>
    <w:bookmarkEnd w:id="128"/>
    <w:p>
      <w:pPr>
        <w:ind w:left="60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Comprehensive loss is equal to net loss for all periods presented.</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right="160" w:firstLine="589"/>
        <w:spacing w:after="0" w:line="286" w:lineRule="auto"/>
        <w:rPr>
          <w:sz w:val="20"/>
          <w:szCs w:val="20"/>
          <w:color w:val="auto"/>
        </w:rPr>
      </w:pPr>
      <w:r>
        <w:rPr>
          <w:rFonts w:ascii="Arial" w:cs="Arial" w:eastAsia="Arial" w:hAnsi="Arial"/>
          <w:sz w:val="17"/>
          <w:szCs w:val="17"/>
          <w:color w:val="auto"/>
        </w:rPr>
        <w:t>Basic net loss per share is calculated by dividing the net loss attributable to common stockholders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w:t>
      </w:r>
    </w:p>
    <w:p>
      <w:pPr>
        <w:spacing w:after="0" w:line="165" w:lineRule="exact"/>
        <w:rPr>
          <w:sz w:val="20"/>
          <w:szCs w:val="20"/>
          <w:color w:val="auto"/>
        </w:rPr>
      </w:pPr>
    </w:p>
    <w:p>
      <w:pPr>
        <w:ind w:right="120" w:firstLine="589"/>
        <w:spacing w:after="0" w:line="290" w:lineRule="auto"/>
        <w:rPr>
          <w:sz w:val="20"/>
          <w:szCs w:val="20"/>
          <w:color w:val="auto"/>
        </w:rPr>
      </w:pPr>
      <w:r>
        <w:rPr>
          <w:rFonts w:ascii="Arial" w:cs="Arial" w:eastAsia="Arial" w:hAnsi="Arial"/>
          <w:sz w:val="16"/>
          <w:szCs w:val="16"/>
          <w:color w:val="auto"/>
        </w:rPr>
        <w:t>The Company applies the two-class method to compute basic and diluted net loss per share when it has issued shares that meet the definition of participating securities. The two-class method determines net loss per share for each class of common stock and participating securities according to dividends declared or accumulated and participation rights in undistributed earnings. The two-class method requires net loss available to common stockholders for the period to be allocated between common and participating securities based upon their respective rights to share in the earnings as if all net loss for the period had been distributed. The Company’s convertible preferred stock participated in any dividends declared by the Company and are therefore considered to be participating securities. The participating securities were not required to participate in the losses of the Company, and therefore during periods of loss there was no allocation required under the two-class method. Upon the consummation of the Company’s initial public offering in July 2020, all shares of convertible preferred stock outstanding and accrued cumulative dividends automatically converted into common stock.</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Adopted Accounting Pronouncements</w:t>
      </w:r>
    </w:p>
    <w:p>
      <w:pPr>
        <w:spacing w:after="0" w:line="11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In February 2016, the Financial Accounting Standards Board, or FASB, issued ASU No. 2016-02, Topic 842, Leases (ASU 2016-02). ASU 2016-02 requires an entity to recognize assets and liabilities arising from a lease for both operating and finance leases. ASU No. 2016-02 also requires new qualitative and quantitative disclosures to help investors and other financial statement users better understand the amount, timing, and uncertainty of cash flows arising from leases. In June 2020, the FASB issued ASU No. 2020-05, which extended the effective date of ASU No. 2016-02 for non-public business entities, including smaller reporting companies, to fiscal years beginning after December 15, 2021, with early adoption permitted. The Company adopted ASC 842 on January 1, 2021 using the alternative modified transition method, which applies the standard as of the adoption date and therefore, the Company has not applied the standard to the comparative periods presented in the Company's financial statements. The Company elected the following practical expedients:</w:t>
      </w:r>
    </w:p>
    <w:p>
      <w:pPr>
        <w:spacing w:after="0" w:line="97" w:lineRule="exact"/>
        <w:rPr>
          <w:sz w:val="20"/>
          <w:szCs w:val="20"/>
          <w:color w:val="auto"/>
        </w:rPr>
      </w:pPr>
    </w:p>
    <w:p>
      <w:pPr>
        <w:ind w:left="1160" w:right="200" w:hanging="572"/>
        <w:spacing w:after="0" w:line="277" w:lineRule="auto"/>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to reassess prior conclusions on whether any expired or existing contracts are or contain a lease, lease classification, and initial direct costs;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combine lease and non-lease components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to recognize ROU assets or lease liabilities for short term leases</w:t>
      </w:r>
    </w:p>
    <w:p>
      <w:pPr>
        <w:spacing w:after="0" w:line="225"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As a lessee, the primary impact of the adoption of ASC 842 was the recognition of operating and finance lease ROU assets of $0.3 million and $0.2 million, respectively, and operating and finance lease liabilities of $0.3 million and $0.2 million, respectively, as of January 1, 2021. ROU assets are presented within other assets, current lease liabilities are presented within accrued expenses and other current liabilities, and non-current lease liabilities are presented within other non-current liabilities on the consolidated balance sheet. See Note 6 "Leases" for additional details.</w:t>
      </w:r>
    </w:p>
    <w:p>
      <w:pPr>
        <w:spacing w:after="0" w:line="171"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adopted this standard as of January 1, 2021 on a prospective basis and there was no material impact on its consolidated financial statements and disclosures as a result of the adoption.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(3) ACQUISITION OF ASSETS AND OWNERSHIP</w:t>
      </w:r>
    </w:p>
    <w:p>
      <w:pPr>
        <w:spacing w:after="0" w:line="121" w:lineRule="exact"/>
        <w:rPr>
          <w:sz w:val="20"/>
          <w:szCs w:val="20"/>
          <w:color w:val="auto"/>
        </w:rPr>
      </w:pPr>
    </w:p>
    <w:p>
      <w:pPr>
        <w:ind w:right="240" w:firstLine="589"/>
        <w:spacing w:after="0" w:line="270" w:lineRule="auto"/>
        <w:rPr>
          <w:sz w:val="20"/>
          <w:szCs w:val="20"/>
          <w:color w:val="auto"/>
        </w:rPr>
      </w:pPr>
      <w:r>
        <w:rPr>
          <w:rFonts w:ascii="Arial" w:cs="Arial" w:eastAsia="Arial" w:hAnsi="Arial"/>
          <w:sz w:val="17"/>
          <w:szCs w:val="17"/>
          <w:color w:val="auto"/>
        </w:rPr>
        <w:t>On October 4, 2021, the Company entered into a stock purchase agreement with ScalmiBio, Inc., or ScalmiBio, as the Company expands its pipeline with plans to develop new anti-cancer drug candidates based on ScalmiBio’s platform. Under the terms of the stock purchase agreement, the Company made an initial payment to the stockholders of ScalmiBio at closing on October 4, 2021 of approximately $4.5 million in cash, net of certain expenses and adjustments, and will make an additional payment of $2.0 million at the one-year anniversary of the transaction subject to ScalmiBio employee remaining employed with the Company at the anniversary date. This additional payment will be recorded as compensation expense in the Company’s statement of operations and comprehensive loss over the one-year period. In addition, the Company has agreed to pay up to $35.0 million, in aggregate, in certain milestones based on the clinical development of the acquired ScalmiBio technology and has also agreed to pay a low single digit royalty on net sales of any products developed from the ScalmiBio acquired technology for a defined term. The Company has the option to buy-out the royalty payment, prior to the first marketing approval of the developed product.</w:t>
      </w:r>
    </w:p>
    <w:p>
      <w:pPr>
        <w:spacing w:after="0" w:line="181"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The Company’s CEO and President, who is also a director, was also a director of ScalmiBio prior to the acquisition, and owned 31.7% of ScalmiBio stock. As a result, he received or will receive a proportional share of the consideration to ScalmiBio stockholders as described above. He also received approximately $87,000 out of the closing proceeds for the repayment of a note and accrued interest for a loan to ScalmiBio. Given his interest in the ScalmiBio acquisition, the Company’s audit committee approved the acquisition under its related-party transaction policy and the Company’s CEO recused himself from the negotiation and approval of the transaction.</w:t>
      </w:r>
    </w:p>
    <w:p>
      <w:pPr>
        <w:spacing w:after="0" w:line="188"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To determine the accounting for this transaction under ASC 805 Business Combinations, an assessment was made as to whether an integrated set of assets and activities should be accounted for as a business combination or an asset acquisition. The guidance requires an initial screen test to determine if substantially all of the fair value of the gross assets acquired is concentrated in a single asset or group of similar assets. If that screen is met, the set is not considered a business. The Company concluded that substantially all of the fair value is concentrated in a group of similar identifiable assets. Pursuant to asset acquisition accounting, acquired IPR&amp;D with no alternative future use is expensed at acquisition. Accordingly, $4.7 million including $0.2 million of legal and other professional fees related to the acquisition, was recognized in “Research and development” expenses in the consolidated Statements of Operations and Comprehensive Loss for the year ended December 31, 2021.</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The fair value of the Company’s financial assets and liabilities are determined in accordance with the fair value hierarchy established in ASC 820, Fair Value Measurements and Disclosures.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820 requires an entity to maximize the use of observable inputs when measuring fair value and classifies those inputs into three levels:</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1—Observable inputs, such as quoted prices in active markets;</w:t>
      </w:r>
    </w:p>
    <w:p>
      <w:pPr>
        <w:spacing w:after="0" w:line="117" w:lineRule="exact"/>
        <w:rPr>
          <w:sz w:val="20"/>
          <w:szCs w:val="20"/>
          <w:color w:val="auto"/>
        </w:rPr>
      </w:pPr>
    </w:p>
    <w:p>
      <w:pPr>
        <w:ind w:left="600" w:right="140"/>
        <w:spacing w:after="0" w:line="263" w:lineRule="auto"/>
        <w:rPr>
          <w:sz w:val="20"/>
          <w:szCs w:val="20"/>
          <w:color w:val="auto"/>
        </w:rPr>
      </w:pPr>
      <w:r>
        <w:rPr>
          <w:rFonts w:ascii="Arial" w:cs="Arial" w:eastAsia="Arial" w:hAnsi="Arial"/>
          <w:sz w:val="18"/>
          <w:szCs w:val="18"/>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 and</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23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Cash and cash equivalents are stated at cost which approximate their respective fair values on the Company’s consolidated balance sheets. Where quoted prices are available in an active market, securities are classified as Level 1. The Company classifies money market funds as Level 1. When quoted market prices are not available for the specific security, then the Company estimates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30" w:name="page131"/>
    <w:bookmarkEnd w:id="130"/>
    <w:p>
      <w:pPr>
        <w:ind w:right="100" w:firstLine="589"/>
        <w:spacing w:after="0" w:line="277" w:lineRule="auto"/>
        <w:rPr>
          <w:sz w:val="20"/>
          <w:szCs w:val="20"/>
          <w:color w:val="auto"/>
        </w:rPr>
      </w:pPr>
      <w:r>
        <w:rPr>
          <w:rFonts w:ascii="Arial" w:cs="Arial" w:eastAsia="Arial" w:hAnsi="Arial"/>
          <w:sz w:val="18"/>
          <w:szCs w:val="18"/>
          <w:color w:val="auto"/>
        </w:rPr>
        <w:t>The following table sets forth the Company’s financial assets that are measured at fair value on a recurring basis by level within the fair value hierarchy (in thousands):</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4"/>
          </w:tcPr>
          <w:p>
            <w:pPr>
              <w:ind w:left="200"/>
              <w:spacing w:after="0"/>
              <w:rPr>
                <w:sz w:val="20"/>
                <w:szCs w:val="20"/>
                <w:color w:val="auto"/>
              </w:rPr>
            </w:pPr>
            <w:r>
              <w:rPr>
                <w:rFonts w:ascii="Arial" w:cs="Arial" w:eastAsia="Arial" w:hAnsi="Arial"/>
                <w:sz w:val="14"/>
                <w:szCs w:val="14"/>
                <w:b w:val="1"/>
                <w:bCs w:val="1"/>
                <w:color w:val="auto"/>
                <w:w w:val="98"/>
              </w:rPr>
              <w:t>As of December 31, 2021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r>
      <w:tr>
        <w:trPr>
          <w:trHeight w:val="155"/>
        </w:trPr>
        <w:tc>
          <w:tcPr>
            <w:tcW w:w="2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7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89"/>
        </w:trPr>
        <w:tc>
          <w:tcPr>
            <w:tcW w:w="240" w:type="dxa"/>
            <w:vAlign w:val="bottom"/>
          </w:tcPr>
          <w:p>
            <w:pPr>
              <w:spacing w:after="0"/>
              <w:rPr>
                <w:sz w:val="16"/>
                <w:szCs w:val="16"/>
                <w:color w:val="auto"/>
              </w:rPr>
            </w:pPr>
          </w:p>
        </w:tc>
        <w:tc>
          <w:tcPr>
            <w:tcW w:w="5000" w:type="dxa"/>
            <w:vAlign w:val="bottom"/>
            <w:gridSpan w:val="2"/>
          </w:tcPr>
          <w:p>
            <w:pPr>
              <w:spacing w:after="0" w:line="189" w:lineRule="exact"/>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2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40" w:type="dxa"/>
            <w:vAlign w:val="bottom"/>
            <w:shd w:val="clear" w:color="auto" w:fill="CFF0FC"/>
          </w:tcPr>
          <w:p>
            <w:pPr>
              <w:spacing w:after="0"/>
              <w:rPr>
                <w:sz w:val="19"/>
                <w:szCs w:val="19"/>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357,181</w:t>
            </w:r>
          </w:p>
        </w:tc>
        <w:tc>
          <w:tcPr>
            <w:tcW w:w="4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w w:val="89"/>
              </w:rPr>
              <w:t>357,181</w:t>
            </w:r>
          </w:p>
        </w:tc>
        <w:tc>
          <w:tcPr>
            <w:tcW w:w="100" w:type="dxa"/>
            <w:vAlign w:val="bottom"/>
            <w:shd w:val="clear" w:color="auto" w:fill="CFF0FC"/>
          </w:tcPr>
          <w:p>
            <w:pPr>
              <w:spacing w:after="0"/>
              <w:rPr>
                <w:sz w:val="19"/>
                <w:szCs w:val="19"/>
                <w:color w:val="auto"/>
              </w:rPr>
            </w:pPr>
          </w:p>
        </w:tc>
      </w:tr>
      <w:tr>
        <w:trPr>
          <w:trHeight w:val="461"/>
        </w:trPr>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4"/>
          </w:tcPr>
          <w:p>
            <w:pPr>
              <w:ind w:left="180"/>
              <w:spacing w:after="0"/>
              <w:rPr>
                <w:sz w:val="20"/>
                <w:szCs w:val="20"/>
                <w:color w:val="auto"/>
              </w:rPr>
            </w:pPr>
            <w:r>
              <w:rPr>
                <w:rFonts w:ascii="Arial" w:cs="Arial" w:eastAsia="Arial" w:hAnsi="Arial"/>
                <w:sz w:val="14"/>
                <w:szCs w:val="14"/>
                <w:b w:val="1"/>
                <w:bCs w:val="1"/>
                <w:color w:val="auto"/>
                <w:w w:val="99"/>
              </w:rPr>
              <w:t>As of December 31, 2020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r>
      <w:tr>
        <w:trPr>
          <w:trHeight w:val="155"/>
        </w:trPr>
        <w:tc>
          <w:tcPr>
            <w:tcW w:w="2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7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FF0FC"/>
            </w:tcBorders>
            <w:gridSpan w:val="2"/>
          </w:tcPr>
          <w:p>
            <w:pPr>
              <w:spacing w:after="0"/>
              <w:rPr>
                <w:sz w:val="13"/>
                <w:szCs w:val="13"/>
                <w:color w:val="auto"/>
              </w:rPr>
            </w:pPr>
          </w:p>
        </w:tc>
      </w:tr>
      <w:tr>
        <w:trPr>
          <w:trHeight w:val="223"/>
        </w:trPr>
        <w:tc>
          <w:tcPr>
            <w:tcW w:w="52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89"/>
        </w:trPr>
        <w:tc>
          <w:tcPr>
            <w:tcW w:w="240" w:type="dxa"/>
            <w:vAlign w:val="bottom"/>
          </w:tcPr>
          <w:p>
            <w:pPr>
              <w:spacing w:after="0"/>
              <w:rPr>
                <w:sz w:val="16"/>
                <w:szCs w:val="16"/>
                <w:color w:val="auto"/>
              </w:rPr>
            </w:pPr>
          </w:p>
        </w:tc>
        <w:tc>
          <w:tcPr>
            <w:tcW w:w="5000" w:type="dxa"/>
            <w:vAlign w:val="bottom"/>
            <w:gridSpan w:val="2"/>
          </w:tcPr>
          <w:p>
            <w:pPr>
              <w:spacing w:after="0" w:line="189" w:lineRule="exact"/>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424,115</w:t>
            </w:r>
          </w:p>
        </w:tc>
        <w:tc>
          <w:tcPr>
            <w:tcW w:w="4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6"/>
              </w:rPr>
              <w:t>424,115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did not have any outstanding financial liabilities to be re-measured on a recurring basis as of December 31, 2021 and 2020.</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There were no transfers of assets or liabilities between the fair value measurement levels during the years ended December 31, 2021 and 2020.</w:t>
      </w:r>
    </w:p>
    <w:p>
      <w:pPr>
        <w:spacing w:after="0" w:line="248"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The carrying values of the Company’s financial instruments, such as accounts payable and accrued expenses and other current liabilities, approximated fair value due to the short-term nature of these items.</w:t>
      </w:r>
    </w:p>
    <w:p>
      <w:pPr>
        <w:spacing w:after="0" w:line="274" w:lineRule="exact"/>
        <w:rPr>
          <w:sz w:val="20"/>
          <w:szCs w:val="20"/>
          <w:color w:val="auto"/>
        </w:rPr>
      </w:pPr>
    </w:p>
    <w:p>
      <w:pPr>
        <w:ind w:left="260" w:hanging="252"/>
        <w:spacing w:after="0"/>
        <w:tabs>
          <w:tab w:leader="none" w:pos="2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and Equipment, Net</w:t>
      </w:r>
    </w:p>
    <w:p>
      <w:pPr>
        <w:spacing w:after="0" w:line="117"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components of property and equipment, net as of December 31, 2021 and 2020 (in thousands):</w:t>
      </w:r>
    </w:p>
    <w:p>
      <w:pPr>
        <w:spacing w:after="0" w:line="284"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53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7"/>
                <w:szCs w:val="17"/>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gross</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Depreciation and amortization expense was nominal, $0.2 million and $0.4 million for years ended December 31, 2021, 2020 and 2019, respectively.</w:t>
      </w:r>
    </w:p>
    <w:p>
      <w:pPr>
        <w:spacing w:after="0" w:line="170"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In July 2020, the Company transferred certain lab equipment and other assets to Tallac Therapeutics, Inc. (formerly known as Tollnine, Inc., or Tollnine), or Tallac Therapeutics, a related-party (Note 11), in exchange for $0.6 million.</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557" w:right="699" w:bottom="1440" w:gutter="0" w:footer="0" w:header="0"/>
        </w:sectPr>
      </w:pPr>
    </w:p>
    <w:bookmarkStart w:id="131" w:name="page132"/>
    <w:bookmarkEnd w:id="131"/>
    <w:p>
      <w:pPr>
        <w:ind w:left="600"/>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components of other assets, net as of December 31, 2021 and 2020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4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Long-term prepaid clinical expenses</w:t>
            </w: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9"/>
                <w:szCs w:val="19"/>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Long-term prepaid contract manufacturing costs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Finance lease right-of-use assets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Deposits</w:t>
            </w:r>
          </w:p>
        </w:tc>
        <w:tc>
          <w:tcPr>
            <w:tcW w:w="9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89"/>
              </w:rPr>
              <w:t>10</w:t>
            </w:r>
          </w:p>
        </w:tc>
        <w:tc>
          <w:tcPr>
            <w:tcW w:w="80" w:type="dxa"/>
            <w:vAlign w:val="bottom"/>
            <w:shd w:val="clear" w:color="auto" w:fill="CFF0FC"/>
          </w:tcPr>
          <w:p>
            <w:pPr>
              <w:spacing w:after="0"/>
              <w:rPr>
                <w:sz w:val="19"/>
                <w:szCs w:val="19"/>
                <w:color w:val="auto"/>
              </w:rPr>
            </w:pPr>
          </w:p>
        </w:tc>
      </w:tr>
      <w:tr>
        <w:trPr>
          <w:trHeight w:val="223"/>
        </w:trPr>
        <w:tc>
          <w:tcPr>
            <w:tcW w:w="4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presents the components of accrued expenses and other current liabilities as of December 31, 2021 and 2020 (in thousands):</w:t>
      </w: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and nonclinical study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Accrued compensation and related expenses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1,974</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Accrued contract manufacturing</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2,123</w:t>
            </w:r>
          </w:p>
        </w:tc>
        <w:tc>
          <w:tcPr>
            <w:tcW w:w="8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liabilities, current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Operating lease liabilities, current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Accrued federal income tax</w:t>
            </w:r>
          </w:p>
        </w:tc>
        <w:tc>
          <w:tcPr>
            <w:tcW w:w="1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In 2017, the Company entered into a lease agreement for office space for a period of five years and four months, commencing February 1, 2018 and ending May 31, 2023. In July 2020, the Company (i) assigned to Tallac Therapeutics, Inc., or Tallac Therapeutics, a related party, the Company’s lease with respect to the premises located at 866 Malcolm Road, Burlingame, California, and (ii) entered a sub-lease agreement for the same premise from Tallac Therapeutics. The sub-lease is an operating lease. As of December 31, 2021, the Company had approximately $0.2 million right-of-use asset and lease liability related to this lease.</w:t>
      </w:r>
    </w:p>
    <w:p>
      <w:pPr>
        <w:spacing w:after="0" w:line="188" w:lineRule="exact"/>
        <w:rPr>
          <w:sz w:val="20"/>
          <w:szCs w:val="20"/>
          <w:color w:val="auto"/>
        </w:rPr>
      </w:pPr>
    </w:p>
    <w:p>
      <w:pPr>
        <w:ind w:right="140" w:firstLine="589"/>
        <w:spacing w:after="0" w:line="311" w:lineRule="auto"/>
        <w:rPr>
          <w:sz w:val="20"/>
          <w:szCs w:val="20"/>
          <w:color w:val="auto"/>
        </w:rPr>
      </w:pPr>
      <w:r>
        <w:rPr>
          <w:rFonts w:ascii="Arial" w:cs="Arial" w:eastAsia="Arial" w:hAnsi="Arial"/>
          <w:sz w:val="16"/>
          <w:szCs w:val="16"/>
          <w:color w:val="auto"/>
        </w:rPr>
        <w:t>The Company evaluated its vendor contracts to identify embedded leases, if any, and noted that a pharmaceutical support services agreement entered into in May 2016, included leases under ASC 842 because the Company has the right to direct the use of certain equipment. The embedded leases commenced in September 2020 and expire in August 2023 with no stated option to extend the term. The Company classified the leases as finance leases.</w:t>
      </w:r>
    </w:p>
    <w:p>
      <w:pPr>
        <w:spacing w:after="0" w:line="149"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In May 2021, the Company entered into a lease agreement for office space totaling approximately 10,000 square feet at 323 Allerton Avenue, South San Francisco, California. The term of the lease is from July 5, 2021 to August 31, 2026, with early entry date of June 6, 2021. The lease does not provide an option to extend after it expires. The total lease payments for the life of the lease is approximately $2.0 million. The Company obtained the right to direct the usage of the office space on the early entry date, and therefore considered June 6, 2021 as the lease commencement date. The lease was evaluated as an operating lease. As of December 31, 2021, the Company had a ROU asset and lease liability of approximately $1.6 million and $1.8 million, respectively, related to this lease.</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32" w:name="page133"/>
    <w:bookmarkEnd w:id="132"/>
    <w:p>
      <w:pPr>
        <w:ind w:right="120" w:firstLine="589"/>
        <w:spacing w:after="0" w:line="277" w:lineRule="auto"/>
        <w:rPr>
          <w:sz w:val="20"/>
          <w:szCs w:val="20"/>
          <w:color w:val="auto"/>
        </w:rPr>
      </w:pPr>
      <w:r>
        <w:rPr>
          <w:rFonts w:ascii="Arial" w:cs="Arial" w:eastAsia="Arial" w:hAnsi="Arial"/>
          <w:sz w:val="18"/>
          <w:szCs w:val="18"/>
          <w:color w:val="auto"/>
        </w:rPr>
        <w:t>The ROU assets recorded under the operating lease and finance lease were $1.8 million and $0.7 million, respectively, at December 31, 2021. The amounts were included in the other assets on the consolidated balance sheet.</w:t>
      </w:r>
    </w:p>
    <w:p>
      <w:pPr>
        <w:spacing w:after="0" w:line="19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following table presents the maturities and balance sheet information of the Company's operating and finance lease liabilities as of December 31, 2021 (in thousands, except lease term and discount rate):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December 31, 2021</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5"/>
        </w:trPr>
        <w:tc>
          <w:tcPr>
            <w:tcW w:w="5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Operating Leases</w:t>
            </w:r>
          </w:p>
        </w:tc>
        <w:tc>
          <w:tcPr>
            <w:tcW w:w="220" w:type="dxa"/>
            <w:vAlign w:val="bottom"/>
          </w:tcPr>
          <w:p>
            <w:pPr>
              <w:spacing w:after="0"/>
              <w:rPr>
                <w:sz w:val="18"/>
                <w:szCs w:val="18"/>
                <w:color w:val="auto"/>
              </w:rPr>
            </w:pPr>
          </w:p>
        </w:tc>
        <w:tc>
          <w:tcPr>
            <w:tcW w:w="1640" w:type="dxa"/>
            <w:vAlign w:val="bottom"/>
          </w:tcPr>
          <w:p>
            <w:pPr>
              <w:jc w:val="right"/>
              <w:ind w:right="471"/>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1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rPr>
              <w:t>519</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432</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2023</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288</w:t>
            </w: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2025</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18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Pr>
          <w:p>
            <w:pPr>
              <w:ind w:left="260"/>
              <w:spacing w:after="0"/>
              <w:rPr>
                <w:sz w:val="20"/>
                <w:szCs w:val="20"/>
                <w:color w:val="auto"/>
              </w:rPr>
            </w:pPr>
            <w:r>
              <w:rPr>
                <w:rFonts w:ascii="Arial" w:cs="Arial" w:eastAsia="Arial" w:hAnsi="Arial"/>
                <w:sz w:val="18"/>
                <w:szCs w:val="18"/>
                <w:color w:val="auto"/>
              </w:rPr>
              <w:t>Total lease payments</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2,181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720</w:t>
            </w:r>
          </w:p>
        </w:tc>
      </w:tr>
      <w:tr>
        <w:trPr>
          <w:trHeight w:val="229"/>
        </w:trPr>
        <w:tc>
          <w:tcPr>
            <w:tcW w:w="5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Less: imputed interest</w:t>
            </w:r>
          </w:p>
        </w:tc>
        <w:tc>
          <w:tcPr>
            <w:tcW w:w="18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w:t>
            </w:r>
          </w:p>
        </w:tc>
      </w:tr>
      <w:tr>
        <w:trPr>
          <w:trHeight w:val="263"/>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lease liabilities</w:t>
            </w:r>
          </w:p>
        </w:tc>
        <w:tc>
          <w:tcPr>
            <w:tcW w:w="18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709</w:t>
            </w:r>
          </w:p>
        </w:tc>
      </w:tr>
      <w:tr>
        <w:trPr>
          <w:trHeight w:val="210"/>
        </w:trPr>
        <w:tc>
          <w:tcPr>
            <w:tcW w:w="54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 xml:space="preserve">Lease liabilities: current </w:t>
            </w:r>
            <w:r>
              <w:rPr>
                <w:rFonts w:ascii="Arial" w:cs="Arial" w:eastAsia="Arial" w:hAnsi="Arial"/>
                <w:sz w:val="15"/>
                <w:szCs w:val="15"/>
                <w:color w:val="auto"/>
              </w:rPr>
              <w:t>(i)</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429</w:t>
            </w: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Lease liabilities: non-current </w:t>
            </w:r>
            <w:r>
              <w:rPr>
                <w:rFonts w:ascii="Arial" w:cs="Arial" w:eastAsia="Arial" w:hAnsi="Arial"/>
                <w:sz w:val="15"/>
                <w:szCs w:val="15"/>
                <w:color w:val="auto"/>
              </w:rPr>
              <w:t>(ii)</w:t>
            </w:r>
          </w:p>
        </w:tc>
        <w:tc>
          <w:tcPr>
            <w:tcW w:w="18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rPr>
              <w:t>1,558</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280</w:t>
            </w:r>
          </w:p>
        </w:tc>
      </w:tr>
      <w:tr>
        <w:trPr>
          <w:trHeight w:val="263"/>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lease liabilities</w:t>
            </w:r>
          </w:p>
        </w:tc>
        <w:tc>
          <w:tcPr>
            <w:tcW w:w="18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709</w:t>
            </w:r>
          </w:p>
        </w:tc>
      </w:tr>
      <w:tr>
        <w:trPr>
          <w:trHeight w:val="210"/>
        </w:trPr>
        <w:tc>
          <w:tcPr>
            <w:tcW w:w="54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1.7</w:t>
            </w: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bl>
    <w:p>
      <w:pPr>
        <w:spacing w:after="0" w:line="233" w:lineRule="exact"/>
        <w:rPr>
          <w:sz w:val="20"/>
          <w:szCs w:val="20"/>
          <w:color w:val="auto"/>
        </w:rPr>
      </w:pPr>
    </w:p>
    <w:p>
      <w:pPr>
        <w:ind w:left="860" w:right="480" w:hanging="852"/>
        <w:spacing w:after="0" w:line="266" w:lineRule="auto"/>
        <w:tabs>
          <w:tab w:leader="none" w:pos="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Current lease liabilities are presented within accrued expenses and other current liabilities and payable and accrued liabilities due to related party of $0.7 million and $0.1 million, respectively, on the consolidated balance sheet.</w:t>
      </w:r>
    </w:p>
    <w:p>
      <w:pPr>
        <w:spacing w:after="0" w:line="1" w:lineRule="exact"/>
        <w:rPr>
          <w:rFonts w:ascii="Arial" w:cs="Arial" w:eastAsia="Arial" w:hAnsi="Arial"/>
          <w:sz w:val="16"/>
          <w:szCs w:val="16"/>
          <w:color w:val="auto"/>
        </w:rPr>
      </w:pPr>
    </w:p>
    <w:p>
      <w:pPr>
        <w:ind w:left="860" w:right="440" w:hanging="852"/>
        <w:spacing w:after="0" w:line="288" w:lineRule="auto"/>
        <w:tabs>
          <w:tab w:leader="none" w:pos="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Non-current lease liabilities are presented within other non-current liabilities on the consolidated balance sheet, which includes $0.1 million due to Tallac Therapeutics.</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components of lease costs (in thousands):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center"/>
              <w:ind w:right="357"/>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9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6"/>
              </w:rPr>
              <w:t>2021</w:t>
            </w: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360</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 xml:space="preserve">Variable lease cost and other, net </w:t>
            </w:r>
            <w:r>
              <w:rPr>
                <w:rFonts w:ascii="Arial" w:cs="Arial" w:eastAsia="Arial" w:hAnsi="Arial"/>
                <w:sz w:val="15"/>
                <w:szCs w:val="15"/>
                <w:color w:val="auto"/>
              </w:rPr>
              <w:t>(i)</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84</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Amortization of right-of-use assets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369</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13</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lease cost</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826</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860" w:right="100" w:hanging="852"/>
        <w:spacing w:after="0" w:line="278" w:lineRule="auto"/>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variable lease cost and other, net is comprised primarily of common area maintenance charges for the operating lease, which is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3" w:name="page134"/>
    <w:bookmarkEnd w:id="133"/>
    <w:p>
      <w:pPr>
        <w:ind w:left="600"/>
        <w:spacing w:after="0"/>
        <w:rPr>
          <w:sz w:val="20"/>
          <w:szCs w:val="20"/>
          <w:color w:val="auto"/>
        </w:rPr>
      </w:pPr>
      <w:r>
        <w:rPr>
          <w:rFonts w:ascii="Arial" w:cs="Arial" w:eastAsia="Arial" w:hAnsi="Arial"/>
          <w:sz w:val="18"/>
          <w:szCs w:val="18"/>
          <w:color w:val="auto"/>
        </w:rPr>
        <w:t>The following table presents supplemental cash flow information related to leases: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center"/>
              <w:ind w:right="357"/>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7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180" w:type="dxa"/>
            <w:vAlign w:val="bottom"/>
            <w:tcBorders>
              <w:bottom w:val="single" w:sz="8" w:color="CFF0FC"/>
            </w:tcBorders>
          </w:tcPr>
          <w:p>
            <w:pPr>
              <w:spacing w:after="0"/>
              <w:rPr>
                <w:sz w:val="14"/>
                <w:szCs w:val="14"/>
                <w:color w:val="auto"/>
              </w:rPr>
            </w:pPr>
          </w:p>
        </w:tc>
        <w:tc>
          <w:tcPr>
            <w:tcW w:w="20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6"/>
              </w:rPr>
              <w:t>2021</w:t>
            </w: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243</w:t>
            </w: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finance leases</w:t>
            </w:r>
          </w:p>
        </w:tc>
        <w:tc>
          <w:tcPr>
            <w:tcW w:w="2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11</w:t>
            </w: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Financing cash flows from finance leases</w:t>
            </w: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281</w:t>
            </w:r>
          </w:p>
        </w:tc>
      </w:tr>
      <w:tr>
        <w:trPr>
          <w:trHeight w:val="229"/>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 acquired under leases</w:t>
            </w:r>
          </w:p>
        </w:tc>
        <w:tc>
          <w:tcPr>
            <w:tcW w:w="2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Operating leases</w:t>
            </w: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1,780</w:t>
            </w:r>
          </w:p>
        </w:tc>
      </w:tr>
      <w:tr>
        <w:trPr>
          <w:trHeight w:val="229"/>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2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776</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 840 Disclosures</w:t>
      </w:r>
    </w:p>
    <w:p>
      <w:pPr>
        <w:spacing w:after="0" w:line="117"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The Company elected the alternative modified transition method, which applies ASC 842 as of the effective date on January 1, 2021. Prior to the adoption of ASC 842, the Company applied ASC 840 to its lease transactions.</w:t>
      </w:r>
    </w:p>
    <w:p>
      <w:pPr>
        <w:spacing w:after="0" w:line="170"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following table presents the future minimum lease commitments under the Company’s operating leases as of December 31, 2020, as previously disclosed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57"/>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2020</w:t>
            </w: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140</w:t>
            </w:r>
          </w:p>
        </w:tc>
      </w:tr>
      <w:tr>
        <w:trPr>
          <w:trHeight w:val="230"/>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2022-2023</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206</w:t>
            </w:r>
          </w:p>
        </w:tc>
      </w:tr>
      <w:tr>
        <w:trPr>
          <w:trHeight w:val="223"/>
        </w:trPr>
        <w:tc>
          <w:tcPr>
            <w:tcW w:w="9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346</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Rent expense was $0.6 million and $0.8 million for the years ended December 31, 2020 and 2019, respectively.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121"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auto"/>
        </w:rPr>
        <w:t>The Company’s wholly-owned subsidiaries Alexo Therapeutics International and Sirpant Therapeutics, as borrowers, entered into a Loan and Security Agreement, or the Loan Agreement, dated as of December 20, 2019, with Silicon Valley Bank, or SVB, and WestRiver, collectively as lenders, and SVB, as administrative agent and collateral agent. On the closing date of the Loan Agreement in December 2019, $6.0 million was funded to the Company. In December 2020, the Company fully repaid the loan balance.</w:t>
      </w:r>
    </w:p>
    <w:p>
      <w:pPr>
        <w:spacing w:after="0" w:line="18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In conjunction with the Loan Agreement, the Company issued warrants to purchase Series B convertible preferred stock to SVB and WestRiver, and recorded a warrant liability of approximately $0.4 million at the date of issuance. The Company also determined that certain loan features were embedded derivatives requiring bifurcation and separate accounting, and recorded a term loan compound derivative liability of approximately $51,000. The Company measured its Series B convertible preferred stock warrant liability and term loan compound derivative liability at fair value on a recurring basis, which were classified as Level 3 liabilities. During the year ended December 31, 2020, the increase in fair value in warrant liability was approximately $658,000. During the year ended December 31, 2020, the decreases in fair value in compound derivative liability was approximately $8,000. Those amounts were recognized as a component of other income (expense), net in the consolidated statement of operations and comprehensive loss. The Company reclassified the preferred stock warrant liability balance into additional paid-in capital in July 2020 with no further re-measurement required, as the common stock warrants are considered permanent equity effective with the completion of the initial public offering. The compound derivative liability was extinguished upon the extinguishment of the host instrument in December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(8) STOCKHOLDERS’ EQUITY</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On July 21, 2020, the Company’s amended and restated certificate of incorporation became effective, authorizing 1,000,000,000 shares of common stock and 100,000,000 shares of undesignated preferred stock. As of December 31, 2021 and 2020, the Company had 40,587,067 and 39,844,522 shares of common stock outstanding, respectively.</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In July 2020, the Company consummated its initial public offering and issued 9,775,000 shares of common stock for net proceeds of approximately $169.5 million, after deducting underwriting discounts and commissions of $13.0 million and offering-related expenses of $3.2 million. Upon the closing of the initial public offering, all shares of convertible preferred stock outstanding and accrued cumulative dividends were automatically converted into 23,934,533 shares of common stock.</w:t>
      </w:r>
    </w:p>
    <w:p>
      <w:pPr>
        <w:spacing w:after="0" w:line="187" w:lineRule="exact"/>
        <w:rPr>
          <w:sz w:val="20"/>
          <w:szCs w:val="20"/>
          <w:color w:val="auto"/>
        </w:rPr>
      </w:pPr>
    </w:p>
    <w:p>
      <w:pPr>
        <w:jc w:val="both"/>
        <w:ind w:right="320" w:firstLine="589"/>
        <w:spacing w:after="0" w:line="342" w:lineRule="auto"/>
        <w:rPr>
          <w:sz w:val="20"/>
          <w:szCs w:val="20"/>
          <w:color w:val="auto"/>
        </w:rPr>
      </w:pPr>
      <w:r>
        <w:rPr>
          <w:rFonts w:ascii="Arial" w:cs="Arial" w:eastAsia="Arial" w:hAnsi="Arial"/>
          <w:sz w:val="16"/>
          <w:szCs w:val="16"/>
          <w:color w:val="auto"/>
        </w:rPr>
        <w:t>In December 2020, the Company consummated its follow-on public offering and issued 2,737,000 shares of common stock for net proceeds of approximately $194.9 million, after deducting underwriting discounts and commissions of $12.5 million and offering-related expenses of $0.7 million.</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Common stock reserved for future issuance as of December 31, 2021 consists of the following:</w:t>
      </w:r>
    </w:p>
    <w:p>
      <w:pPr>
        <w:spacing w:after="0" w:line="298"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December 31,</w:t>
      </w:r>
    </w:p>
    <w:p>
      <w:pPr>
        <w:spacing w:after="0" w:line="17"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-3175</wp:posOffset>
            </wp:positionV>
            <wp:extent cx="4989195"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Stock options issued and outstanding</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Restricted stock units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3" w:lineRule="exact"/>
        <w:rPr>
          <w:sz w:val="20"/>
          <w:szCs w:val="20"/>
          <w:color w:val="auto"/>
        </w:rPr>
      </w:pPr>
    </w:p>
    <w:p>
      <w:pPr>
        <w:ind w:left="1700" w:right="980"/>
        <w:spacing w:after="0" w:line="286" w:lineRule="auto"/>
        <w:rPr>
          <w:sz w:val="20"/>
          <w:szCs w:val="20"/>
          <w:color w:val="auto"/>
        </w:rPr>
      </w:pPr>
      <w:r>
        <w:rPr>
          <w:rFonts w:ascii="Arial" w:cs="Arial" w:eastAsia="Arial" w:hAnsi="Arial"/>
          <w:sz w:val="18"/>
          <w:szCs w:val="18"/>
          <w:color w:val="auto"/>
        </w:rPr>
        <w:t>Remaining shares available for future issuance under equity incentive plan Employee Stock Purchase Plan shares authorized for future issuance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-177800</wp:posOffset>
            </wp:positionV>
            <wp:extent cx="4989195"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Dividends</w:t>
      </w:r>
    </w:p>
    <w:p>
      <w:pPr>
        <w:spacing w:after="0" w:line="20" w:lineRule="exact"/>
        <w:rPr>
          <w:sz w:val="20"/>
          <w:szCs w:val="20"/>
          <w:color w:val="auto"/>
        </w:rPr>
      </w:pPr>
      <w:r>
        <w:rPr>
          <w:sz w:val="20"/>
          <w:szCs w:val="20"/>
          <w:color w:val="auto"/>
        </w:rPr>
        <w:br w:type="column"/>
      </w:r>
    </w:p>
    <w:p>
      <w:pPr>
        <w:jc w:val="right"/>
        <w:ind w:right="1720"/>
        <w:spacing w:after="0"/>
        <w:rPr>
          <w:sz w:val="20"/>
          <w:szCs w:val="20"/>
          <w:color w:val="auto"/>
        </w:rPr>
      </w:pPr>
      <w:r>
        <w:rPr>
          <w:rFonts w:ascii="Arial" w:cs="Arial" w:eastAsia="Arial" w:hAnsi="Arial"/>
          <w:sz w:val="16"/>
          <w:szCs w:val="16"/>
          <w:color w:val="auto"/>
        </w:rPr>
        <w:t>5,128,639</w:t>
      </w:r>
    </w:p>
    <w:p>
      <w:pPr>
        <w:spacing w:after="0" w:line="53" w:lineRule="exact"/>
        <w:rPr>
          <w:sz w:val="20"/>
          <w:szCs w:val="20"/>
          <w:color w:val="auto"/>
        </w:rPr>
      </w:pPr>
    </w:p>
    <w:p>
      <w:pPr>
        <w:jc w:val="right"/>
        <w:ind w:right="1720"/>
        <w:spacing w:after="0"/>
        <w:rPr>
          <w:sz w:val="20"/>
          <w:szCs w:val="20"/>
          <w:color w:val="auto"/>
        </w:rPr>
      </w:pPr>
      <w:r>
        <w:rPr>
          <w:rFonts w:ascii="Arial" w:cs="Arial" w:eastAsia="Arial" w:hAnsi="Arial"/>
          <w:sz w:val="17"/>
          <w:szCs w:val="17"/>
          <w:color w:val="auto"/>
        </w:rPr>
        <w:t>15,075</w:t>
      </w:r>
    </w:p>
    <w:p>
      <w:pPr>
        <w:spacing w:after="0" w:line="24" w:lineRule="exact"/>
        <w:rPr>
          <w:sz w:val="20"/>
          <w:szCs w:val="20"/>
          <w:color w:val="auto"/>
        </w:rPr>
      </w:pPr>
    </w:p>
    <w:p>
      <w:pPr>
        <w:jc w:val="right"/>
        <w:ind w:right="1720"/>
        <w:spacing w:after="0"/>
        <w:rPr>
          <w:sz w:val="20"/>
          <w:szCs w:val="20"/>
          <w:color w:val="auto"/>
        </w:rPr>
      </w:pPr>
      <w:r>
        <w:rPr>
          <w:rFonts w:ascii="Arial" w:cs="Arial" w:eastAsia="Arial" w:hAnsi="Arial"/>
          <w:sz w:val="16"/>
          <w:szCs w:val="16"/>
          <w:color w:val="auto"/>
        </w:rPr>
        <w:t>3,407,898</w:t>
      </w:r>
    </w:p>
    <w:p>
      <w:pPr>
        <w:spacing w:after="0" w:line="46"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790,822</w:t>
      </w:r>
    </w:p>
    <w:p>
      <w:pPr>
        <w:spacing w:after="0" w:line="35" w:lineRule="exact"/>
        <w:rPr>
          <w:sz w:val="20"/>
          <w:szCs w:val="20"/>
          <w:color w:val="auto"/>
        </w:rPr>
      </w:pPr>
    </w:p>
    <w:p>
      <w:pPr>
        <w:jc w:val="center"/>
        <w:ind w:right="1720"/>
        <w:spacing w:after="0"/>
        <w:rPr>
          <w:sz w:val="20"/>
          <w:szCs w:val="20"/>
          <w:color w:val="auto"/>
        </w:rPr>
      </w:pPr>
      <w:r>
        <w:rPr>
          <w:rFonts w:ascii="Arial" w:cs="Arial" w:eastAsia="Arial" w:hAnsi="Arial"/>
          <w:sz w:val="16"/>
          <w:szCs w:val="16"/>
          <w:color w:val="auto"/>
        </w:rPr>
        <w:t>9,342,434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46355</wp:posOffset>
            </wp:positionV>
            <wp:extent cx="8312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747" w:lineRule="exact"/>
        <w:rPr>
          <w:sz w:val="20"/>
          <w:szCs w:val="20"/>
          <w:color w:val="auto"/>
        </w:rPr>
      </w:pPr>
    </w:p>
    <w:p>
      <w:pPr>
        <w:sectPr>
          <w:pgSz w:w="11900" w:h="16838" w:orient="portrait"/>
          <w:cols w:equalWidth="0" w:num="2">
            <w:col w:w="8040" w:space="720"/>
            <w:col w:w="2440"/>
          </w:cols>
          <w:pgMar w:left="320" w:top="661" w:right="379" w:bottom="1440" w:gutter="0" w:footer="0" w:header="0"/>
          <w:type w:val="continuous"/>
        </w:sectPr>
      </w:pPr>
    </w:p>
    <w:p>
      <w:pPr>
        <w:ind w:right="60" w:firstLine="589"/>
        <w:spacing w:after="0" w:line="289" w:lineRule="auto"/>
        <w:rPr>
          <w:sz w:val="20"/>
          <w:szCs w:val="20"/>
          <w:color w:val="auto"/>
        </w:rPr>
      </w:pPr>
      <w:r>
        <w:rPr>
          <w:rFonts w:ascii="Arial" w:cs="Arial" w:eastAsia="Arial" w:hAnsi="Arial"/>
          <w:sz w:val="16"/>
          <w:szCs w:val="16"/>
          <w:color w:val="auto"/>
        </w:rPr>
        <w:t>Prior to the Company’s initial public offering, cumulative dividends of 6.0% per annum of the original issue price for each convertible preferred stock series were payable when and as declared by the Company’s Board of Directors, or Board of Directors, upon the occurrence of a liquidation event or upon a contingent mandatory conversion of the convertible preferred stock in connection with a qualified initial public offering as described below. The Series A original issue price was $6.58, and the Series B and Series C original issue price was $9.4972. The original issue price was subject to adjustment in the event of any share dividend, share split, combination, consolidation or other recapitalization. The dividends accrued from day to day from the issue date of such preferred stock whether or not declared and were cumulative. In addition, the preferred stockholders participated on an as-converted basis in any dividends payable to common stockholders. As of July 20, 2020, there were approximately $18.0 million of accrued cumulative dividends on the Series A, Series B and Series C convertible preferred stock, which became payable upon the consummation of the Company’s initial public offering and automatically converted into 2,564,759 shares of the Company’s common stock.</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2015 Share Award Scheme</w:t>
      </w:r>
    </w:p>
    <w:p>
      <w:pPr>
        <w:spacing w:after="0" w:line="117"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During 2015, the Company adopted an equity compensation plan, the 2015 Share Award Scheme, or the 2015 Share Award Scheme, for eligible employees, officers, directors, advisors, and consultants. The 2015 Share Award Scheme provided for the grant of incentive and non-statutory share options. The 2015 Share Award Scheme permitted the Company to grant up to 2,143,117 shares of common stock pursuant to awards granted thereunder, including incentive share options, non-statutory share options, conditional share awards and restricted share awards.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2020 Equity Incentive Plan</w:t>
      </w:r>
    </w:p>
    <w:p>
      <w:pPr>
        <w:spacing w:after="0" w:line="117"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auto"/>
        </w:rPr>
        <w:t>On April 1, 2020, the Board of Directors approved a new equity incentive plan, or the 2020 Equity Incentive Plan, that replaced the 2015 Share Award Scheme. The 2020 Equity Incentive Plan permitted the issuance of up to 4,379,139 shares of the Company’s common stock pursuant to awards granted under it, and authorized the award of stock options, restricted stock awards, stock appreciation rights and restricted stock units to employees, directors, and consultants.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2020 Amended and Restated Equity Incentive Plan</w:t>
      </w:r>
    </w:p>
    <w:p>
      <w:pPr>
        <w:spacing w:after="0" w:line="117" w:lineRule="exact"/>
        <w:rPr>
          <w:sz w:val="20"/>
          <w:szCs w:val="20"/>
          <w:color w:val="auto"/>
        </w:rPr>
      </w:pPr>
    </w:p>
    <w:p>
      <w:pPr>
        <w:ind w:right="740" w:firstLine="589"/>
        <w:spacing w:after="0" w:line="277" w:lineRule="auto"/>
        <w:rPr>
          <w:sz w:val="20"/>
          <w:szCs w:val="20"/>
          <w:color w:val="auto"/>
        </w:rPr>
      </w:pPr>
      <w:r>
        <w:rPr>
          <w:rFonts w:ascii="Arial" w:cs="Arial" w:eastAsia="Arial" w:hAnsi="Arial"/>
          <w:sz w:val="18"/>
          <w:szCs w:val="18"/>
          <w:color w:val="auto"/>
        </w:rPr>
        <w:t>In July 2020, the Company adopted the Amended and Restated 2020 Equity Incentive Plan, or the 2020 Plan. The 2020 Plan replaced the Company’s 2020 Equity Incentive Plan and a total of 7,874,862 shares were reserved under the 2020 Plan.</w:t>
      </w:r>
    </w:p>
    <w:p>
      <w:pPr>
        <w:spacing w:after="0" w:line="170"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The terms of the stock option agreements, including vesting requirements, are determined by the Board of Directors, subject to the provisions of the 2020 Plan. The term of the options generally expire, upon the earliest of (i) termination of continuous service for cause (ii) three months after the termination of continuous service for reasons other than cause, death or disability (iii) twelve months after the termination of continuous service due to disability (iv) eighteen months after the employee’s death if the employee died during the period of continuous service (v) expiration date in the grant notice or (vi) the day before the tenth anniversary of the date of grant. The per share exercise price of the incentive share options must equal at least the fair market value of a share underlying such options on the date of grant.</w:t>
      </w:r>
    </w:p>
    <w:p>
      <w:pPr>
        <w:spacing w:after="0" w:line="192"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All awards that are canceled, forfeited or expired are returned to the 2020 Plan and are available for grant in conjunction with the issuance of new awards. Share options granted are exercisable over a maximum term of 10 years from the date of grant and generally vest over an agreed service period, usually four years. Certain share options granted under the 2020 Plan provide option holders the right to elect to exercise unvested options in exchange for common stock. Such unvested common stock is subject to a repurchase right held by the Company at the original issuance price in the event the optionee’s service to the Company is terminated either voluntarily or involuntarily. The right lapses as the underlying repurchase right expires. These repurchase terms are considered to be a forfeiture provision. The cash received from employees for exercise of unvested options is treated as a refundable deposit and is classified as a liability on the consolidated balance sheets. At December 31, 2020, there were unvested early exercised options covering an aggregate of 63 shares and the liability related to these unvested options was approximately $0. At December 31, 2021, there was no such unvested early exercised options and related liability.</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 Option Modification</w:t>
      </w:r>
    </w:p>
    <w:p>
      <w:pPr>
        <w:spacing w:after="0" w:line="117" w:lineRule="exact"/>
        <w:rPr>
          <w:sz w:val="20"/>
          <w:szCs w:val="20"/>
          <w:color w:val="auto"/>
        </w:rPr>
      </w:pPr>
    </w:p>
    <w:p>
      <w:pPr>
        <w:ind w:right="240" w:firstLine="589"/>
        <w:spacing w:after="0" w:line="285" w:lineRule="auto"/>
        <w:rPr>
          <w:sz w:val="20"/>
          <w:szCs w:val="20"/>
          <w:color w:val="auto"/>
        </w:rPr>
      </w:pPr>
      <w:r>
        <w:rPr>
          <w:rFonts w:ascii="Arial" w:cs="Arial" w:eastAsia="Arial" w:hAnsi="Arial"/>
          <w:sz w:val="16"/>
          <w:szCs w:val="16"/>
          <w:color w:val="auto"/>
        </w:rPr>
        <w:t>In connection with the transfer of employees to Tallac Therapeutics, Dr. Hong Wan, the Company’s former Chief Scientific Officer, and eight of the Company’s employees, or Transferred Employees, terminated their employment with the Company effective as of June 30, 2020 and became employees of Tallac Therapeutics effective as of July 1, 2020. The options to purchase shares of the Company’s common stock that were previously granted to the Transferred Employees will continue to vest and be exercisable subject to the Transferred Employees remaining service providers to the Company under the original terms of the award. The Company evaluated the change in status from an employee to a consultant in accordance with ASC</w:t>
      </w:r>
    </w:p>
    <w:p>
      <w:pPr>
        <w:spacing w:after="0" w:line="2" w:lineRule="exact"/>
        <w:rPr>
          <w:sz w:val="20"/>
          <w:szCs w:val="20"/>
          <w:color w:val="auto"/>
        </w:rPr>
      </w:pPr>
    </w:p>
    <w:p>
      <w:pPr>
        <w:ind w:right="160" w:firstLine="8"/>
        <w:spacing w:after="0" w:line="270" w:lineRule="auto"/>
        <w:tabs>
          <w:tab w:leader="none" w:pos="3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While the Company concluded that the change in status did not affect the vesting condition or the classification of the initial awards, the significant reduction in the level of services that the grantees were expected to provide under the original awards as compared to the level of services expected under the Tallac Services Agreement will no longer meet the substantive service condition requirements and therefore the compensation cost for the unvested awards was recognized immediately with no future service requirement. In September 2020, in connection with the resignation of the Company’s former Chief Business Officer and the entry into a consulting agreement with him, the Company evaluated the change in status from an employee to a consultant in accordance with ASC 718. While the Company concluded that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36" w:name="page137"/>
    <w:bookmarkEnd w:id="136"/>
    <w:p>
      <w:pPr>
        <w:ind w:right="200"/>
        <w:spacing w:after="0" w:line="257" w:lineRule="auto"/>
        <w:rPr>
          <w:sz w:val="20"/>
          <w:szCs w:val="20"/>
          <w:color w:val="auto"/>
        </w:rPr>
      </w:pPr>
      <w:r>
        <w:rPr>
          <w:rFonts w:ascii="Arial" w:cs="Arial" w:eastAsia="Arial" w:hAnsi="Arial"/>
          <w:sz w:val="18"/>
          <w:szCs w:val="18"/>
          <w:color w:val="auto"/>
        </w:rPr>
        <w:t>the change in status did not affect the vesting condition or the classification of the initial awards, the significant reduction in the level of services that the grantee was expected to provide under the original awards as compared to the level of services expected under the consulting agreement will no longer meet the substantive service condition requirements and therefore the compensation expense for the unvested awards expected to vest during the consultancy was recognized immediately with no future service requirement. The Company recorded $1.7 million in stock-based compensation expenses related to the modifications for the year ended December 31, 2020.</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In July 2020, the Board of Directors and stockholders approved the ALX Oncology Holdings Inc. 2020 Employee Stock Purchase Plan, or the ESPP. The ESPP allows eligible employees to have up to 15 percent of their eligible compensation withheld and used to purchase common stock, subject to a maximum of $25,000 worth of stock purchased in a calendar year or no more than 3,000 shares in an offering period, whichever is less. An offering period consists of a six-month purchase period, with a look back feature to our stock price at the commencement of the offering period. Eligible employees can purchase the Company’s common stock at the end of the offering period at 85% of the lower of the closing price of our common stock on The Nasdaq Global Select Market on the first and last day of the offering period.</w:t>
      </w:r>
    </w:p>
    <w:p>
      <w:pPr>
        <w:spacing w:after="0" w:line="178"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The initial number of shares of common stock available for issuance under the ESPP, was 400,000. Unless the Board of Directors provides otherwise, beginning on January 1, 2021, the maximum number of shares which shall be made available for sale under the ESPP will automatically increase on the first day in January of each calendar year (i.e., the first day of our fiscal year) during the term of the ESPP by an amount equal to the least of:</w:t>
      </w:r>
    </w:p>
    <w:p>
      <w:pPr>
        <w:spacing w:after="0" w:line="79" w:lineRule="exact"/>
        <w:rPr>
          <w:sz w:val="20"/>
          <w:szCs w:val="20"/>
          <w:color w:val="auto"/>
        </w:rPr>
      </w:pPr>
    </w:p>
    <w:p>
      <w:pPr>
        <w:ind w:left="1440" w:hanging="474"/>
        <w:spacing w:after="0"/>
        <w:tabs>
          <w:tab w:leader="none" w:pos="1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800,000 shares;</w:t>
      </w:r>
    </w:p>
    <w:p>
      <w:pPr>
        <w:spacing w:after="0" w:line="117" w:lineRule="exact"/>
        <w:rPr>
          <w:rFonts w:ascii="Arial" w:cs="Arial" w:eastAsia="Arial" w:hAnsi="Arial"/>
          <w:sz w:val="18"/>
          <w:szCs w:val="18"/>
          <w:color w:val="auto"/>
        </w:rPr>
      </w:pPr>
    </w:p>
    <w:p>
      <w:pPr>
        <w:ind w:left="1440" w:hanging="474"/>
        <w:spacing w:after="0"/>
        <w:tabs>
          <w:tab w:leader="none" w:pos="1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one percent of the outstanding shares of our common stock on the last day of our immediately preceding fiscal year; or</w:t>
      </w:r>
    </w:p>
    <w:p>
      <w:pPr>
        <w:spacing w:after="0" w:line="117" w:lineRule="exact"/>
        <w:rPr>
          <w:rFonts w:ascii="Arial" w:cs="Arial" w:eastAsia="Arial" w:hAnsi="Arial"/>
          <w:sz w:val="18"/>
          <w:szCs w:val="18"/>
          <w:color w:val="auto"/>
        </w:rPr>
      </w:pPr>
    </w:p>
    <w:p>
      <w:pPr>
        <w:ind w:left="1440" w:hanging="474"/>
        <w:spacing w:after="0"/>
        <w:tabs>
          <w:tab w:leader="none" w:pos="14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such number of shares as our board of directors may determine no later than the last day of our immediately preceding fiscal year.</w:t>
      </w:r>
    </w:p>
    <w:p>
      <w:pPr>
        <w:spacing w:after="0" w:line="27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Accordingly, on January 1, 2021, the number of shares available under the ESPP was increased by 398,445 shares. As of December 31, 2021, 7,623 shares of common stock have been purchased under the ESPP, and the number of shares of common stock available for issuance under the ESPP was 790,822.</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Shares Available for Grant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provides a summary of share option and restricted stock unit activity under the 2020 Plan: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Available to</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7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2,835,445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Authorized</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1,593,781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72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(1,447,470)</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Canceled/forfeited</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426,142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4780" w:type="dxa"/>
            <w:vAlign w:val="bottom"/>
            <w:tcBorders>
              <w:top w:val="single" w:sz="8" w:color="CFF0FC"/>
              <w:bottom w:val="single" w:sz="8" w:color="CFF0FC"/>
            </w:tcBorders>
            <w:shd w:val="clear" w:color="auto" w:fill="CFF0FC"/>
          </w:tcPr>
          <w:p>
            <w:pPr>
              <w:spacing w:after="0"/>
              <w:rPr>
                <w:sz w:val="19"/>
                <w:szCs w:val="19"/>
                <w:color w:val="auto"/>
              </w:rPr>
            </w:pPr>
          </w:p>
        </w:tc>
        <w:tc>
          <w:tcPr>
            <w:tcW w:w="2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3,407,898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780" w:type="dxa"/>
            <w:vAlign w:val="bottom"/>
            <w:vMerge w:val="restart"/>
          </w:tcPr>
          <w:p>
            <w:pPr>
              <w:jc w:val="right"/>
              <w:ind w:right="2930"/>
              <w:spacing w:after="0"/>
              <w:rPr>
                <w:sz w:val="20"/>
                <w:szCs w:val="20"/>
                <w:color w:val="auto"/>
              </w:rPr>
            </w:pPr>
            <w:r>
              <w:rPr>
                <w:rFonts w:ascii="Arial" w:cs="Arial" w:eastAsia="Arial" w:hAnsi="Arial"/>
                <w:sz w:val="18"/>
                <w:szCs w:val="18"/>
                <w:color w:val="auto"/>
              </w:rPr>
              <w:t>133</w:t>
            </w:r>
          </w:p>
        </w:tc>
        <w:tc>
          <w:tcPr>
            <w:tcW w:w="2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00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7" w:name="page138"/>
    <w:bookmarkEnd w:id="137"/>
    <w:p>
      <w:pPr>
        <w:ind w:left="60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provides a summary of share option activity under the Plan and related information: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Outstanding Options</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6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4,857,308</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375,270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Authorized</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1,432,395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60.21</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(734,922)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Canceled/forfeited</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(426,142)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December 31,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5,128,639</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23.91</w:t>
            </w:r>
          </w:p>
        </w:tc>
        <w:tc>
          <w:tcPr>
            <w:tcW w:w="220" w:type="dxa"/>
            <w:vAlign w:val="bottom"/>
            <w:tcBorders>
              <w:bottom w:val="single" w:sz="8" w:color="CFF0FC"/>
            </w:tcBorders>
          </w:tcPr>
          <w:p>
            <w:pPr>
              <w:spacing w:after="0"/>
              <w:rPr>
                <w:sz w:val="22"/>
                <w:szCs w:val="22"/>
                <w:color w:val="auto"/>
              </w:rPr>
            </w:pPr>
          </w:p>
        </w:tc>
        <w:tc>
          <w:tcPr>
            <w:tcW w:w="1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8.28</w:t>
            </w:r>
          </w:p>
        </w:tc>
        <w:tc>
          <w:tcPr>
            <w:tcW w:w="3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49,745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December 31,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3,143,797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48,625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589"/>
        <w:spacing w:after="0" w:line="286" w:lineRule="auto"/>
        <w:rPr>
          <w:sz w:val="20"/>
          <w:szCs w:val="20"/>
          <w:color w:val="auto"/>
        </w:rPr>
      </w:pPr>
      <w:r>
        <w:rPr>
          <w:rFonts w:ascii="Arial" w:cs="Arial" w:eastAsia="Arial" w:hAnsi="Arial"/>
          <w:sz w:val="17"/>
          <w:szCs w:val="17"/>
          <w:color w:val="auto"/>
        </w:rPr>
        <w:t>The aggregate intrinsic values represent the total pre-tax intrinsic value, of options outstanding and exercisable calculated as the difference between the exercise price of the options and the fair value of the Company’s common stock as of December 31, 2021 and 2020. The total intrinsic value of options exercised during the years ended December 31, 2021, 2020 and 2019 were $48.1 million, $4.4 million and immaterial, respectively.</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 Option Valuation Assumptions</w:t>
      </w:r>
    </w:p>
    <w:p>
      <w:pPr>
        <w:spacing w:after="0" w:line="131"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The Company uses the Black-Scholes option pricing model to determine the estimated fair value of stock options at the date of the grant, and stock-based compensation is adjusted for actual forfeitures as they occur. The fair value of each option grant during the years ended December 31, 2021, 2020 and 2019 was estimated with the following assumptions: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55"/>
        </w:trPr>
        <w:tc>
          <w:tcPr>
            <w:tcW w:w="3620" w:type="dxa"/>
            <w:vAlign w:val="bottom"/>
          </w:tcPr>
          <w:p>
            <w:pPr>
              <w:spacing w:after="0"/>
              <w:rPr>
                <w:sz w:val="13"/>
                <w:szCs w:val="13"/>
                <w:color w:val="auto"/>
              </w:rPr>
            </w:pPr>
          </w:p>
        </w:tc>
        <w:tc>
          <w:tcPr>
            <w:tcW w:w="1680" w:type="dxa"/>
            <w:vAlign w:val="bottom"/>
            <w:gridSpan w:val="2"/>
          </w:tcPr>
          <w:p>
            <w:pPr>
              <w:jc w:val="right"/>
              <w:ind w:right="510"/>
              <w:spacing w:after="0" w:line="155" w:lineRule="exact"/>
              <w:rPr>
                <w:sz w:val="20"/>
                <w:szCs w:val="20"/>
                <w:color w:val="auto"/>
              </w:rPr>
            </w:pPr>
            <w:r>
              <w:rPr>
                <w:rFonts w:ascii="Arial" w:cs="Arial" w:eastAsia="Arial" w:hAnsi="Arial"/>
                <w:sz w:val="14"/>
                <w:szCs w:val="14"/>
                <w:b w:val="1"/>
                <w:bCs w:val="1"/>
                <w:color w:val="auto"/>
              </w:rPr>
              <w:t>2021</w:t>
            </w:r>
          </w:p>
        </w:tc>
        <w:tc>
          <w:tcPr>
            <w:tcW w:w="1980" w:type="dxa"/>
            <w:vAlign w:val="bottom"/>
            <w:gridSpan w:val="4"/>
          </w:tcPr>
          <w:p>
            <w:pPr>
              <w:jc w:val="right"/>
              <w:ind w:right="61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620" w:type="dxa"/>
            <w:vAlign w:val="bottom"/>
            <w:gridSpan w:val="2"/>
          </w:tcPr>
          <w:p>
            <w:pPr>
              <w:jc w:val="right"/>
              <w:ind w:right="590"/>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7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- 6.1</w:t>
            </w: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90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- 6.1</w:t>
            </w: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8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- 6.0</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780" w:type="dxa"/>
            <w:vAlign w:val="bottom"/>
          </w:tcPr>
          <w:p>
            <w:pPr>
              <w:ind w:left="20"/>
              <w:spacing w:after="0"/>
              <w:rPr>
                <w:sz w:val="20"/>
                <w:szCs w:val="20"/>
                <w:color w:val="auto"/>
              </w:rPr>
            </w:pPr>
            <w:r>
              <w:rPr>
                <w:rFonts w:ascii="Arial" w:cs="Arial" w:eastAsia="Arial" w:hAnsi="Arial"/>
                <w:sz w:val="18"/>
                <w:szCs w:val="18"/>
                <w:color w:val="auto"/>
              </w:rPr>
              <w:t>- 1.4%</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900" w:type="dxa"/>
            <w:vAlign w:val="bottom"/>
          </w:tcPr>
          <w:p>
            <w:pPr>
              <w:ind w:left="40"/>
              <w:spacing w:after="0"/>
              <w:rPr>
                <w:sz w:val="20"/>
                <w:szCs w:val="20"/>
                <w:color w:val="auto"/>
              </w:rPr>
            </w:pPr>
            <w:r>
              <w:rPr>
                <w:rFonts w:ascii="Arial" w:cs="Arial" w:eastAsia="Arial" w:hAnsi="Arial"/>
                <w:sz w:val="18"/>
                <w:szCs w:val="18"/>
                <w:color w:val="auto"/>
              </w:rPr>
              <w:t>- 0.8%</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880" w:type="dxa"/>
            <w:vAlign w:val="bottom"/>
          </w:tcPr>
          <w:p>
            <w:pPr>
              <w:ind w:left="20"/>
              <w:spacing w:after="0"/>
              <w:rPr>
                <w:sz w:val="20"/>
                <w:szCs w:val="20"/>
                <w:color w:val="auto"/>
              </w:rPr>
            </w:pPr>
            <w:r>
              <w:rPr>
                <w:rFonts w:ascii="Arial" w:cs="Arial" w:eastAsia="Arial" w:hAnsi="Arial"/>
                <w:sz w:val="18"/>
                <w:szCs w:val="18"/>
                <w:color w:val="auto"/>
              </w:rPr>
              <w:t>- 2.1%</w:t>
            </w: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rate</w:t>
            </w:r>
          </w:p>
        </w:tc>
        <w:tc>
          <w:tcPr>
            <w:tcW w:w="900" w:type="dxa"/>
            <w:vAlign w:val="bottom"/>
            <w:shd w:val="clear" w:color="auto" w:fill="CFF0FC"/>
          </w:tcPr>
          <w:p>
            <w:pPr>
              <w:spacing w:after="0"/>
              <w:rPr>
                <w:sz w:val="19"/>
                <w:szCs w:val="19"/>
                <w:color w:val="auto"/>
              </w:rPr>
            </w:pPr>
          </w:p>
        </w:tc>
        <w:tc>
          <w:tcPr>
            <w:tcW w:w="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900" w:type="dxa"/>
            <w:vAlign w:val="bottom"/>
          </w:tcPr>
          <w:p>
            <w:pPr>
              <w:jc w:val="right"/>
              <w:spacing w:after="0"/>
              <w:rPr>
                <w:sz w:val="20"/>
                <w:szCs w:val="20"/>
                <w:color w:val="auto"/>
              </w:rPr>
            </w:pPr>
            <w:r>
              <w:rPr>
                <w:rFonts w:ascii="Arial" w:cs="Arial" w:eastAsia="Arial" w:hAnsi="Arial"/>
                <w:sz w:val="18"/>
                <w:szCs w:val="18"/>
                <w:color w:val="auto"/>
              </w:rPr>
              <w:t>79.7%</w:t>
            </w:r>
          </w:p>
        </w:tc>
        <w:tc>
          <w:tcPr>
            <w:tcW w:w="780" w:type="dxa"/>
            <w:vAlign w:val="bottom"/>
          </w:tcPr>
          <w:p>
            <w:pPr>
              <w:ind w:left="20"/>
              <w:spacing w:after="0"/>
              <w:rPr>
                <w:sz w:val="20"/>
                <w:szCs w:val="20"/>
                <w:color w:val="auto"/>
              </w:rPr>
            </w:pPr>
            <w:r>
              <w:rPr>
                <w:rFonts w:ascii="Arial" w:cs="Arial" w:eastAsia="Arial" w:hAnsi="Arial"/>
                <w:sz w:val="18"/>
                <w:szCs w:val="18"/>
                <w:color w:val="auto"/>
              </w:rPr>
              <w:t>- 86.9%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78.7%</w:t>
            </w:r>
          </w:p>
        </w:tc>
        <w:tc>
          <w:tcPr>
            <w:tcW w:w="900" w:type="dxa"/>
            <w:vAlign w:val="bottom"/>
          </w:tcPr>
          <w:p>
            <w:pPr>
              <w:ind w:left="40"/>
              <w:spacing w:after="0"/>
              <w:rPr>
                <w:sz w:val="20"/>
                <w:szCs w:val="20"/>
                <w:color w:val="auto"/>
              </w:rPr>
            </w:pPr>
            <w:r>
              <w:rPr>
                <w:rFonts w:ascii="Arial" w:cs="Arial" w:eastAsia="Arial" w:hAnsi="Arial"/>
                <w:sz w:val="18"/>
                <w:szCs w:val="18"/>
                <w:color w:val="auto"/>
              </w:rPr>
              <w:t>- 89.0%</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75.2%</w:t>
            </w:r>
          </w:p>
        </w:tc>
        <w:tc>
          <w:tcPr>
            <w:tcW w:w="880" w:type="dxa"/>
            <w:vAlign w:val="bottom"/>
          </w:tcPr>
          <w:p>
            <w:pPr>
              <w:ind w:left="20"/>
              <w:spacing w:after="0"/>
              <w:rPr>
                <w:sz w:val="20"/>
                <w:szCs w:val="20"/>
                <w:color w:val="auto"/>
              </w:rPr>
            </w:pPr>
            <w:r>
              <w:rPr>
                <w:rFonts w:ascii="Arial" w:cs="Arial" w:eastAsia="Arial" w:hAnsi="Arial"/>
                <w:sz w:val="18"/>
                <w:szCs w:val="18"/>
                <w:color w:val="auto"/>
              </w:rPr>
              <w:t>- 80.5%</w:t>
            </w:r>
          </w:p>
        </w:tc>
      </w:tr>
    </w:tbl>
    <w:p>
      <w:pPr>
        <w:spacing w:after="0" w:line="241"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the options represents the average period the share options are expected to remain outstanding.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does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w:t>
      </w:r>
    </w:p>
    <w:p>
      <w:pPr>
        <w:spacing w:after="0" w:line="187"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 of U.S. Treasury notes as of the grant date with terms commensurate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term of the option.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expected dividends assumption is based on the Company’s expectation of not paying dividends in the foreseeable future.</w:t>
      </w:r>
    </w:p>
    <w:p>
      <w:pPr>
        <w:spacing w:after="0" w:line="23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Since the Company does not have sufficient trading history for its common stock, the expected volatility is based on the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the common shares of comparable publicly traded companies. The Company selected companies with comparable characteristics, including enterprise value, risk profiles, position within the industry, and with historical share price information sufficient to meet the expected life of the Company’s share-based awards.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38" w:name="page139"/>
    <w:bookmarkEnd w:id="138"/>
    <w:p>
      <w:pPr>
        <w:ind w:right="80" w:firstLine="589"/>
        <w:spacing w:after="0" w:line="290" w:lineRule="auto"/>
        <w:rPr>
          <w:sz w:val="20"/>
          <w:szCs w:val="20"/>
          <w:color w:val="auto"/>
        </w:rPr>
      </w:pPr>
      <w:r>
        <w:rPr>
          <w:rFonts w:ascii="Arial" w:cs="Arial" w:eastAsia="Arial" w:hAnsi="Arial"/>
          <w:sz w:val="16"/>
          <w:szCs w:val="16"/>
          <w:i w:val="1"/>
          <w:iCs w:val="1"/>
          <w:color w:val="auto"/>
        </w:rPr>
        <w:t>Fair Value</w:t>
      </w:r>
      <w:r>
        <w:rPr>
          <w:rFonts w:ascii="Arial" w:cs="Arial" w:eastAsia="Arial" w:hAnsi="Arial"/>
          <w:sz w:val="16"/>
          <w:szCs w:val="16"/>
          <w:color w:val="auto"/>
        </w:rPr>
        <w:t>. Historically, for all periods prior to our initial public offering, the fair value of the shares of common stock underlying our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was determined by the Company’s board of directors. Because there was no public market for the Company’s common stock, the board of directors determined fair value of the common stock at the time of grant of the options by considering a number of objective and subjective factors including important developments in the Company’s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 the board of directors deemed relevant to such determination. Since the completion of our initial public offering, the fair value of each share of common stock underlying stock option grants is based on the closing price of our common stock on the Nasdaq Global Select Market as reported on the date of grant.</w:t>
      </w:r>
    </w:p>
    <w:p>
      <w:pPr>
        <w:spacing w:after="0" w:line="31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provides a summary of restricted stock unit activity under the Plan and related information: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Outstanding RSUs</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Weighted-</w:t>
            </w:r>
          </w:p>
        </w:tc>
        <w:tc>
          <w:tcPr>
            <w:tcW w:w="14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 of RSUs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Intrinsic Value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as of December 31, 2020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28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15,075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58.56</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Canceled/forfeited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units as of December 31, 2021</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15,075</w:t>
            </w:r>
          </w:p>
        </w:tc>
        <w:tc>
          <w:tcPr>
            <w:tcW w:w="40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58.56</w:t>
            </w:r>
          </w:p>
        </w:tc>
        <w:tc>
          <w:tcPr>
            <w:tcW w:w="2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 Expenses</w:t>
      </w:r>
    </w:p>
    <w:p>
      <w:pPr>
        <w:spacing w:after="0" w:line="117"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Stock options granted are measured based on the grant-date fair value estimated using the Black-Scholes option pricing model. The grant-date fair value of restricted stock units is the fair value of the underlying stock on the award’s grant date. Compensation expense is recognized over the vesting period of the applicable awards on a straight-line basis. The weighted-average grant-date fair value per share for stock options granted during the years ended December 31, 2021, 2020 and 2019 was $42.29, $7.74 and $1.27, respectively. The grant date-fair value per share for restricted stock units during 2021 was $58.56. There were no restricted stock units granted in 2020 and 2019.</w:t>
      </w:r>
    </w:p>
    <w:p>
      <w:pPr>
        <w:spacing w:after="0" w:line="188" w:lineRule="exact"/>
        <w:rPr>
          <w:sz w:val="20"/>
          <w:szCs w:val="20"/>
          <w:color w:val="auto"/>
        </w:rPr>
      </w:pPr>
    </w:p>
    <w:p>
      <w:pPr>
        <w:ind w:right="720" w:firstLine="589"/>
        <w:spacing w:after="0" w:line="277" w:lineRule="auto"/>
        <w:rPr>
          <w:sz w:val="20"/>
          <w:szCs w:val="20"/>
          <w:color w:val="auto"/>
        </w:rPr>
      </w:pPr>
      <w:r>
        <w:rPr>
          <w:rFonts w:ascii="Arial" w:cs="Arial" w:eastAsia="Arial" w:hAnsi="Arial"/>
          <w:sz w:val="18"/>
          <w:szCs w:val="18"/>
          <w:color w:val="auto"/>
        </w:rPr>
        <w:t>Stock-based compensation expense includes stock options and restricted stock units and has been reported in the Company’s consolidated statements of operations and comprehensive loss as follows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20" w:type="dxa"/>
            <w:vAlign w:val="bottom"/>
            <w:tcBorders>
              <w:bottom w:val="single" w:sz="8" w:color="CFF0FC"/>
            </w:tcBorders>
          </w:tcPr>
          <w:p>
            <w:pPr>
              <w:spacing w:after="0"/>
              <w:rPr>
                <w:sz w:val="14"/>
                <w:szCs w:val="14"/>
                <w:color w:val="auto"/>
              </w:rPr>
            </w:pPr>
          </w:p>
        </w:tc>
        <w:tc>
          <w:tcPr>
            <w:tcW w:w="1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FF0FC"/>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services for related-party revenue</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FF0FC"/>
          </w:tcPr>
          <w:p>
            <w:pPr>
              <w:spacing w:after="0"/>
              <w:rPr>
                <w:sz w:val="19"/>
                <w:szCs w:val="19"/>
                <w:color w:val="auto"/>
              </w:rPr>
            </w:pPr>
          </w:p>
        </w:tc>
      </w:tr>
      <w:tr>
        <w:trPr>
          <w:trHeight w:val="223"/>
        </w:trPr>
        <w:tc>
          <w:tcPr>
            <w:tcW w:w="4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13,914</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As of December 31, 2021, there was unrecognized share-based compensation expense of $68.7 million, related to unvested share options which the Company expects to recognize over a weighted-average period of 2.8 years. There was unrecognized share-based compensation expense of $0.8 million, related to unvested restricted stock units which the Company expects to recognize over a weighted-average period of 3.6 years.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color w:val="auto"/>
        </w:rPr>
        <w:t>The U.S. domestic and international components of pre-tax loss for the years ending December 31, 2021, 2020 and 2019 are as follows (in thousands):</w:t>
      </w:r>
    </w:p>
    <w:p>
      <w:pPr>
        <w:spacing w:after="0" w:line="243"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11"/>
          </w:tcPr>
          <w:p>
            <w:pPr>
              <w:jc w:val="center"/>
              <w:ind w:left="495"/>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0" w:type="dxa"/>
            <w:vAlign w:val="bottom"/>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3"/>
              <w:spacing w:after="0" w:line="155"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54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(30,565)</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International</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(52,919)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(36,042)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(20,022)</w:t>
            </w:r>
          </w:p>
        </w:tc>
      </w:tr>
      <w:tr>
        <w:trPr>
          <w:trHeight w:val="223"/>
        </w:trPr>
        <w:tc>
          <w:tcPr>
            <w:tcW w:w="540" w:type="dxa"/>
            <w:vAlign w:val="bottom"/>
          </w:tcPr>
          <w:p>
            <w:pPr>
              <w:spacing w:after="0"/>
              <w:rPr>
                <w:sz w:val="19"/>
                <w:szCs w:val="19"/>
                <w:color w:val="auto"/>
              </w:rPr>
            </w:pPr>
          </w:p>
        </w:tc>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(83,484)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gridSpan w:val="3"/>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7040" w:type="dxa"/>
            <w:vAlign w:val="bottom"/>
            <w:gridSpan w:val="6"/>
          </w:tcPr>
          <w:p>
            <w:pPr>
              <w:jc w:val="right"/>
              <w:ind w:right="40"/>
              <w:spacing w:after="0"/>
              <w:rPr>
                <w:sz w:val="20"/>
                <w:szCs w:val="20"/>
                <w:color w:val="auto"/>
              </w:rPr>
            </w:pPr>
            <w:r>
              <w:rPr>
                <w:rFonts w:ascii="Arial" w:cs="Arial" w:eastAsia="Arial" w:hAnsi="Arial"/>
                <w:sz w:val="18"/>
                <w:szCs w:val="18"/>
                <w:color w:val="auto"/>
                <w:w w:val="91"/>
              </w:rPr>
              <w:t>The federal and state provision (benefit) for income taxes consist of the following (in thousands):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5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1"/>
          </w:tcPr>
          <w:p>
            <w:pPr>
              <w:jc w:val="center"/>
              <w:ind w:left="495"/>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540" w:type="dxa"/>
            <w:vAlign w:val="bottom"/>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54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provision for income taxes: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Federal</w:t>
            </w:r>
          </w:p>
        </w:tc>
        <w:tc>
          <w:tcPr>
            <w:tcW w:w="15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28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4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International</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4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w:t>
            </w:r>
          </w:p>
        </w:tc>
        <w:tc>
          <w:tcPr>
            <w:tcW w:w="1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Deferred tax provision:</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4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Federal</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State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Total deferred</w:t>
            </w:r>
          </w:p>
        </w:tc>
        <w:tc>
          <w:tcPr>
            <w:tcW w:w="1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589"/>
        <w:spacing w:after="0" w:line="308" w:lineRule="auto"/>
        <w:rPr>
          <w:sz w:val="20"/>
          <w:szCs w:val="20"/>
          <w:color w:val="auto"/>
        </w:rPr>
      </w:pPr>
      <w:r>
        <w:rPr>
          <w:rFonts w:ascii="Arial" w:cs="Arial" w:eastAsia="Arial" w:hAnsi="Arial"/>
          <w:sz w:val="17"/>
          <w:szCs w:val="17"/>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w:t>
      </w:r>
    </w:p>
    <w:p>
      <w:pPr>
        <w:spacing w:after="0" w:line="187"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A reconciliation of the U.S. federal statutory income tax rate to the effective tax for the years ended December 31, 2021, 2020 and 2019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44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At federal statutory income tax rate</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(4,034)</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State income taxes</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(3,098)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(1,875)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(4,031)</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Research &amp; Development credits</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(2,131)</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(861)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3,733</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Prior period true ups</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(950)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8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60" w:type="dxa"/>
            <w:vAlign w:val="bottom"/>
            <w:vMerge w:val="restart"/>
          </w:tcPr>
          <w:p>
            <w:pPr>
              <w:jc w:val="right"/>
              <w:ind w:right="590"/>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0" w:name="page141"/>
    <w:bookmarkEnd w:id="140"/>
    <w:p>
      <w:pPr>
        <w:ind w:left="600"/>
        <w:spacing w:after="0"/>
        <w:rPr>
          <w:sz w:val="20"/>
          <w:szCs w:val="20"/>
          <w:color w:val="auto"/>
        </w:rPr>
      </w:pPr>
      <w:r>
        <w:rPr>
          <w:rFonts w:ascii="Arial" w:cs="Arial" w:eastAsia="Arial" w:hAnsi="Arial"/>
          <w:sz w:val="18"/>
          <w:szCs w:val="18"/>
          <w:color w:val="auto"/>
        </w:rPr>
        <w:t>Significant components of the Company’s deferred tax assets as of December 31, 2021 and 2020 are as follows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Loss carryforwards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15,407</w:t>
            </w:r>
          </w:p>
        </w:tc>
        <w:tc>
          <w:tcPr>
            <w:tcW w:w="200" w:type="dxa"/>
            <w:vAlign w:val="bottom"/>
          </w:tcPr>
          <w:p>
            <w:pPr>
              <w:spacing w:after="0"/>
              <w:rPr>
                <w:sz w:val="19"/>
                <w:szCs w:val="19"/>
                <w:color w:val="auto"/>
              </w:rPr>
            </w:pP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7,283</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&amp; other credits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Liabilities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23,349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11,299</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ROU assets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(11,288)</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likely to be realized and, accordingly, has provided a valuation allowance. The valuation allowance increased by approximately $11.4 million and $4.6 million for the years ended December 31, 2021 and 2020, respectively.</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operating losses and tax credit carryforwards as of December 31, 2021 are as follows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Expiration Years</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losses, federal (Post December 31, 2017)</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47,142</w:t>
            </w:r>
          </w:p>
        </w:tc>
        <w:tc>
          <w:tcPr>
            <w:tcW w:w="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Do Not Expire</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Net operating losses, state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68,993</w:t>
            </w:r>
          </w:p>
        </w:tc>
        <w:tc>
          <w:tcPr>
            <w:tcW w:w="2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2038-2040</w:t>
            </w: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Tax credits, federal</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3,885</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2039-2041</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Tax credits, state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3,236</w:t>
            </w:r>
          </w:p>
        </w:tc>
        <w:tc>
          <w:tcPr>
            <w:tcW w:w="2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losses, foreign</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5,509</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Utilization of the Company’s U.S. net operating loss and credit carryforwards may be subject to substantial annual limitation due to the ownership change limitations provided by the Internal Revenue Code and similar state provisions. Such annual limitation could result in the expiration of the U.S. net operating loss and credit carryforwards before utilization. To date, the Company has not performed an analysis to determine whether there would be a substantial annual limitation due to a change in ownership.</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The Company will file income tax returns in the U.S. federal and California jurisdiction, which is not currently under exam, and all years since inception are opened to examination.</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98" w:right="419" w:bottom="1440" w:gutter="0" w:footer="0" w:header="0"/>
        </w:sectPr>
      </w:pPr>
    </w:p>
    <w:bookmarkStart w:id="141" w:name="page142"/>
    <w:bookmarkEnd w:id="141"/>
    <w:p>
      <w:pPr>
        <w:ind w:right="400" w:firstLine="589"/>
        <w:spacing w:after="0" w:line="308" w:lineRule="auto"/>
        <w:rPr>
          <w:sz w:val="20"/>
          <w:szCs w:val="20"/>
          <w:color w:val="auto"/>
        </w:rPr>
      </w:pPr>
      <w:r>
        <w:rPr>
          <w:rFonts w:ascii="Arial" w:cs="Arial" w:eastAsia="Arial" w:hAnsi="Arial"/>
          <w:sz w:val="17"/>
          <w:szCs w:val="17"/>
          <w:color w:val="auto"/>
        </w:rPr>
        <w:t>The unrecognized tax benefits as of December 31, 2021, 2020 and 2019 were $1.2 million, $0.8 million and $0.7 million, respectively. Future changes in the unrecognized tax benefits will not impact the effective tax rate due to the Company's full valuation allowance.</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has the following activity relating to unrecognized tax benefits (in thousands):</w:t>
      </w:r>
    </w:p>
    <w:p>
      <w:pPr>
        <w:spacing w:after="0" w:line="230"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08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beginning of year</w:t>
            </w: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Additions/reversals based on tax positions of prior years</w:t>
            </w: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Lapses in statutes of limitations</w:t>
            </w: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end of year</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2021, 2020 and 2019, no interest or penalties were required to be recognized relating to unrecognized tax benefits.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revenue</w:t>
      </w:r>
    </w:p>
    <w:p>
      <w:pPr>
        <w:spacing w:after="0" w:line="117" w:lineRule="exact"/>
        <w:rPr>
          <w:sz w:val="20"/>
          <w:szCs w:val="20"/>
          <w:color w:val="auto"/>
        </w:rPr>
      </w:pPr>
    </w:p>
    <w:p>
      <w:pPr>
        <w:ind w:right="180" w:firstLine="589"/>
        <w:spacing w:after="0" w:line="254" w:lineRule="auto"/>
        <w:rPr>
          <w:sz w:val="20"/>
          <w:szCs w:val="20"/>
          <w:color w:val="auto"/>
        </w:rPr>
      </w:pPr>
      <w:r>
        <w:rPr>
          <w:rFonts w:ascii="Arial" w:cs="Arial" w:eastAsia="Arial" w:hAnsi="Arial"/>
          <w:sz w:val="18"/>
          <w:szCs w:val="18"/>
          <w:color w:val="auto"/>
        </w:rPr>
        <w:t>In June 2018, the Company entered into a Research and Development Services Agreement, or Tollnine Agreement, with Tollnine Therapeutics, Inc., or Tollnine, a related-party of the Company, to provide research and development services to Tollnine. The Company’s Chief Executive Officer was the Chief Executive Officer of Tollnine until April 2020 but remains on the Board of Directors. In addition, two of the Company’s investors were also investors in Tollnine. As such, Tollnine was deemed to be a related-party. The Tollnine Agreement had an initial term of 3 years. The services were provided at a price based on the costs incurred by the Company plus a mark-up equal to 10% of such costs. The Company recognized revenue when Tollnine, as the Company’s customer, obtained control of promised goods or services, in an amount that reflects the consideration which the Company received in exchange for those goods or services.</w:t>
      </w:r>
    </w:p>
    <w:p>
      <w:pPr>
        <w:spacing w:after="0" w:line="195"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The Company recognized related-party revenues of zero, $1.2 million and $4.8 million for the years ended December 31, 2021, 2020 and 2019, respectively, under the Tollnine Agreement. Effective as of July 1, 2020, the Company terminated the Tollnine Agreement and entered into the Tallac Services Agreement with Tallac Therapeutics.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Tallac Service Agreement</w:t>
      </w:r>
    </w:p>
    <w:p>
      <w:pPr>
        <w:spacing w:after="0" w:line="11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The Company entered into a research and development services agreement, or the Tallac Services Agreement, with Tallac Therapeutics effective as of July 1, 2020. The Tallac Services Agreement provides that Tallac Therapeutics will provide certain preclinical research services to the Company for a service fee based on the costs incurred by Tallac Therapeutics plus a mark-up equal to 10.0% of such costs. The Tallac Services Agreement has an initial term of four years and is renewed automatically for additional one year terms thereafter. The Company records the payments for the research and development services as research and development costs within the consolidated statement of operations and comprehensive loss. The Company has recorded $0.8 million and $0.6 million as research and development costs for the year ended December 31, 2021 and December 31, 2020.</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i w:val="1"/>
          <w:iCs w:val="1"/>
          <w:color w:val="auto"/>
        </w:rPr>
        <w:t>Tallac Collaboration Agreement</w:t>
      </w:r>
    </w:p>
    <w:p>
      <w:pPr>
        <w:spacing w:after="0" w:line="11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On March 4, 2021, the Company entered into a Collaboration Agreement with Tallac Therapeutics to jointly develop, manufacture, and commercialize a novel class of cancer immunotherapeutics. The collaboration builds on the Company’s expertise in developing therapies that block the CD47 checkpoint pathway and expands its immuno-oncology pipeline. The companies will leverage their respective scientific and technical expertise to advance an anti-SIRPα antibody conjugated to a Toll-like receptor 9, or TLR9, agonist for targeted activation of both the innate and adaptive immune systems. The key economic components of the collaboration transaction include that both parties will share equally (a) in the cost and expenses of research and development and (b) any profit or loss.</w:t>
      </w:r>
    </w:p>
    <w:p>
      <w:pPr>
        <w:spacing w:after="0" w:line="192"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Company accounts for research and development, or R&amp;D, costs in accordance ASC 730, Research and Development, which states R&amp;D costs must be charged to expense as incurred. Accordingly, the Company records its internal and third-party costs associated with the collaboration as R&amp;D expenses as incurred. When the Company is entitled to reimbursement of the R&amp;D expenses that it incurs under the collaboration, the Company records those reimbursable amounts as a reduction to R&amp;D expenses. The Company also records as R&amp;D expenses, the portion of Tallac’s expenses that the Company is obligated to reimburse, in the period when Tallac incurs such expenses. During the year ended December 31, 2021, the Company recorded $2.8 million in R&amp;D expenses related to the collaboration.</w:t>
      </w:r>
    </w:p>
    <w:p>
      <w:pPr>
        <w:spacing w:after="0" w:line="19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Collaboration Agreement includes the right to set off clause, as such, the Company records the amount due to or reimbursable from Tallac on a net basis. As of December 31, 2021, the Company had $1.4 million of accrued expenses due to Tallac which was presented within the payable and accrued liabilities due to related party on the consolidated balance sheet.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assets and ownership of ScalmiBio</w:t>
      </w:r>
    </w:p>
    <w:p>
      <w:pPr>
        <w:spacing w:after="0" w:line="11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 xml:space="preserve">On October 4, 2021, the Company entered into a stock purchase agreement with ScalmiBio. The Company’s CEO and President, who is a director, was also a director of ScalmiBio prior to the acquisition, and owned 31.7% of ScalmiBio stock. Refer to Note 3 </w:t>
      </w:r>
      <w:r>
        <w:rPr>
          <w:rFonts w:ascii="Arial" w:cs="Arial" w:eastAsia="Arial" w:hAnsi="Arial"/>
          <w:sz w:val="18"/>
          <w:szCs w:val="18"/>
          <w:i w:val="1"/>
          <w:iCs w:val="1"/>
          <w:color w:val="auto"/>
        </w:rPr>
        <w:t>Acquisition of assets and ownership</w:t>
      </w:r>
      <w:r>
        <w:rPr>
          <w:rFonts w:ascii="Arial" w:cs="Arial" w:eastAsia="Arial" w:hAnsi="Arial"/>
          <w:sz w:val="18"/>
          <w:szCs w:val="18"/>
          <w:color w:val="auto"/>
        </w:rPr>
        <w:t xml:space="preserve"> for additional discussion.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assets to Tallac Therapeutics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July 2020, the Company transferred certain lab equipment and other assets to Tallac Therapeutics in exchange for $0.6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sub-lease agreement with Tallac Therapeutics</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 xml:space="preserve">The Company leases office space in Burlingame, California under a single operating sub-lease agreement with Tallac Therapeutics. Refer to Note 6 </w:t>
      </w:r>
      <w:r>
        <w:rPr>
          <w:rFonts w:ascii="Arial" w:cs="Arial" w:eastAsia="Arial" w:hAnsi="Arial"/>
          <w:sz w:val="18"/>
          <w:szCs w:val="18"/>
          <w:i w:val="1"/>
          <w:iCs w:val="1"/>
          <w:color w:val="auto"/>
        </w:rPr>
        <w:t xml:space="preserve">Leases </w:t>
      </w:r>
      <w:r>
        <w:rPr>
          <w:rFonts w:ascii="Arial" w:cs="Arial" w:eastAsia="Arial" w:hAnsi="Arial"/>
          <w:sz w:val="18"/>
          <w:szCs w:val="18"/>
          <w:color w:val="auto"/>
        </w:rPr>
        <w:t>for additional discussion.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(12) NET LOSS PER SHARE ATTRIBUTABLE TO COMMON STOCKHOLDERS</w:t>
      </w:r>
    </w:p>
    <w:p>
      <w:pPr>
        <w:spacing w:after="0" w:line="12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attributable to common stockholders (in thousands, except share and per share data):</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ind w:right="87"/>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42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(83,463)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(45,740)</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(19,243)</w:t>
            </w: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Less: cumulative preferred dividends allocated to</w:t>
            </w: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stockholders</w:t>
            </w: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(5,202)</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(4,028)</w:t>
            </w:r>
          </w:p>
        </w:tc>
      </w:tr>
      <w:tr>
        <w:trPr>
          <w:trHeight w:val="26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8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(83,463)</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(50,942)</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(23,271)</w:t>
            </w:r>
          </w:p>
        </w:tc>
        <w:tc>
          <w:tcPr>
            <w:tcW w:w="100" w:type="dxa"/>
            <w:vAlign w:val="bottom"/>
            <w:tcBorders>
              <w:bottom w:val="single" w:sz="8" w:color="CFF0FC"/>
            </w:tcBorders>
          </w:tcPr>
          <w:p>
            <w:pPr>
              <w:spacing w:after="0"/>
              <w:rPr>
                <w:sz w:val="22"/>
                <w:szCs w:val="22"/>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Weighted-average shares of common stock</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40,308,050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18,485,343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3,076,461</w:t>
            </w:r>
          </w:p>
        </w:tc>
        <w:tc>
          <w:tcPr>
            <w:tcW w:w="100" w:type="dxa"/>
            <w:vAlign w:val="bottom"/>
          </w:tcPr>
          <w:p>
            <w:pPr>
              <w:spacing w:after="0"/>
              <w:rPr>
                <w:sz w:val="20"/>
                <w:szCs w:val="20"/>
                <w:color w:val="auto"/>
              </w:rPr>
            </w:pP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w:t>
            </w: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p>
        </w:tc>
        <w:tc>
          <w:tcPr>
            <w:tcW w:w="10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(2.76)</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(7.56)</w:t>
            </w: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outstanding potentially dilutive securities were excluded from the computation of diluted net loss per share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 because including them would have been anti-dilutive:</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10,313,808</w:t>
            </w:r>
          </w:p>
        </w:tc>
        <w:tc>
          <w:tcPr>
            <w:tcW w:w="8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Warrants to purchase convertible preferred stock</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61,292</w:t>
            </w:r>
          </w:p>
        </w:tc>
        <w:tc>
          <w:tcPr>
            <w:tcW w:w="8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Common stock subject to repurchase</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34,024</w:t>
            </w:r>
          </w:p>
        </w:tc>
        <w:tc>
          <w:tcPr>
            <w:tcW w:w="8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Options issued and outstanding</w:t>
            </w:r>
          </w:p>
        </w:tc>
        <w:tc>
          <w:tcPr>
            <w:tcW w:w="1040" w:type="dxa"/>
            <w:vAlign w:val="bottom"/>
          </w:tcPr>
          <w:p>
            <w:pPr>
              <w:jc w:val="right"/>
              <w:spacing w:after="0"/>
              <w:rPr>
                <w:sz w:val="20"/>
                <w:szCs w:val="20"/>
                <w:color w:val="auto"/>
              </w:rPr>
            </w:pPr>
            <w:r>
              <w:rPr>
                <w:rFonts w:ascii="Arial" w:cs="Arial" w:eastAsia="Arial" w:hAnsi="Arial"/>
                <w:sz w:val="18"/>
                <w:szCs w:val="18"/>
                <w:color w:val="auto"/>
              </w:rPr>
              <w:t>5,128,639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4,857,308</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1,183,745</w:t>
            </w:r>
          </w:p>
        </w:tc>
        <w:tc>
          <w:tcPr>
            <w:tcW w:w="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issued and outstanding</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15,075</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5,143,714</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4,857,371</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11,592,869</w:t>
            </w: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600" w:right="7420" w:hanging="592"/>
        <w:spacing w:after="0" w:line="378" w:lineRule="auto"/>
        <w:tabs>
          <w:tab w:leader="none" w:pos="356"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Guarantees and Indemnifications</w:t>
      </w:r>
    </w:p>
    <w:p>
      <w:pPr>
        <w:ind w:firstLine="589"/>
        <w:spacing w:after="0" w:line="290"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December 31, 2021.</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years ended December 31, 2021, 2020 and 2019, the Company had no pending or threatened litigation.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44" w:name="page145"/>
    <w:bookmarkEnd w:id="144"/>
    <w:p>
      <w:pPr>
        <w:ind w:left="600"/>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Company paid Stanford a nonrefundable license royalty and reimbursed Stanford for past patent expenses, together totaling less than $0.1 million, and granted Stanford a specified number of shares of common stock of the Company. The Company is required to make milestone payments up to an aggregate of $5.0 million in respect of a specified number of licensed products that successfully satisfy certain clinical and regulatory milestones. The Company recorded the first milestone payment of $0.2 million during the year ended December 31, 2021.</w:t>
      </w:r>
    </w:p>
    <w:p>
      <w:pPr>
        <w:spacing w:after="0" w:line="192"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evorpacept, and to make, use and sell licensed product containing such compound in all fields of use.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recorded a milestone payment of $0.1 million during the year ended December 31, 2021.</w:t>
      </w:r>
    </w:p>
    <w:p>
      <w:pPr>
        <w:spacing w:after="0" w:line="178" w:lineRule="exact"/>
        <w:rPr>
          <w:sz w:val="20"/>
          <w:szCs w:val="20"/>
          <w:color w:val="auto"/>
        </w:rPr>
      </w:pPr>
    </w:p>
    <w:p>
      <w:pPr>
        <w:ind w:right="140" w:firstLine="589"/>
        <w:spacing w:after="0" w:line="293" w:lineRule="auto"/>
        <w:rPr>
          <w:sz w:val="20"/>
          <w:szCs w:val="20"/>
          <w:color w:val="auto"/>
        </w:rPr>
      </w:pPr>
      <w:r>
        <w:rPr>
          <w:rFonts w:ascii="Arial" w:cs="Arial" w:eastAsia="Arial" w:hAnsi="Arial"/>
          <w:sz w:val="16"/>
          <w:szCs w:val="16"/>
          <w:color w:val="auto"/>
        </w:rPr>
        <w:t>In March 2017, the Company entered into an agreement with Crystal Bioscience Inc. (now a subsidiary of Ligand Pharmaceuticals Incorporated), or Crystal, under which the Company obtained an assignment of certain patents, covering certain SIRPα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 The Company agreed to pay Crystal milestone payments up to $11.1 million in respect of all licensed products developed under the assigned patents, that successfully satisfy certain clinical and regulatory milestones, each milestone being paid only once for all products. No milestone payments have been recorded as of December 31, 2021.</w:t>
      </w:r>
    </w:p>
    <w:p>
      <w:pPr>
        <w:spacing w:after="0" w:line="27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Other Contractual Obligations and Other Commitments</w:t>
      </w:r>
    </w:p>
    <w:p>
      <w:pPr>
        <w:spacing w:after="0" w:line="117" w:lineRule="exact"/>
        <w:rPr>
          <w:sz w:val="20"/>
          <w:szCs w:val="20"/>
          <w:color w:val="auto"/>
        </w:rPr>
      </w:pPr>
    </w:p>
    <w:p>
      <w:pPr>
        <w:ind w:right="120" w:firstLine="589"/>
        <w:spacing w:after="0" w:line="308" w:lineRule="auto"/>
        <w:rPr>
          <w:sz w:val="20"/>
          <w:szCs w:val="20"/>
          <w:color w:val="auto"/>
        </w:rPr>
      </w:pPr>
      <w:r>
        <w:rPr>
          <w:rFonts w:ascii="Arial" w:cs="Arial" w:eastAsia="Arial" w:hAnsi="Arial"/>
          <w:sz w:val="17"/>
          <w:szCs w:val="17"/>
          <w:color w:val="auto"/>
        </w:rPr>
        <w:t>We have contractual obligations from our operating lease, manufacturing and service contracts and other research and development activities. The following table aggregates our material expected contractual obligations and commitments as of December 31, 2021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r>
      <w:tr>
        <w:trPr>
          <w:trHeight w:val="155"/>
        </w:trPr>
        <w:tc>
          <w:tcPr>
            <w:tcW w:w="58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98"/>
              </w:rPr>
              <w:t>2023 - 2024</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98"/>
              </w:rPr>
              <w:t>2025 - 2026</w:t>
            </w:r>
          </w:p>
        </w:tc>
        <w:tc>
          <w:tcPr>
            <w:tcW w:w="220" w:type="dxa"/>
            <w:vAlign w:val="bottom"/>
            <w:tcBorders>
              <w:bottom w:val="single" w:sz="8" w:color="CFF0FC"/>
            </w:tcBorders>
          </w:tcPr>
          <w:p>
            <w:pPr>
              <w:spacing w:after="0"/>
              <w:rPr>
                <w:sz w:val="13"/>
                <w:szCs w:val="13"/>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220" w:type="dxa"/>
            <w:vAlign w:val="bottom"/>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 xml:space="preserve">Finance lease obligations </w:t>
            </w: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Manufacturing and service contracts </w:t>
            </w:r>
            <w:r>
              <w:rPr>
                <w:rFonts w:ascii="Arial" w:cs="Arial" w:eastAsia="Arial" w:hAnsi="Arial"/>
                <w:sz w:val="15"/>
                <w:szCs w:val="15"/>
                <w:color w:val="auto"/>
              </w:rPr>
              <w:t>(3)</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17,578</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24,112</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18,529</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22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60" w:right="100" w:hanging="572"/>
        <w:spacing w:after="0" w:line="259" w:lineRule="auto"/>
        <w:tabs>
          <w:tab w:leader="none" w:pos="1160"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The payments consist of (i) payments due for the office space in Burlingame, California under a single operating sub-lease agreement that expires in 2023, and (ii) payments due for the office space in South San Francisco, California under a single operating lease agreement that expires in 2026. See Note 6 to our consolidated financial statements appearing elsewhere in this Annual Report on Form 10-K for details of related commitments.</w:t>
      </w:r>
    </w:p>
    <w:p>
      <w:pPr>
        <w:spacing w:after="0" w:line="78" w:lineRule="exact"/>
        <w:rPr>
          <w:rFonts w:ascii="Arial" w:cs="Arial" w:eastAsia="Arial" w:hAnsi="Arial"/>
          <w:sz w:val="18"/>
          <w:szCs w:val="18"/>
          <w:i w:val="1"/>
          <w:iCs w:val="1"/>
          <w:color w:val="auto"/>
        </w:rPr>
      </w:pPr>
    </w:p>
    <w:p>
      <w:pPr>
        <w:ind w:left="1160" w:right="160" w:hanging="572"/>
        <w:spacing w:after="0" w:line="308" w:lineRule="auto"/>
        <w:tabs>
          <w:tab w:leader="none" w:pos="1160" w:val="left"/>
        </w:tabs>
        <w:numPr>
          <w:ilvl w:val="0"/>
          <w:numId w:val="73"/>
        </w:numPr>
        <w:rPr>
          <w:rFonts w:ascii="Arial" w:cs="Arial" w:eastAsia="Arial" w:hAnsi="Arial"/>
          <w:sz w:val="17"/>
          <w:szCs w:val="17"/>
          <w:i w:val="1"/>
          <w:iCs w:val="1"/>
          <w:color w:val="auto"/>
        </w:rPr>
      </w:pPr>
      <w:r>
        <w:rPr>
          <w:rFonts w:ascii="Arial" w:cs="Arial" w:eastAsia="Arial" w:hAnsi="Arial"/>
          <w:sz w:val="17"/>
          <w:szCs w:val="17"/>
          <w:i w:val="1"/>
          <w:iCs w:val="1"/>
          <w:color w:val="auto"/>
        </w:rPr>
        <w:t>Payments due for embedded finance leases related to a pharmaceutical support service contract. See Note 6 to our consolidated financial statements appearing elsewhere in this Annual Report on Form 10-K for details of related commitments.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5" w:name="page146"/>
    <w:bookmarkEnd w:id="145"/>
    <w:p>
      <w:pPr>
        <w:ind w:left="1160" w:right="100" w:hanging="572"/>
        <w:spacing w:after="0" w:line="272" w:lineRule="auto"/>
        <w:tabs>
          <w:tab w:leader="none" w:pos="1160" w:val="left"/>
        </w:tabs>
        <w:numPr>
          <w:ilvl w:val="0"/>
          <w:numId w:val="74"/>
        </w:numPr>
        <w:rPr>
          <w:rFonts w:ascii="Arial" w:cs="Arial" w:eastAsia="Arial" w:hAnsi="Arial"/>
          <w:sz w:val="17"/>
          <w:szCs w:val="17"/>
          <w:i w:val="1"/>
          <w:iCs w:val="1"/>
          <w:color w:val="auto"/>
        </w:rPr>
      </w:pPr>
      <w:r>
        <w:rPr>
          <w:rFonts w:ascii="Arial" w:cs="Arial" w:eastAsia="Arial" w:hAnsi="Arial"/>
          <w:sz w:val="17"/>
          <w:szCs w:val="17"/>
          <w:i w:val="1"/>
          <w:iCs w:val="1"/>
          <w:color w:val="auto"/>
        </w:rPr>
        <w:t>In November 2015, we entered into a Master Service Agreement, or the MSA, with KBI Biopharma, Inc. relating to formulation development, process development and cGMP manufacturing of evorpacept for use in clinical trials on a project basis. The MSA had an initial term of three years with successive one-year renewal periods, is cancellable upon notice and is non-exclusive. Statements of work under the MSA commit us to certain future purchase obligations of approximately $20.7 million. In addition, we have commitments with two other drug product manufacturers that commit us to certain future purchase obligations of approximately $0.5 million. These amounts are based on non-cancellable commitments and forecasts that include estimates of future market demand, quantity discounts and manufacturing efficiencies that may impact timing of purchases.</w:t>
      </w:r>
    </w:p>
    <w:p>
      <w:pPr>
        <w:spacing w:after="0" w:line="69"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On February 7, 2022, the Company entered into a new lease, totaling approximately 11,074 square feet of office and laboratory space located in Palo Alto, California. The lease consists of two premises with a term of 96 months from their respective commencement dates. The new lease related to one of the premises has commenced in February 2022, and the other premise is expected to commence by October 2022.</w:t>
      </w:r>
    </w:p>
    <w:p>
      <w:pPr>
        <w:spacing w:after="0" w:line="84" w:lineRule="exact"/>
        <w:rPr>
          <w:sz w:val="20"/>
          <w:szCs w:val="20"/>
          <w:color w:val="auto"/>
        </w:rPr>
      </w:pPr>
    </w:p>
    <w:p>
      <w:pPr>
        <w:jc w:val="both"/>
        <w:ind w:right="160" w:firstLine="495"/>
        <w:spacing w:after="0" w:line="263" w:lineRule="auto"/>
        <w:rPr>
          <w:sz w:val="20"/>
          <w:szCs w:val="20"/>
          <w:color w:val="auto"/>
        </w:rPr>
      </w:pPr>
      <w:r>
        <w:rPr>
          <w:rFonts w:ascii="Arial" w:cs="Arial" w:eastAsia="Arial" w:hAnsi="Arial"/>
          <w:sz w:val="18"/>
          <w:szCs w:val="18"/>
          <w:color w:val="auto"/>
        </w:rPr>
        <w:t>The new lease provides for an annual base rent of approximately $0.8 million, which increases on an annual basis by 3%. The total lease payments to be made during the lease term are approximately $7.0 million. The Company will be entitled to a tenant improvement allowance of approximately $1.5 million for costs related to the design and construction of the premises.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spacing w:after="0" w:line="184"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December 31, 2021.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35"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5"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Rules 13a-15(f) and 15(d)-15(f). Our internal control over financial reporting is a process designed under the supervision of our principal executive and principal financial officers to provide reasonable assurance regarding the reliability of financial reporting and the preparation of our financial statements for external reporting purposes in accordance with U.S. generally accepted accounting principles.</w:t>
      </w:r>
    </w:p>
    <w:p>
      <w:pPr>
        <w:spacing w:after="0" w:line="171"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As of the end of our 2021 fiscal year, management conducted an assessment of the effectiveness of our internal control over financial reporting based on the framework established in the original Internal Control – Integrated Framework issued by the Committee of Sponsoring Organizations of the Treadway Commission (2013 framework) (COSO). Based on this assessment, management has determined that our internal control over financial reporting as of December 31, 2021 was effective. The effectiveness of our internal control over financial reporting as of December 31, 2021 has been audited by KPMG LLP, an independent registered public accounting firm, as stated in their report, which is included in Item 8 of this Annual Report on Form 10-K.</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2021 that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02" w:right="479" w:bottom="1440" w:gutter="0" w:footer="0" w:header="0"/>
        </w:sectPr>
      </w:pPr>
    </w:p>
    <w:bookmarkStart w:id="148" w:name="page149"/>
    <w:bookmarkEnd w:id="148"/>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Certain information required by Part III is omitted from this Annual Report on Form 10-K and is incorporated herein by reference to our definitive Proxy Statement for our next Annual Meeting of Stockholders (the “Proxy Statement”), which we intend to file pursuant to Regulation 14A of the Securities Exchange Act of 1934, as amended, within 120 days after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The information required by this Item concerning our directors, executive officers, corporate governance, Section 16 reporting compliance and code of business conduct and ethics is incorporated by reference to the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information required by this Item regarding executive compensation is incorporated by reference to the Proxy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is incorporated by reference to the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information required by this Item regarding executive compensation is incorporated by reference to the Proxy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independent registered public accounting firm is KPMG LLP, San Francisco, CA, Auditor Firm ID: 185.</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information required by this Item regarding principal accountant fees and services is incorporated by reference to the Proxy Statement.</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149" w:name="page150"/>
    <w:bookmarkEnd w:id="149"/>
    <w:p>
      <w:pPr>
        <w:jc w:val="center"/>
        <w:ind w:right="-2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160" w:hanging="572"/>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17" w:lineRule="exact"/>
        <w:rPr>
          <w:rFonts w:ascii="Arial" w:cs="Arial" w:eastAsia="Arial" w:hAnsi="Arial"/>
          <w:sz w:val="18"/>
          <w:szCs w:val="18"/>
          <w:color w:val="auto"/>
        </w:rPr>
      </w:pPr>
    </w:p>
    <w:p>
      <w:pPr>
        <w:ind w:left="1760" w:hanging="578"/>
        <w:spacing w:after="0"/>
        <w:tabs>
          <w:tab w:leader="none" w:pos="17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1180"/>
        <w:spacing w:after="0" w:line="277" w:lineRule="auto"/>
        <w:rPr>
          <w:sz w:val="20"/>
          <w:szCs w:val="20"/>
          <w:color w:val="auto"/>
        </w:rPr>
      </w:pPr>
      <w:r>
        <w:rPr>
          <w:rFonts w:ascii="Arial" w:cs="Arial" w:eastAsia="Arial" w:hAnsi="Arial"/>
          <w:sz w:val="18"/>
          <w:szCs w:val="18"/>
          <w:color w:val="auto"/>
        </w:rPr>
        <w:t>The financial statements filed as part of this Annual Report on Form 10-K are listed in the “Index to Financial Statements” under Part II, Item 8 of this Annual Report on Form 10-K.</w:t>
      </w:r>
    </w:p>
    <w:p>
      <w:pPr>
        <w:spacing w:after="0" w:line="62" w:lineRule="exact"/>
        <w:rPr>
          <w:sz w:val="20"/>
          <w:szCs w:val="20"/>
          <w:color w:val="auto"/>
        </w:rPr>
      </w:pPr>
    </w:p>
    <w:p>
      <w:pPr>
        <w:ind w:left="1760" w:hanging="578"/>
        <w:spacing w:after="0"/>
        <w:tabs>
          <w:tab w:leader="none" w:pos="1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left="1180" w:right="400"/>
        <w:spacing w:after="0" w:line="277" w:lineRule="auto"/>
        <w:rPr>
          <w:sz w:val="20"/>
          <w:szCs w:val="20"/>
          <w:color w:val="auto"/>
        </w:rPr>
      </w:pPr>
      <w:r>
        <w:rPr>
          <w:rFonts w:ascii="Arial" w:cs="Arial" w:eastAsia="Arial" w:hAnsi="Arial"/>
          <w:sz w:val="18"/>
          <w:szCs w:val="18"/>
          <w:color w:val="auto"/>
        </w:rPr>
        <w:t>Financial statement schedules have been omitted as the information required is not applicable or the information is presented in the financial statements or related notes included in Part II, Item 8 of this Annual Report on Form 10-K.</w:t>
      </w:r>
    </w:p>
    <w:p>
      <w:pPr>
        <w:spacing w:after="0" w:line="62" w:lineRule="exact"/>
        <w:rPr>
          <w:sz w:val="20"/>
          <w:szCs w:val="20"/>
          <w:color w:val="auto"/>
        </w:rPr>
      </w:pPr>
    </w:p>
    <w:p>
      <w:pPr>
        <w:ind w:left="1760" w:hanging="578"/>
        <w:spacing w:after="0"/>
        <w:tabs>
          <w:tab w:leader="none" w:pos="1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200" w:right="140" w:hanging="14"/>
        <w:spacing w:after="0" w:line="277" w:lineRule="auto"/>
        <w:rPr>
          <w:sz w:val="20"/>
          <w:szCs w:val="20"/>
          <w:color w:val="auto"/>
        </w:rPr>
      </w:pPr>
      <w:r>
        <w:rPr>
          <w:rFonts w:ascii="Arial" w:cs="Arial" w:eastAsia="Arial" w:hAnsi="Arial"/>
          <w:sz w:val="18"/>
          <w:szCs w:val="18"/>
          <w:color w:val="auto"/>
        </w:rPr>
        <w:t>The exhibits listed below are filed as part of this Annual Report on Form 10-K, or are incorporated herein by reference, in each case as indicated below.</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00" w:type="dxa"/>
            <w:vAlign w:val="bottom"/>
            <w:gridSpan w:val="6"/>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19"/>
        </w:trPr>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gridSpan w:val="23"/>
            <w:vMerge w:val="restart"/>
          </w:tcPr>
          <w:p>
            <w:pPr>
              <w:ind w:left="100"/>
              <w:spacing w:after="0"/>
              <w:rPr>
                <w:sz w:val="20"/>
                <w:szCs w:val="20"/>
                <w:color w:val="auto"/>
              </w:rPr>
            </w:pPr>
            <w:r>
              <w:rPr>
                <w:rFonts w:ascii="Arial" w:cs="Arial" w:eastAsia="Arial" w:hAnsi="Arial"/>
                <w:sz w:val="14"/>
                <w:szCs w:val="14"/>
                <w:b w:val="1"/>
                <w:bCs w:val="1"/>
                <w:color w:val="auto"/>
              </w:rPr>
              <w:t>EXHIBIT TITLE</w:t>
            </w:r>
          </w:p>
        </w:tc>
        <w:tc>
          <w:tcPr>
            <w:tcW w:w="80" w:type="dxa"/>
            <w:vAlign w:val="bottom"/>
            <w:vMerge w:val="restart"/>
          </w:tcPr>
          <w:p>
            <w:pPr>
              <w:spacing w:after="0"/>
              <w:rPr>
                <w:sz w:val="10"/>
                <w:szCs w:val="10"/>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Borders>
              <w:top w:val="single" w:sz="8" w:color="auto"/>
            </w:tcBorders>
            <w:vMerge w:val="restart"/>
          </w:tcPr>
          <w:p>
            <w:pPr>
              <w:spacing w:after="0"/>
              <w:rPr>
                <w:sz w:val="10"/>
                <w:szCs w:val="10"/>
                <w:color w:val="auto"/>
              </w:rPr>
            </w:pPr>
          </w:p>
        </w:tc>
        <w:tc>
          <w:tcPr>
            <w:tcW w:w="1380" w:type="dxa"/>
            <w:vAlign w:val="bottom"/>
            <w:tcBorders>
              <w:top w:val="single" w:sz="8" w:color="auto"/>
            </w:tcBorders>
            <w:vMerge w:val="restart"/>
          </w:tcPr>
          <w:p>
            <w:pPr>
              <w:ind w:left="380"/>
              <w:spacing w:after="0"/>
              <w:rPr>
                <w:sz w:val="20"/>
                <w:szCs w:val="20"/>
                <w:color w:val="auto"/>
              </w:rPr>
            </w:pPr>
            <w:r>
              <w:rPr>
                <w:rFonts w:ascii="Arial" w:cs="Arial" w:eastAsia="Arial" w:hAnsi="Arial"/>
                <w:sz w:val="14"/>
                <w:szCs w:val="14"/>
                <w:b w:val="1"/>
                <w:bCs w:val="1"/>
                <w:color w:val="auto"/>
              </w:rPr>
              <w:t>FILE NO.</w:t>
            </w:r>
          </w:p>
        </w:tc>
        <w:tc>
          <w:tcPr>
            <w:tcW w:w="120" w:type="dxa"/>
            <w:vAlign w:val="bottom"/>
            <w:tcBorders>
              <w:top w:val="single" w:sz="8" w:color="auto"/>
            </w:tcBorders>
            <w:vMerge w:val="restart"/>
          </w:tcPr>
          <w:p>
            <w:pPr>
              <w:spacing w:after="0"/>
              <w:rPr>
                <w:sz w:val="10"/>
                <w:szCs w:val="10"/>
                <w:color w:val="auto"/>
              </w:rPr>
            </w:pPr>
          </w:p>
        </w:tc>
        <w:tc>
          <w:tcPr>
            <w:tcW w:w="82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20" w:type="dxa"/>
            <w:vAlign w:val="bottom"/>
            <w:tcBorders>
              <w:top w:val="single" w:sz="8" w:color="auto"/>
            </w:tcBorders>
            <w:vMerge w:val="restart"/>
          </w:tcPr>
          <w:p>
            <w:pPr>
              <w:spacing w:after="0"/>
              <w:rPr>
                <w:sz w:val="10"/>
                <w:szCs w:val="10"/>
                <w:color w:val="auto"/>
              </w:rPr>
            </w:pPr>
          </w:p>
        </w:tc>
        <w:tc>
          <w:tcPr>
            <w:tcW w:w="1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91"/>
        </w:trPr>
        <w:tc>
          <w:tcPr>
            <w:tcW w:w="1000" w:type="dxa"/>
            <w:vAlign w:val="bottom"/>
          </w:tcPr>
          <w:p>
            <w:pPr>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3740" w:type="dxa"/>
            <w:vAlign w:val="bottom"/>
            <w:tcBorders>
              <w:bottom w:val="single" w:sz="8" w:color="0000EE"/>
            </w:tcBorders>
            <w:gridSpan w:val="27"/>
          </w:tcPr>
          <w:p>
            <w:pPr>
              <w:spacing w:after="0"/>
              <w:rPr>
                <w:rFonts w:ascii="Arial" w:cs="Arial" w:eastAsia="Arial" w:hAnsi="Arial"/>
                <w:sz w:val="18"/>
                <w:szCs w:val="18"/>
                <w:color w:val="0000EE"/>
                <w:w w:val="88"/>
              </w:rPr>
            </w:pPr>
            <w:hyperlink r:id="rId191">
              <w:r>
                <w:rPr>
                  <w:rFonts w:ascii="Arial" w:cs="Arial" w:eastAsia="Arial" w:hAnsi="Arial"/>
                  <w:sz w:val="18"/>
                  <w:szCs w:val="18"/>
                  <w:color w:val="0000EE"/>
                  <w:w w:val="88"/>
                </w:rPr>
                <w:t>Sales Agreement, dated December 17, 2021, by and</w:t>
              </w:r>
            </w:hyperlink>
          </w:p>
        </w:tc>
        <w:tc>
          <w:tcPr>
            <w:tcW w:w="160" w:type="dxa"/>
            <w:vAlign w:val="bottom"/>
            <w:gridSpan w:val="4"/>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001-39386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17, 2021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191">
              <w:r>
                <w:rPr>
                  <w:rFonts w:ascii="Arial" w:cs="Arial" w:eastAsia="Arial" w:hAnsi="Arial"/>
                  <w:sz w:val="18"/>
                  <w:szCs w:val="18"/>
                  <w:color w:val="0000EE"/>
                  <w:w w:val="93"/>
                </w:rPr>
                <w:t>among ALX Oncology Holdings Inc., Cantor</w:t>
              </w:r>
            </w:hyperlink>
          </w:p>
        </w:tc>
        <w:tc>
          <w:tcPr>
            <w:tcW w:w="64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Fitzgerald &amp; Co., and Credit Suisse Securities</w:t>
              </w:r>
            </w:hyperlink>
          </w:p>
        </w:tc>
        <w:tc>
          <w:tcPr>
            <w:tcW w:w="58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r:id="rId191">
              <w:r>
                <w:rPr>
                  <w:rFonts w:ascii="Arial" w:cs="Arial" w:eastAsia="Arial" w:hAnsi="Arial"/>
                  <w:sz w:val="18"/>
                  <w:szCs w:val="18"/>
                  <w:color w:val="0000EE"/>
                  <w:w w:val="96"/>
                </w:rPr>
                <w:t>(USA) LLC</w:t>
              </w:r>
            </w:hyperlink>
          </w:p>
        </w:tc>
        <w:tc>
          <w:tcPr>
            <w:tcW w:w="3040" w:type="dxa"/>
            <w:vAlign w:val="bottom"/>
            <w:gridSpan w:val="27"/>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700" w:type="dxa"/>
            <w:vAlign w:val="bottom"/>
            <w:tcBorders>
              <w:bottom w:val="single" w:sz="8" w:color="0000EE"/>
            </w:tcBorders>
            <w:gridSpan w:val="26"/>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Amended and Restated Certificate of Incorporation</w:t>
              </w:r>
            </w:hyperlink>
          </w:p>
        </w:tc>
        <w:tc>
          <w:tcPr>
            <w:tcW w:w="200" w:type="dxa"/>
            <w:vAlign w:val="bottom"/>
            <w:gridSpan w:val="5"/>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001-39386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21,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of the Registrant.</w:t>
              </w:r>
            </w:hyperlink>
          </w:p>
        </w:tc>
        <w:tc>
          <w:tcPr>
            <w:tcW w:w="2640" w:type="dxa"/>
            <w:vAlign w:val="bottom"/>
            <w:gridSpan w:val="24"/>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560" w:type="dxa"/>
            <w:vAlign w:val="bottom"/>
            <w:tcBorders>
              <w:bottom w:val="single" w:sz="8" w:color="0000EE"/>
            </w:tcBorders>
            <w:gridSpan w:val="23"/>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Amended and Restated Bylaws of the Registrant.</w:t>
              </w:r>
            </w:hyperlink>
          </w:p>
        </w:tc>
        <w:tc>
          <w:tcPr>
            <w:tcW w:w="340" w:type="dxa"/>
            <w:vAlign w:val="bottom"/>
            <w:gridSpan w:val="8"/>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001-39386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21,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3800" w:type="dxa"/>
            <w:vAlign w:val="bottom"/>
            <w:tcBorders>
              <w:bottom w:val="single" w:sz="8" w:color="0000EE"/>
            </w:tcBorders>
            <w:gridSpan w:val="29"/>
          </w:tcPr>
          <w:p>
            <w:pPr>
              <w:spacing w:after="0"/>
              <w:rPr>
                <w:rFonts w:ascii="Arial" w:cs="Arial" w:eastAsia="Arial" w:hAnsi="Arial"/>
                <w:sz w:val="18"/>
                <w:szCs w:val="18"/>
                <w:color w:val="0000EE"/>
                <w:w w:val="89"/>
              </w:rPr>
            </w:pPr>
            <w:hyperlink r:id="rId194">
              <w:r>
                <w:rPr>
                  <w:rFonts w:ascii="Arial" w:cs="Arial" w:eastAsia="Arial" w:hAnsi="Arial"/>
                  <w:sz w:val="18"/>
                  <w:szCs w:val="18"/>
                  <w:color w:val="0000EE"/>
                  <w:w w:val="89"/>
                </w:rPr>
                <w:t>Amended and Restated Investors’ Rights Agreement</w:t>
              </w:r>
            </w:hyperlink>
          </w:p>
        </w:tc>
        <w:tc>
          <w:tcPr>
            <w:tcW w:w="100" w:type="dxa"/>
            <w:vAlign w:val="bottom"/>
            <w:gridSpan w:val="2"/>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26,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gridSpan w:val="31"/>
          </w:tcPr>
          <w:p>
            <w:pPr>
              <w:spacing w:after="0" w:line="196" w:lineRule="exact"/>
              <w:rPr>
                <w:rFonts w:ascii="Arial" w:cs="Arial" w:eastAsia="Arial" w:hAnsi="Arial"/>
                <w:sz w:val="18"/>
                <w:szCs w:val="18"/>
                <w:color w:val="0000EE"/>
                <w:w w:val="92"/>
              </w:rPr>
            </w:pPr>
            <w:hyperlink r:id="rId194">
              <w:r>
                <w:rPr>
                  <w:rFonts w:ascii="Arial" w:cs="Arial" w:eastAsia="Arial" w:hAnsi="Arial"/>
                  <w:sz w:val="18"/>
                  <w:szCs w:val="18"/>
                  <w:color w:val="0000EE"/>
                  <w:w w:val="92"/>
                </w:rPr>
                <w:t>among the Registrant and certain of its stockholders,</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dated April 1, 2020.</w:t>
              </w:r>
            </w:hyperlink>
          </w:p>
        </w:tc>
        <w:tc>
          <w:tcPr>
            <w:tcW w:w="2340" w:type="dxa"/>
            <w:vAlign w:val="bottom"/>
            <w:tcBorders>
              <w:top w:val="single" w:sz="8" w:color="0000EE"/>
            </w:tcBorders>
            <w:gridSpan w:val="20"/>
          </w:tcPr>
          <w:p>
            <w:pPr>
              <w:spacing w:after="0"/>
              <w:rPr>
                <w:sz w:val="17"/>
                <w:szCs w:val="17"/>
                <w:color w:val="auto"/>
              </w:rPr>
            </w:pPr>
          </w:p>
        </w:tc>
        <w:tc>
          <w:tcPr>
            <w:tcW w:w="1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3900" w:type="dxa"/>
            <w:vAlign w:val="bottom"/>
            <w:gridSpan w:val="31"/>
          </w:tcPr>
          <w:p>
            <w:pPr>
              <w:spacing w:after="0"/>
              <w:rPr>
                <w:rFonts w:ascii="Arial" w:cs="Arial" w:eastAsia="Arial" w:hAnsi="Arial"/>
                <w:sz w:val="18"/>
                <w:szCs w:val="18"/>
                <w:color w:val="0000EE"/>
              </w:rPr>
            </w:pPr>
            <w:hyperlink r:id="rId195">
              <w:r>
                <w:rPr>
                  <w:rFonts w:ascii="Arial" w:cs="Arial" w:eastAsia="Arial" w:hAnsi="Arial"/>
                  <w:sz w:val="18"/>
                  <w:szCs w:val="18"/>
                  <w:color w:val="0000EE"/>
                </w:rPr>
                <w:t>Specimen common stock certificate of the</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26,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95">
              <w:r>
                <w:rPr>
                  <w:rFonts w:ascii="Arial" w:cs="Arial" w:eastAsia="Arial" w:hAnsi="Arial"/>
                  <w:sz w:val="18"/>
                  <w:szCs w:val="18"/>
                  <w:color w:val="0000EE"/>
                  <w:w w:val="87"/>
                </w:rPr>
                <w:t>Registrant.</w:t>
              </w:r>
            </w:hyperlink>
          </w:p>
        </w:tc>
        <w:tc>
          <w:tcPr>
            <w:tcW w:w="2240" w:type="dxa"/>
            <w:vAlign w:val="bottom"/>
            <w:tcBorders>
              <w:top w:val="single" w:sz="8" w:color="0000EE"/>
            </w:tcBorders>
            <w:gridSpan w:val="14"/>
          </w:tcPr>
          <w:p>
            <w:pPr>
              <w:spacing w:after="0"/>
              <w:rPr>
                <w:sz w:val="17"/>
                <w:szCs w:val="17"/>
                <w:color w:val="auto"/>
              </w:rPr>
            </w:pPr>
          </w:p>
        </w:tc>
        <w:tc>
          <w:tcPr>
            <w:tcW w:w="88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3900" w:type="dxa"/>
            <w:vAlign w:val="bottom"/>
            <w:gridSpan w:val="31"/>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Description of Securities.</w:t>
              </w:r>
            </w:hyperlink>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3900" w:type="dxa"/>
            <w:vAlign w:val="bottom"/>
            <w:gridSpan w:val="31"/>
          </w:tcPr>
          <w:p>
            <w:pPr>
              <w:spacing w:after="0"/>
              <w:rPr>
                <w:rFonts w:ascii="Arial" w:cs="Arial" w:eastAsia="Arial" w:hAnsi="Arial"/>
                <w:sz w:val="18"/>
                <w:szCs w:val="18"/>
                <w:color w:val="0000EE"/>
              </w:rPr>
            </w:pPr>
            <w:hyperlink r:id="rId196">
              <w:r>
                <w:rPr>
                  <w:rFonts w:ascii="Arial" w:cs="Arial" w:eastAsia="Arial" w:hAnsi="Arial"/>
                  <w:sz w:val="18"/>
                  <w:szCs w:val="18"/>
                  <w:color w:val="0000EE"/>
                </w:rPr>
                <w:t>Form of Indemnification Agreement between the</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26,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96">
              <w:r>
                <w:rPr>
                  <w:rFonts w:ascii="Arial" w:cs="Arial" w:eastAsia="Arial" w:hAnsi="Arial"/>
                  <w:sz w:val="18"/>
                  <w:szCs w:val="18"/>
                  <w:color w:val="0000EE"/>
                  <w:w w:val="89"/>
                </w:rPr>
                <w:t>Registrant and each of its directors and executive</w:t>
              </w:r>
            </w:hyperlink>
          </w:p>
        </w:tc>
        <w:tc>
          <w:tcPr>
            <w:tcW w:w="36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gridSpan w:val="31"/>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officers.</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3680" w:type="dxa"/>
            <w:vAlign w:val="bottom"/>
            <w:tcBorders>
              <w:bottom w:val="single" w:sz="8" w:color="0000EE"/>
            </w:tcBorders>
            <w:gridSpan w:val="25"/>
          </w:tcPr>
          <w:p>
            <w:pPr>
              <w:spacing w:after="0"/>
              <w:rPr>
                <w:rFonts w:ascii="Arial" w:cs="Arial" w:eastAsia="Arial" w:hAnsi="Arial"/>
                <w:sz w:val="18"/>
                <w:szCs w:val="18"/>
                <w:color w:val="0000EE"/>
                <w:w w:val="89"/>
              </w:rPr>
            </w:pPr>
            <w:hyperlink r:id="rId197">
              <w:r>
                <w:rPr>
                  <w:rFonts w:ascii="Arial" w:cs="Arial" w:eastAsia="Arial" w:hAnsi="Arial"/>
                  <w:sz w:val="18"/>
                  <w:szCs w:val="18"/>
                  <w:color w:val="0000EE"/>
                  <w:w w:val="89"/>
                </w:rPr>
                <w:t>Amended and Restated 2020 Equity Incentive Plan</w:t>
              </w:r>
            </w:hyperlink>
          </w:p>
        </w:tc>
        <w:tc>
          <w:tcPr>
            <w:tcW w:w="220" w:type="dxa"/>
            <w:vAlign w:val="bottom"/>
            <w:gridSpan w:val="6"/>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13,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gridSpan w:val="31"/>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and forms of agreements thereunder.</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3900" w:type="dxa"/>
            <w:vAlign w:val="bottom"/>
            <w:gridSpan w:val="31"/>
          </w:tcPr>
          <w:p>
            <w:pPr>
              <w:spacing w:after="0"/>
              <w:rPr>
                <w:rFonts w:ascii="Arial" w:cs="Arial" w:eastAsia="Arial" w:hAnsi="Arial"/>
                <w:sz w:val="18"/>
                <w:szCs w:val="18"/>
                <w:color w:val="0000EE"/>
              </w:rPr>
            </w:pPr>
            <w:hyperlink r:id="rId198">
              <w:r>
                <w:rPr>
                  <w:rFonts w:ascii="Arial" w:cs="Arial" w:eastAsia="Arial" w:hAnsi="Arial"/>
                  <w:sz w:val="18"/>
                  <w:szCs w:val="18"/>
                  <w:color w:val="0000EE"/>
                </w:rPr>
                <w:t>2020 Employee Stock Purchase Plan.</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13,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3580" w:type="dxa"/>
            <w:vAlign w:val="bottom"/>
            <w:tcBorders>
              <w:bottom w:val="single" w:sz="8" w:color="0000EE"/>
            </w:tcBorders>
            <w:gridSpan w:val="24"/>
          </w:tcPr>
          <w:p>
            <w:pPr>
              <w:spacing w:after="0"/>
              <w:rPr>
                <w:rFonts w:ascii="Arial" w:cs="Arial" w:eastAsia="Arial" w:hAnsi="Arial"/>
                <w:sz w:val="18"/>
                <w:szCs w:val="18"/>
                <w:color w:val="0000EE"/>
                <w:w w:val="91"/>
              </w:rPr>
            </w:pPr>
            <w:hyperlink r:id="rId199">
              <w:r>
                <w:rPr>
                  <w:rFonts w:ascii="Arial" w:cs="Arial" w:eastAsia="Arial" w:hAnsi="Arial"/>
                  <w:sz w:val="18"/>
                  <w:szCs w:val="18"/>
                  <w:color w:val="0000EE"/>
                  <w:w w:val="91"/>
                </w:rPr>
                <w:t>Confirmatory Offer Letter between the Registrant</w:t>
              </w:r>
            </w:hyperlink>
          </w:p>
        </w:tc>
        <w:tc>
          <w:tcPr>
            <w:tcW w:w="320" w:type="dxa"/>
            <w:vAlign w:val="bottom"/>
            <w:gridSpan w:val="7"/>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13,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r:id="rId199">
              <w:r>
                <w:rPr>
                  <w:rFonts w:ascii="Arial" w:cs="Arial" w:eastAsia="Arial" w:hAnsi="Arial"/>
                  <w:sz w:val="18"/>
                  <w:szCs w:val="18"/>
                  <w:color w:val="0000EE"/>
                  <w:w w:val="86"/>
                </w:rPr>
                <w:t>and Jaume Pons, Ph.D.</w:t>
              </w:r>
            </w:hyperlink>
          </w:p>
        </w:tc>
        <w:tc>
          <w:tcPr>
            <w:tcW w:w="2240" w:type="dxa"/>
            <w:vAlign w:val="bottom"/>
            <w:gridSpan w:val="22"/>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3580" w:type="dxa"/>
            <w:vAlign w:val="bottom"/>
            <w:tcBorders>
              <w:bottom w:val="single" w:sz="8" w:color="0000EE"/>
            </w:tcBorders>
            <w:gridSpan w:val="24"/>
          </w:tcPr>
          <w:p>
            <w:pPr>
              <w:spacing w:after="0"/>
              <w:rPr>
                <w:rFonts w:ascii="Arial" w:cs="Arial" w:eastAsia="Arial" w:hAnsi="Arial"/>
                <w:sz w:val="18"/>
                <w:szCs w:val="18"/>
                <w:color w:val="0000EE"/>
                <w:w w:val="91"/>
              </w:rPr>
            </w:pPr>
            <w:hyperlink r:id="rId200">
              <w:r>
                <w:rPr>
                  <w:rFonts w:ascii="Arial" w:cs="Arial" w:eastAsia="Arial" w:hAnsi="Arial"/>
                  <w:sz w:val="18"/>
                  <w:szCs w:val="18"/>
                  <w:color w:val="0000EE"/>
                  <w:w w:val="91"/>
                </w:rPr>
                <w:t>Confirmatory Offer Letter between the Registrant</w:t>
              </w:r>
            </w:hyperlink>
          </w:p>
        </w:tc>
        <w:tc>
          <w:tcPr>
            <w:tcW w:w="320" w:type="dxa"/>
            <w:vAlign w:val="bottom"/>
            <w:gridSpan w:val="7"/>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13,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r:id="rId200">
              <w:r>
                <w:rPr>
                  <w:rFonts w:ascii="Arial" w:cs="Arial" w:eastAsia="Arial" w:hAnsi="Arial"/>
                  <w:sz w:val="18"/>
                  <w:szCs w:val="18"/>
                  <w:color w:val="0000EE"/>
                  <w:w w:val="85"/>
                </w:rPr>
                <w:t>and Peter García.</w:t>
              </w:r>
            </w:hyperlink>
          </w:p>
        </w:tc>
        <w:tc>
          <w:tcPr>
            <w:tcW w:w="2660" w:type="dxa"/>
            <w:vAlign w:val="bottom"/>
            <w:gridSpan w:val="25"/>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3580" w:type="dxa"/>
            <w:vAlign w:val="bottom"/>
            <w:tcBorders>
              <w:bottom w:val="single" w:sz="8" w:color="0000EE"/>
            </w:tcBorders>
            <w:gridSpan w:val="24"/>
          </w:tcPr>
          <w:p>
            <w:pPr>
              <w:spacing w:after="0"/>
              <w:rPr>
                <w:rFonts w:ascii="Arial" w:cs="Arial" w:eastAsia="Arial" w:hAnsi="Arial"/>
                <w:sz w:val="18"/>
                <w:szCs w:val="18"/>
                <w:color w:val="0000EE"/>
                <w:w w:val="91"/>
              </w:rPr>
            </w:pPr>
            <w:hyperlink w:anchor="page161">
              <w:r>
                <w:rPr>
                  <w:rFonts w:ascii="Arial" w:cs="Arial" w:eastAsia="Arial" w:hAnsi="Arial"/>
                  <w:sz w:val="18"/>
                  <w:szCs w:val="18"/>
                  <w:color w:val="0000EE"/>
                  <w:w w:val="91"/>
                </w:rPr>
                <w:t>Confirmatory Offer Letter between the Registrant</w:t>
              </w:r>
            </w:hyperlink>
          </w:p>
        </w:tc>
        <w:tc>
          <w:tcPr>
            <w:tcW w:w="32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gridSpan w:val="31"/>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and Shelly Pinto</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3580" w:type="dxa"/>
            <w:vAlign w:val="bottom"/>
            <w:tcBorders>
              <w:bottom w:val="single" w:sz="8" w:color="0000EE"/>
            </w:tcBorders>
            <w:gridSpan w:val="24"/>
          </w:tcPr>
          <w:p>
            <w:pPr>
              <w:spacing w:after="0"/>
              <w:rPr>
                <w:rFonts w:ascii="Arial" w:cs="Arial" w:eastAsia="Arial" w:hAnsi="Arial"/>
                <w:sz w:val="18"/>
                <w:szCs w:val="18"/>
                <w:color w:val="0000EE"/>
                <w:w w:val="91"/>
              </w:rPr>
            </w:pPr>
            <w:hyperlink r:id="rId201">
              <w:r>
                <w:rPr>
                  <w:rFonts w:ascii="Arial" w:cs="Arial" w:eastAsia="Arial" w:hAnsi="Arial"/>
                  <w:sz w:val="18"/>
                  <w:szCs w:val="18"/>
                  <w:color w:val="0000EE"/>
                  <w:w w:val="91"/>
                </w:rPr>
                <w:t>Confirmatory Offer Letter between the Registrant</w:t>
              </w:r>
            </w:hyperlink>
          </w:p>
        </w:tc>
        <w:tc>
          <w:tcPr>
            <w:tcW w:w="320" w:type="dxa"/>
            <w:vAlign w:val="bottom"/>
            <w:gridSpan w:val="7"/>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13,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01">
              <w:r>
                <w:rPr>
                  <w:rFonts w:ascii="Arial" w:cs="Arial" w:eastAsia="Arial" w:hAnsi="Arial"/>
                  <w:sz w:val="18"/>
                  <w:szCs w:val="18"/>
                  <w:color w:val="0000EE"/>
                  <w:w w:val="90"/>
                </w:rPr>
                <w:t>and Sophia Randolph, M.D., Ph.D.</w:t>
              </w:r>
            </w:hyperlink>
          </w:p>
        </w:tc>
        <w:tc>
          <w:tcPr>
            <w:tcW w:w="1380" w:type="dxa"/>
            <w:vAlign w:val="bottom"/>
            <w:gridSpan w:val="20"/>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3900" w:type="dxa"/>
            <w:vAlign w:val="bottom"/>
            <w:gridSpan w:val="31"/>
          </w:tcPr>
          <w:p>
            <w:pPr>
              <w:spacing w:after="0"/>
              <w:rPr>
                <w:rFonts w:ascii="Arial" w:cs="Arial" w:eastAsia="Arial" w:hAnsi="Arial"/>
                <w:sz w:val="18"/>
                <w:szCs w:val="18"/>
                <w:color w:val="0000EE"/>
              </w:rPr>
            </w:pPr>
            <w:hyperlink r:id="rId202">
              <w:r>
                <w:rPr>
                  <w:rFonts w:ascii="Arial" w:cs="Arial" w:eastAsia="Arial" w:hAnsi="Arial"/>
                  <w:sz w:val="18"/>
                  <w:szCs w:val="18"/>
                  <w:color w:val="0000EE"/>
                </w:rPr>
                <w:t>Executive Incentive Compensation Plan.</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13,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920" w:type="dxa"/>
            <w:vAlign w:val="bottom"/>
            <w:tcBorders>
              <w:top w:val="single" w:sz="8" w:color="0000EE"/>
            </w:tcBorders>
            <w:gridSpan w:val="15"/>
          </w:tcPr>
          <w:p>
            <w:pPr>
              <w:spacing w:after="0"/>
              <w:rPr>
                <w:rFonts w:ascii="Arial" w:cs="Arial" w:eastAsia="Arial" w:hAnsi="Arial"/>
                <w:sz w:val="18"/>
                <w:szCs w:val="18"/>
                <w:color w:val="0000EE"/>
                <w:w w:val="93"/>
              </w:rPr>
            </w:pPr>
            <w:hyperlink r:id="rId203">
              <w:r>
                <w:rPr>
                  <w:rFonts w:ascii="Arial" w:cs="Arial" w:eastAsia="Arial" w:hAnsi="Arial"/>
                  <w:sz w:val="18"/>
                  <w:szCs w:val="18"/>
                  <w:color w:val="0000EE"/>
                  <w:w w:val="93"/>
                </w:rPr>
                <w:t>Outside Director Compensation Policy.</w:t>
              </w:r>
            </w:hyperlink>
          </w:p>
        </w:tc>
        <w:tc>
          <w:tcPr>
            <w:tcW w:w="980" w:type="dxa"/>
            <w:vAlign w:val="bottom"/>
            <w:gridSpan w:val="16"/>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13,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980" w:type="dxa"/>
            <w:vAlign w:val="bottom"/>
            <w:gridSpan w:val="11"/>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3900" w:type="dxa"/>
            <w:vAlign w:val="bottom"/>
            <w:gridSpan w:val="31"/>
          </w:tcPr>
          <w:p>
            <w:pPr>
              <w:spacing w:after="0"/>
              <w:rPr>
                <w:rFonts w:ascii="Arial" w:cs="Arial" w:eastAsia="Arial" w:hAnsi="Arial"/>
                <w:sz w:val="18"/>
                <w:szCs w:val="18"/>
                <w:color w:val="0000EE"/>
              </w:rPr>
            </w:pPr>
            <w:hyperlink r:id="rId204">
              <w:r>
                <w:rPr>
                  <w:rFonts w:ascii="Arial" w:cs="Arial" w:eastAsia="Arial" w:hAnsi="Arial"/>
                  <w:sz w:val="18"/>
                  <w:szCs w:val="18"/>
                  <w:color w:val="0000EE"/>
                </w:rPr>
                <w:t>Form of Change in Control and Severance</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13,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204">
              <w:r>
                <w:rPr>
                  <w:rFonts w:ascii="Arial" w:cs="Arial" w:eastAsia="Arial" w:hAnsi="Arial"/>
                  <w:sz w:val="18"/>
                  <w:szCs w:val="18"/>
                  <w:color w:val="0000EE"/>
                  <w:w w:val="88"/>
                </w:rPr>
                <w:t>Agreement.</w:t>
              </w:r>
            </w:hyperlink>
          </w:p>
        </w:tc>
        <w:tc>
          <w:tcPr>
            <w:tcW w:w="2200" w:type="dxa"/>
            <w:vAlign w:val="bottom"/>
            <w:tcBorders>
              <w:top w:val="single" w:sz="8" w:color="0000EE"/>
            </w:tcBorders>
            <w:gridSpan w:val="14"/>
          </w:tcPr>
          <w:p>
            <w:pPr>
              <w:spacing w:after="0"/>
              <w:rPr>
                <w:sz w:val="17"/>
                <w:szCs w:val="17"/>
                <w:color w:val="auto"/>
              </w:rPr>
            </w:pPr>
          </w:p>
        </w:tc>
        <w:tc>
          <w:tcPr>
            <w:tcW w:w="86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3900" w:type="dxa"/>
            <w:vAlign w:val="bottom"/>
            <w:gridSpan w:val="31"/>
          </w:tcPr>
          <w:p>
            <w:pPr>
              <w:spacing w:after="0"/>
              <w:rPr>
                <w:rFonts w:ascii="Arial" w:cs="Arial" w:eastAsia="Arial" w:hAnsi="Arial"/>
                <w:sz w:val="18"/>
                <w:szCs w:val="18"/>
                <w:color w:val="0000EE"/>
              </w:rPr>
            </w:pPr>
            <w:hyperlink r:id="rId205">
              <w:r>
                <w:rPr>
                  <w:rFonts w:ascii="Arial" w:cs="Arial" w:eastAsia="Arial" w:hAnsi="Arial"/>
                  <w:sz w:val="18"/>
                  <w:szCs w:val="18"/>
                  <w:color w:val="0000EE"/>
                </w:rPr>
                <w:t>Exclusive (Equity) Agreement between the</w:t>
              </w:r>
            </w:hyperlink>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26,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gridSpan w:val="18"/>
            <w:shd w:val="clear" w:color="auto" w:fill="0000EE"/>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205">
              <w:r>
                <w:rPr>
                  <w:rFonts w:ascii="Arial" w:cs="Arial" w:eastAsia="Arial" w:hAnsi="Arial"/>
                  <w:sz w:val="18"/>
                  <w:szCs w:val="18"/>
                  <w:color w:val="0000EE"/>
                  <w:w w:val="89"/>
                </w:rPr>
                <w:t>Registrant and The Board of Trustees of the Leland</w:t>
              </w:r>
            </w:hyperlink>
          </w:p>
        </w:tc>
        <w:tc>
          <w:tcPr>
            <w:tcW w:w="20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Stanford Junior University, effective as of March 24,</w:t>
              </w:r>
            </w:hyperlink>
          </w:p>
        </w:tc>
        <w:tc>
          <w:tcPr>
            <w:tcW w:w="1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20"/>
        <w:spacing w:after="0"/>
        <w:rPr>
          <w:rFonts w:ascii="Arial" w:cs="Arial" w:eastAsia="Arial" w:hAnsi="Arial"/>
          <w:sz w:val="18"/>
          <w:szCs w:val="18"/>
          <w:u w:val="single" w:color="auto"/>
          <w:color w:val="0000EE"/>
        </w:rPr>
      </w:pPr>
      <w:hyperlink r:id="rId205">
        <w:r>
          <w:rPr>
            <w:rFonts w:ascii="Arial" w:cs="Arial" w:eastAsia="Arial" w:hAnsi="Arial"/>
            <w:sz w:val="18"/>
            <w:szCs w:val="18"/>
            <w:u w:val="single" w:color="auto"/>
            <w:color w:val="0000EE"/>
          </w:rPr>
          <w:t>2015, as amended on April 24, 2015 and May 15,</w:t>
        </w:r>
      </w:hyperlink>
    </w:p>
    <w:p>
      <w:pPr>
        <w:spacing w:after="0" w:line="23" w:lineRule="exact"/>
        <w:rPr>
          <w:sz w:val="20"/>
          <w:szCs w:val="20"/>
          <w:color w:val="auto"/>
        </w:rPr>
      </w:pPr>
    </w:p>
    <w:p>
      <w:pPr>
        <w:ind w:left="1120"/>
        <w:spacing w:after="0"/>
        <w:rPr>
          <w:rFonts w:ascii="Arial" w:cs="Arial" w:eastAsia="Arial" w:hAnsi="Arial"/>
          <w:sz w:val="18"/>
          <w:szCs w:val="18"/>
          <w:u w:val="single" w:color="auto"/>
          <w:color w:val="0000EE"/>
        </w:rPr>
      </w:pPr>
      <w:hyperlink r:id="rId205">
        <w:r>
          <w:rPr>
            <w:rFonts w:ascii="Arial" w:cs="Arial" w:eastAsia="Arial" w:hAnsi="Arial"/>
            <w:sz w:val="18"/>
            <w:szCs w:val="18"/>
            <w:u w:val="single" w:color="auto"/>
            <w:color w:val="0000EE"/>
          </w:rPr>
          <w:t>2015.</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3840" w:type="dxa"/>
            <w:vAlign w:val="bottom"/>
            <w:tcBorders>
              <w:bottom w:val="single" w:sz="8" w:color="0000EE"/>
            </w:tcBorders>
            <w:gridSpan w:val="21"/>
          </w:tcPr>
          <w:p>
            <w:pPr>
              <w:spacing w:after="0"/>
              <w:rPr>
                <w:rFonts w:ascii="Arial" w:cs="Arial" w:eastAsia="Arial" w:hAnsi="Arial"/>
                <w:sz w:val="18"/>
                <w:szCs w:val="18"/>
                <w:color w:val="0000EE"/>
                <w:w w:val="89"/>
              </w:rPr>
            </w:pPr>
            <w:hyperlink r:id="rId207">
              <w:r>
                <w:rPr>
                  <w:rFonts w:ascii="Arial" w:cs="Arial" w:eastAsia="Arial" w:hAnsi="Arial"/>
                  <w:sz w:val="18"/>
                  <w:szCs w:val="18"/>
                  <w:color w:val="0000EE"/>
                  <w:w w:val="89"/>
                </w:rPr>
                <w:t>Loan and Security Agreement, dated as of December</w:t>
              </w:r>
            </w:hyperlink>
          </w:p>
        </w:tc>
        <w:tc>
          <w:tcPr>
            <w:tcW w:w="260" w:type="dxa"/>
            <w:vAlign w:val="bottom"/>
            <w:gridSpan w:val="5"/>
          </w:tcPr>
          <w:p>
            <w:pPr>
              <w:spacing w:after="0"/>
              <w:rPr>
                <w:sz w:val="17"/>
                <w:szCs w:val="17"/>
                <w:color w:val="auto"/>
              </w:rPr>
            </w:pPr>
          </w:p>
        </w:tc>
        <w:tc>
          <w:tcPr>
            <w:tcW w:w="760" w:type="dxa"/>
            <w:vAlign w:val="bottom"/>
          </w:tcPr>
          <w:p>
            <w:pPr>
              <w:ind w:left="140"/>
              <w:spacing w:after="0"/>
              <w:rPr>
                <w:sz w:val="20"/>
                <w:szCs w:val="20"/>
                <w:color w:val="auto"/>
              </w:rPr>
            </w:pPr>
            <w:r>
              <w:rPr>
                <w:rFonts w:ascii="Arial" w:cs="Arial" w:eastAsia="Arial" w:hAnsi="Arial"/>
                <w:sz w:val="18"/>
                <w:szCs w:val="18"/>
                <w:color w:val="auto"/>
              </w:rPr>
              <w:t>S-1</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333-239490</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10.13</w:t>
            </w:r>
          </w:p>
        </w:tc>
        <w:tc>
          <w:tcPr>
            <w:tcW w:w="2820" w:type="dxa"/>
            <w:vAlign w:val="bottom"/>
          </w:tcPr>
          <w:p>
            <w:pPr>
              <w:ind w:left="300"/>
              <w:spacing w:after="0"/>
              <w:rPr>
                <w:sz w:val="20"/>
                <w:szCs w:val="20"/>
                <w:color w:val="auto"/>
              </w:rPr>
            </w:pPr>
            <w:r>
              <w:rPr>
                <w:rFonts w:ascii="Arial" w:cs="Arial" w:eastAsia="Arial" w:hAnsi="Arial"/>
                <w:sz w:val="18"/>
                <w:szCs w:val="18"/>
                <w:color w:val="auto"/>
              </w:rPr>
              <w:t>June 26, 2020</w:t>
            </w:r>
          </w:p>
        </w:tc>
      </w:tr>
      <w:tr>
        <w:trPr>
          <w:trHeight w:val="196"/>
        </w:trPr>
        <w:tc>
          <w:tcPr>
            <w:tcW w:w="1140" w:type="dxa"/>
            <w:vAlign w:val="bottom"/>
          </w:tcPr>
          <w:p>
            <w:pPr>
              <w:spacing w:after="0"/>
              <w:rPr>
                <w:sz w:val="17"/>
                <w:szCs w:val="17"/>
                <w:color w:val="auto"/>
              </w:rPr>
            </w:pPr>
          </w:p>
        </w:tc>
        <w:tc>
          <w:tcPr>
            <w:tcW w:w="32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20, 2019, among the Registrant, certain of its</w:t>
              </w:r>
            </w:hyperlink>
          </w:p>
        </w:tc>
        <w:tc>
          <w:tcPr>
            <w:tcW w:w="840" w:type="dxa"/>
            <w:vAlign w:val="bottom"/>
            <w:gridSpan w:val="19"/>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100" w:type="dxa"/>
            <w:vAlign w:val="bottom"/>
            <w:gridSpan w:val="26"/>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affiliates, Silicon Valley Bank and WestRiver</w:t>
              </w:r>
            </w:hyperlink>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100" w:type="dxa"/>
            <w:vAlign w:val="bottom"/>
            <w:gridSpan w:val="26"/>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Innovation Lending Fund VIII, L.P., as amended by</w:t>
              </w:r>
            </w:hyperlink>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the Joinder and First Amendment to Loan and</w:t>
              </w:r>
            </w:hyperlink>
          </w:p>
        </w:tc>
        <w:tc>
          <w:tcPr>
            <w:tcW w:w="400" w:type="dxa"/>
            <w:vAlign w:val="bottom"/>
            <w:tcBorders>
              <w:top w:val="single" w:sz="8" w:color="0000EE"/>
            </w:tcBorders>
            <w:gridSpan w:val="9"/>
          </w:tcPr>
          <w:p>
            <w:pPr>
              <w:spacing w:after="0"/>
              <w:rPr>
                <w:sz w:val="17"/>
                <w:szCs w:val="17"/>
                <w:color w:val="auto"/>
              </w:rPr>
            </w:pPr>
          </w:p>
        </w:tc>
        <w:tc>
          <w:tcPr>
            <w:tcW w:w="38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100" w:type="dxa"/>
            <w:vAlign w:val="bottom"/>
            <w:gridSpan w:val="26"/>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Security Agreement on May 21, 2020.</w:t>
              </w:r>
            </w:hyperlink>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3700" w:type="dxa"/>
            <w:vAlign w:val="bottom"/>
            <w:tcBorders>
              <w:bottom w:val="single" w:sz="8" w:color="0000EE"/>
            </w:tcBorders>
            <w:gridSpan w:val="16"/>
          </w:tcPr>
          <w:p>
            <w:pPr>
              <w:spacing w:after="0"/>
              <w:rPr>
                <w:rFonts w:ascii="Arial" w:cs="Arial" w:eastAsia="Arial" w:hAnsi="Arial"/>
                <w:sz w:val="18"/>
                <w:szCs w:val="18"/>
                <w:color w:val="0000EE"/>
                <w:w w:val="88"/>
              </w:rPr>
            </w:pPr>
            <w:hyperlink r:id="rId208">
              <w:r>
                <w:rPr>
                  <w:rFonts w:ascii="Arial" w:cs="Arial" w:eastAsia="Arial" w:hAnsi="Arial"/>
                  <w:sz w:val="18"/>
                  <w:szCs w:val="18"/>
                  <w:color w:val="0000EE"/>
                  <w:w w:val="88"/>
                </w:rPr>
                <w:t>Amended and Restated Research and Development</w:t>
              </w:r>
            </w:hyperlink>
          </w:p>
        </w:tc>
        <w:tc>
          <w:tcPr>
            <w:tcW w:w="400" w:type="dxa"/>
            <w:vAlign w:val="bottom"/>
            <w:gridSpan w:val="10"/>
          </w:tcPr>
          <w:p>
            <w:pPr>
              <w:spacing w:after="0"/>
              <w:rPr>
                <w:sz w:val="24"/>
                <w:szCs w:val="24"/>
                <w:color w:val="auto"/>
              </w:rPr>
            </w:pPr>
          </w:p>
        </w:tc>
        <w:tc>
          <w:tcPr>
            <w:tcW w:w="760" w:type="dxa"/>
            <w:vAlign w:val="bottom"/>
          </w:tcPr>
          <w:p>
            <w:pPr>
              <w:ind w:left="140"/>
              <w:spacing w:after="0"/>
              <w:rPr>
                <w:sz w:val="20"/>
                <w:szCs w:val="20"/>
                <w:color w:val="auto"/>
              </w:rPr>
            </w:pPr>
            <w:r>
              <w:rPr>
                <w:rFonts w:ascii="Arial" w:cs="Arial" w:eastAsia="Arial" w:hAnsi="Arial"/>
                <w:sz w:val="18"/>
                <w:szCs w:val="18"/>
                <w:color w:val="auto"/>
              </w:rPr>
              <w:t>S-1</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333-239490</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10.14</w:t>
            </w:r>
          </w:p>
        </w:tc>
        <w:tc>
          <w:tcPr>
            <w:tcW w:w="2820" w:type="dxa"/>
            <w:vAlign w:val="bottom"/>
          </w:tcPr>
          <w:p>
            <w:pPr>
              <w:ind w:left="300"/>
              <w:spacing w:after="0"/>
              <w:rPr>
                <w:sz w:val="20"/>
                <w:szCs w:val="20"/>
                <w:color w:val="auto"/>
              </w:rPr>
            </w:pPr>
            <w:r>
              <w:rPr>
                <w:rFonts w:ascii="Arial" w:cs="Arial" w:eastAsia="Arial" w:hAnsi="Arial"/>
                <w:sz w:val="18"/>
                <w:szCs w:val="18"/>
                <w:color w:val="auto"/>
              </w:rPr>
              <w:t>June 26, 2020</w:t>
            </w:r>
          </w:p>
        </w:tc>
      </w:tr>
      <w:tr>
        <w:trPr>
          <w:trHeight w:val="196"/>
        </w:trPr>
        <w:tc>
          <w:tcPr>
            <w:tcW w:w="1140" w:type="dxa"/>
            <w:vAlign w:val="bottom"/>
          </w:tcPr>
          <w:p>
            <w:pPr>
              <w:spacing w:after="0"/>
              <w:rPr>
                <w:sz w:val="17"/>
                <w:szCs w:val="17"/>
                <w:color w:val="auto"/>
              </w:rPr>
            </w:pPr>
          </w:p>
        </w:tc>
        <w:tc>
          <w:tcPr>
            <w:tcW w:w="34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208">
              <w:r>
                <w:rPr>
                  <w:rFonts w:ascii="Arial" w:cs="Arial" w:eastAsia="Arial" w:hAnsi="Arial"/>
                  <w:sz w:val="18"/>
                  <w:szCs w:val="18"/>
                  <w:color w:val="0000EE"/>
                  <w:w w:val="88"/>
                </w:rPr>
                <w:t>Services Agreement, dated as of June 18, 2018,</w:t>
              </w:r>
            </w:hyperlink>
          </w:p>
        </w:tc>
        <w:tc>
          <w:tcPr>
            <w:tcW w:w="680" w:type="dxa"/>
            <w:vAlign w:val="bottom"/>
            <w:gridSpan w:val="16"/>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100" w:type="dxa"/>
            <w:vAlign w:val="bottom"/>
            <w:gridSpan w:val="26"/>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between ALX Oncology Inc. and Tollnine, Inc.,</w:t>
              </w:r>
            </w:hyperlink>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100" w:type="dxa"/>
            <w:vAlign w:val="bottom"/>
            <w:gridSpan w:val="26"/>
          </w:tcPr>
          <w:p>
            <w:pPr>
              <w:spacing w:after="0" w:line="196" w:lineRule="exact"/>
              <w:rPr>
                <w:rFonts w:ascii="Arial" w:cs="Arial" w:eastAsia="Arial" w:hAnsi="Arial"/>
                <w:sz w:val="18"/>
                <w:szCs w:val="18"/>
                <w:color w:val="0000EE"/>
                <w:w w:val="98"/>
              </w:rPr>
            </w:pPr>
            <w:hyperlink r:id="rId208">
              <w:r>
                <w:rPr>
                  <w:rFonts w:ascii="Arial" w:cs="Arial" w:eastAsia="Arial" w:hAnsi="Arial"/>
                  <w:sz w:val="18"/>
                  <w:szCs w:val="18"/>
                  <w:color w:val="0000EE"/>
                  <w:w w:val="98"/>
                </w:rPr>
                <w:t>incorporating Amendment No. 1, dated as of May 3,</w:t>
              </w:r>
            </w:hyperlink>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208">
              <w:r>
                <w:rPr>
                  <w:rFonts w:ascii="Arial" w:cs="Arial" w:eastAsia="Arial" w:hAnsi="Arial"/>
                  <w:sz w:val="18"/>
                  <w:szCs w:val="18"/>
                  <w:color w:val="0000EE"/>
                  <w:w w:val="84"/>
                </w:rPr>
                <w:t>2019.</w:t>
              </w:r>
            </w:hyperlink>
          </w:p>
        </w:tc>
        <w:tc>
          <w:tcPr>
            <w:tcW w:w="9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317"/>
        </w:trPr>
        <w:tc>
          <w:tcPr>
            <w:tcW w:w="1140" w:type="dxa"/>
            <w:vAlign w:val="bottom"/>
          </w:tcPr>
          <w:p>
            <w:pPr>
              <w:spacing w:after="0"/>
              <w:rPr>
                <w:sz w:val="20"/>
                <w:szCs w:val="20"/>
                <w:color w:val="auto"/>
              </w:rPr>
            </w:pPr>
            <w:r>
              <w:rPr>
                <w:rFonts w:ascii="Arial" w:cs="Arial" w:eastAsia="Arial" w:hAnsi="Arial"/>
                <w:sz w:val="18"/>
                <w:szCs w:val="18"/>
                <w:color w:val="auto"/>
              </w:rPr>
              <w:t>10.14</w:t>
            </w:r>
          </w:p>
        </w:tc>
        <w:tc>
          <w:tcPr>
            <w:tcW w:w="4100" w:type="dxa"/>
            <w:vAlign w:val="bottom"/>
            <w:gridSpan w:val="26"/>
          </w:tcPr>
          <w:p>
            <w:pPr>
              <w:spacing w:after="0"/>
              <w:rPr>
                <w:rFonts w:ascii="Arial" w:cs="Arial" w:eastAsia="Arial" w:hAnsi="Arial"/>
                <w:sz w:val="18"/>
                <w:szCs w:val="18"/>
                <w:color w:val="0000EE"/>
              </w:rPr>
            </w:pPr>
            <w:hyperlink r:id="rId209">
              <w:r>
                <w:rPr>
                  <w:rFonts w:ascii="Arial" w:cs="Arial" w:eastAsia="Arial" w:hAnsi="Arial"/>
                  <w:sz w:val="18"/>
                  <w:szCs w:val="18"/>
                  <w:color w:val="0000EE"/>
                </w:rPr>
                <w:t>Research and Development Services Agreement,</w:t>
              </w:r>
            </w:hyperlink>
          </w:p>
        </w:tc>
        <w:tc>
          <w:tcPr>
            <w:tcW w:w="760" w:type="dxa"/>
            <w:vAlign w:val="bottom"/>
          </w:tcPr>
          <w:p>
            <w:pPr>
              <w:ind w:left="140"/>
              <w:spacing w:after="0"/>
              <w:rPr>
                <w:sz w:val="20"/>
                <w:szCs w:val="20"/>
                <w:color w:val="auto"/>
              </w:rPr>
            </w:pPr>
            <w:r>
              <w:rPr>
                <w:rFonts w:ascii="Arial" w:cs="Arial" w:eastAsia="Arial" w:hAnsi="Arial"/>
                <w:sz w:val="18"/>
                <w:szCs w:val="18"/>
                <w:color w:val="auto"/>
              </w:rPr>
              <w:t>S-1</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333-239490</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10.15</w:t>
            </w:r>
          </w:p>
        </w:tc>
        <w:tc>
          <w:tcPr>
            <w:tcW w:w="2820" w:type="dxa"/>
            <w:vAlign w:val="bottom"/>
          </w:tcPr>
          <w:p>
            <w:pPr>
              <w:ind w:left="300"/>
              <w:spacing w:after="0"/>
              <w:rPr>
                <w:sz w:val="20"/>
                <w:szCs w:val="20"/>
                <w:color w:val="auto"/>
              </w:rPr>
            </w:pPr>
            <w:r>
              <w:rPr>
                <w:rFonts w:ascii="Arial" w:cs="Arial" w:eastAsia="Arial" w:hAnsi="Arial"/>
                <w:sz w:val="18"/>
                <w:szCs w:val="18"/>
                <w:color w:val="auto"/>
              </w:rPr>
              <w:t>June 26, 2020</w:t>
            </w: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9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r:id="rId209">
              <w:r>
                <w:rPr>
                  <w:rFonts w:ascii="Arial" w:cs="Arial" w:eastAsia="Arial" w:hAnsi="Arial"/>
                  <w:sz w:val="18"/>
                  <w:szCs w:val="18"/>
                  <w:color w:val="0000EE"/>
                  <w:w w:val="88"/>
                </w:rPr>
                <w:t>dated as of June 25, 2020, between the Registrant and</w:t>
              </w:r>
            </w:hyperlink>
          </w:p>
        </w:tc>
        <w:tc>
          <w:tcPr>
            <w:tcW w:w="20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100" w:type="dxa"/>
            <w:vAlign w:val="bottom"/>
            <w:gridSpan w:val="26"/>
          </w:tcPr>
          <w:p>
            <w:pPr>
              <w:spacing w:after="0" w:line="196" w:lineRule="exact"/>
              <w:rPr>
                <w:rFonts w:ascii="Arial" w:cs="Arial" w:eastAsia="Arial" w:hAnsi="Arial"/>
                <w:sz w:val="18"/>
                <w:szCs w:val="18"/>
                <w:color w:val="0000EE"/>
                <w:w w:val="95"/>
              </w:rPr>
            </w:pPr>
            <w:hyperlink r:id="rId209">
              <w:r>
                <w:rPr>
                  <w:rFonts w:ascii="Arial" w:cs="Arial" w:eastAsia="Arial" w:hAnsi="Arial"/>
                  <w:sz w:val="18"/>
                  <w:szCs w:val="18"/>
                  <w:color w:val="0000EE"/>
                  <w:w w:val="95"/>
                </w:rPr>
                <w:t>Tallac Therapeutics, Inc. (formerly known as Tollnine,</w:t>
              </w:r>
            </w:hyperlink>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9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Inc.).</w:t>
              </w:r>
            </w:hyperlink>
          </w:p>
        </w:tc>
        <w:tc>
          <w:tcPr>
            <w:tcW w:w="18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24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67">
              <w:r>
                <w:rPr>
                  <w:rFonts w:ascii="Arial" w:cs="Arial" w:eastAsia="Arial" w:hAnsi="Arial"/>
                  <w:sz w:val="18"/>
                  <w:szCs w:val="18"/>
                  <w:color w:val="0000EE"/>
                  <w:w w:val="91"/>
                </w:rPr>
                <w:t>List of subsidiaries of Registrant.</w:t>
              </w:r>
            </w:hyperlink>
          </w:p>
        </w:tc>
        <w:tc>
          <w:tcPr>
            <w:tcW w:w="1700" w:type="dxa"/>
            <w:vAlign w:val="bottom"/>
            <w:gridSpan w:val="21"/>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20" w:type="dxa"/>
            <w:vAlign w:val="bottom"/>
          </w:tcPr>
          <w:p>
            <w:pPr>
              <w:ind w:left="2200"/>
              <w:spacing w:after="0"/>
              <w:rPr>
                <w:sz w:val="20"/>
                <w:szCs w:val="20"/>
                <w:color w:val="auto"/>
              </w:rPr>
            </w:pPr>
            <w:r>
              <w:rPr>
                <w:rFonts w:ascii="Arial" w:cs="Arial" w:eastAsia="Arial" w:hAnsi="Arial"/>
                <w:sz w:val="18"/>
                <w:szCs w:val="18"/>
                <w:color w:val="auto"/>
              </w:rPr>
              <w:t>X</w:t>
            </w: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35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68">
              <w:r>
                <w:rPr>
                  <w:rFonts w:ascii="Arial" w:cs="Arial" w:eastAsia="Arial" w:hAnsi="Arial"/>
                  <w:sz w:val="18"/>
                  <w:szCs w:val="18"/>
                  <w:color w:val="0000EE"/>
                  <w:w w:val="90"/>
                </w:rPr>
                <w:t>Consent of KPMG LLP, Independent Registered</w:t>
              </w:r>
            </w:hyperlink>
          </w:p>
        </w:tc>
        <w:tc>
          <w:tcPr>
            <w:tcW w:w="580" w:type="dxa"/>
            <w:vAlign w:val="bottom"/>
            <w:gridSpan w:val="13"/>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20" w:type="dxa"/>
            <w:vAlign w:val="bottom"/>
          </w:tcPr>
          <w:p>
            <w:pPr>
              <w:ind w:left="2200"/>
              <w:spacing w:after="0"/>
              <w:rPr>
                <w:sz w:val="20"/>
                <w:szCs w:val="20"/>
                <w:color w:val="auto"/>
              </w:rPr>
            </w:pPr>
            <w:r>
              <w:rPr>
                <w:rFonts w:ascii="Arial" w:cs="Arial" w:eastAsia="Arial" w:hAnsi="Arial"/>
                <w:sz w:val="18"/>
                <w:szCs w:val="18"/>
                <w:color w:val="auto"/>
              </w:rPr>
              <w:t>X</w:t>
            </w:r>
          </w:p>
        </w:tc>
      </w:tr>
      <w:tr>
        <w:trPr>
          <w:trHeight w:val="196"/>
        </w:trPr>
        <w:tc>
          <w:tcPr>
            <w:tcW w:w="1140" w:type="dxa"/>
            <w:vAlign w:val="bottom"/>
          </w:tcPr>
          <w:p>
            <w:pPr>
              <w:spacing w:after="0"/>
              <w:rPr>
                <w:sz w:val="17"/>
                <w:szCs w:val="17"/>
                <w:color w:val="auto"/>
              </w:rPr>
            </w:pPr>
          </w:p>
        </w:tc>
        <w:tc>
          <w:tcPr>
            <w:tcW w:w="4100" w:type="dxa"/>
            <w:vAlign w:val="bottom"/>
            <w:gridSpan w:val="26"/>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Public Accounting Firm.</w:t>
              </w:r>
            </w:hyperlink>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24.1</w:t>
            </w:r>
          </w:p>
        </w:tc>
        <w:tc>
          <w:tcPr>
            <w:tcW w:w="13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154">
              <w:r>
                <w:rPr>
                  <w:rFonts w:ascii="Arial" w:cs="Arial" w:eastAsia="Arial" w:hAnsi="Arial"/>
                  <w:sz w:val="18"/>
                  <w:szCs w:val="18"/>
                  <w:color w:val="0000EE"/>
                  <w:w w:val="91"/>
                </w:rPr>
                <w:t>Power of Attorney.</w:t>
              </w:r>
            </w:hyperlink>
          </w:p>
        </w:tc>
        <w:tc>
          <w:tcPr>
            <w:tcW w:w="400" w:type="dxa"/>
            <w:vAlign w:val="bottom"/>
            <w:tcBorders>
              <w:top w:val="single" w:sz="8" w:color="0000EE"/>
            </w:tcBorders>
          </w:tcPr>
          <w:p>
            <w:pPr>
              <w:spacing w:after="0"/>
              <w:rPr>
                <w:sz w:val="24"/>
                <w:szCs w:val="24"/>
                <w:color w:val="auto"/>
              </w:rPr>
            </w:pPr>
          </w:p>
        </w:tc>
        <w:tc>
          <w:tcPr>
            <w:tcW w:w="2320" w:type="dxa"/>
            <w:vAlign w:val="bottom"/>
            <w:gridSpan w:val="22"/>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20" w:type="dxa"/>
            <w:vAlign w:val="bottom"/>
          </w:tcPr>
          <w:p>
            <w:pPr>
              <w:ind w:left="2200"/>
              <w:spacing w:after="0"/>
              <w:rPr>
                <w:sz w:val="20"/>
                <w:szCs w:val="20"/>
                <w:color w:val="auto"/>
              </w:rPr>
            </w:pPr>
            <w:r>
              <w:rPr>
                <w:rFonts w:ascii="Arial" w:cs="Arial" w:eastAsia="Arial" w:hAnsi="Arial"/>
                <w:sz w:val="18"/>
                <w:szCs w:val="18"/>
                <w:color w:val="auto"/>
              </w:rPr>
              <w:t>X</w:t>
            </w: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382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169">
              <w:r>
                <w:rPr>
                  <w:rFonts w:ascii="Arial" w:cs="Arial" w:eastAsia="Arial" w:hAnsi="Arial"/>
                  <w:sz w:val="18"/>
                  <w:szCs w:val="18"/>
                  <w:color w:val="0000EE"/>
                  <w:w w:val="93"/>
                </w:rPr>
                <w:t>Certification of Principal Executive Officer Pursuant</w:t>
              </w:r>
            </w:hyperlink>
          </w:p>
        </w:tc>
        <w:tc>
          <w:tcPr>
            <w:tcW w:w="28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20" w:type="dxa"/>
            <w:vAlign w:val="bottom"/>
          </w:tcPr>
          <w:p>
            <w:pPr>
              <w:ind w:left="2200"/>
              <w:spacing w:after="0"/>
              <w:rPr>
                <w:sz w:val="20"/>
                <w:szCs w:val="20"/>
                <w:color w:val="auto"/>
              </w:rPr>
            </w:pPr>
            <w:r>
              <w:rPr>
                <w:rFonts w:ascii="Arial" w:cs="Arial" w:eastAsia="Arial" w:hAnsi="Arial"/>
                <w:sz w:val="18"/>
                <w:szCs w:val="18"/>
                <w:color w:val="auto"/>
              </w:rPr>
              <w:t>X</w:t>
            </w:r>
          </w:p>
        </w:tc>
      </w:tr>
      <w:tr>
        <w:trPr>
          <w:trHeight w:val="196"/>
        </w:trPr>
        <w:tc>
          <w:tcPr>
            <w:tcW w:w="1140" w:type="dxa"/>
            <w:vAlign w:val="bottom"/>
          </w:tcPr>
          <w:p>
            <w:pPr>
              <w:spacing w:after="0"/>
              <w:rPr>
                <w:sz w:val="17"/>
                <w:szCs w:val="17"/>
                <w:color w:val="auto"/>
              </w:rPr>
            </w:pPr>
          </w:p>
        </w:tc>
        <w:tc>
          <w:tcPr>
            <w:tcW w:w="38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69">
              <w:r>
                <w:rPr>
                  <w:rFonts w:ascii="Arial" w:cs="Arial" w:eastAsia="Arial" w:hAnsi="Arial"/>
                  <w:sz w:val="18"/>
                  <w:szCs w:val="18"/>
                  <w:color w:val="0000EE"/>
                  <w:w w:val="89"/>
                </w:rPr>
                <w:t>to Rules 13a-14(a) and 15d-14(a) under the Securities</w:t>
              </w:r>
            </w:hyperlink>
          </w:p>
        </w:tc>
        <w:tc>
          <w:tcPr>
            <w:tcW w:w="22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3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69">
              <w:r>
                <w:rPr>
                  <w:rFonts w:ascii="Arial" w:cs="Arial" w:eastAsia="Arial" w:hAnsi="Arial"/>
                  <w:sz w:val="18"/>
                  <w:szCs w:val="18"/>
                  <w:color w:val="0000EE"/>
                  <w:w w:val="89"/>
                </w:rPr>
                <w:t>Exchange Act of 1934, as Adopted Pursuant to</w:t>
              </w:r>
            </w:hyperlink>
          </w:p>
        </w:tc>
        <w:tc>
          <w:tcPr>
            <w:tcW w:w="720" w:type="dxa"/>
            <w:vAlign w:val="bottom"/>
            <w:gridSpan w:val="17"/>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69">
              <w:r>
                <w:rPr>
                  <w:rFonts w:ascii="Arial" w:cs="Arial" w:eastAsia="Arial" w:hAnsi="Arial"/>
                  <w:sz w:val="18"/>
                  <w:szCs w:val="18"/>
                  <w:color w:val="0000EE"/>
                  <w:w w:val="90"/>
                </w:rPr>
                <w:t>Section 302 of the Sarbanes-Oxley Act of 2002.</w:t>
              </w:r>
            </w:hyperlink>
          </w:p>
        </w:tc>
        <w:tc>
          <w:tcPr>
            <w:tcW w:w="640" w:type="dxa"/>
            <w:vAlign w:val="bottom"/>
            <w:gridSpan w:val="14"/>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3940" w:type="dxa"/>
            <w:vAlign w:val="bottom"/>
            <w:tcBorders>
              <w:bottom w:val="single" w:sz="8" w:color="0000EE"/>
            </w:tcBorders>
            <w:gridSpan w:val="25"/>
          </w:tcPr>
          <w:p>
            <w:pPr>
              <w:spacing w:after="0"/>
              <w:rPr>
                <w:rFonts w:ascii="Arial" w:cs="Arial" w:eastAsia="Arial" w:hAnsi="Arial"/>
                <w:sz w:val="18"/>
                <w:szCs w:val="18"/>
                <w:color w:val="0000EE"/>
                <w:w w:val="93"/>
              </w:rPr>
            </w:pPr>
            <w:hyperlink w:anchor="page170">
              <w:r>
                <w:rPr>
                  <w:rFonts w:ascii="Arial" w:cs="Arial" w:eastAsia="Arial" w:hAnsi="Arial"/>
                  <w:sz w:val="18"/>
                  <w:szCs w:val="18"/>
                  <w:color w:val="0000EE"/>
                  <w:w w:val="93"/>
                </w:rPr>
                <w:t>Certification of Principal Financial Officer Pursuant to</w:t>
              </w:r>
            </w:hyperlink>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20" w:type="dxa"/>
            <w:vAlign w:val="bottom"/>
          </w:tcPr>
          <w:p>
            <w:pPr>
              <w:ind w:left="2200"/>
              <w:spacing w:after="0"/>
              <w:rPr>
                <w:sz w:val="20"/>
                <w:szCs w:val="20"/>
                <w:color w:val="auto"/>
              </w:rPr>
            </w:pPr>
            <w:r>
              <w:rPr>
                <w:rFonts w:ascii="Arial" w:cs="Arial" w:eastAsia="Arial" w:hAnsi="Arial"/>
                <w:sz w:val="18"/>
                <w:szCs w:val="18"/>
                <w:color w:val="auto"/>
              </w:rPr>
              <w:t>X</w:t>
            </w:r>
          </w:p>
        </w:tc>
      </w:tr>
      <w:tr>
        <w:trPr>
          <w:trHeight w:val="196"/>
        </w:trPr>
        <w:tc>
          <w:tcPr>
            <w:tcW w:w="1140" w:type="dxa"/>
            <w:vAlign w:val="bottom"/>
          </w:tcPr>
          <w:p>
            <w:pPr>
              <w:spacing w:after="0"/>
              <w:rPr>
                <w:sz w:val="17"/>
                <w:szCs w:val="17"/>
                <w:color w:val="auto"/>
              </w:rPr>
            </w:pPr>
          </w:p>
        </w:tc>
        <w:tc>
          <w:tcPr>
            <w:tcW w:w="4100" w:type="dxa"/>
            <w:vAlign w:val="bottom"/>
            <w:gridSpan w:val="26"/>
          </w:tcPr>
          <w:p>
            <w:pPr>
              <w:spacing w:after="0" w:line="196" w:lineRule="exact"/>
              <w:rPr>
                <w:rFonts w:ascii="Arial" w:cs="Arial" w:eastAsia="Arial" w:hAnsi="Arial"/>
                <w:sz w:val="18"/>
                <w:szCs w:val="18"/>
                <w:color w:val="0000EE"/>
                <w:w w:val="98"/>
              </w:rPr>
            </w:pPr>
            <w:hyperlink w:anchor="page170">
              <w:r>
                <w:rPr>
                  <w:rFonts w:ascii="Arial" w:cs="Arial" w:eastAsia="Arial" w:hAnsi="Arial"/>
                  <w:sz w:val="18"/>
                  <w:szCs w:val="18"/>
                  <w:color w:val="0000EE"/>
                  <w:w w:val="98"/>
                </w:rPr>
                <w:t>Rules 13a-14(a) and 15d-14(a) under the Securities</w:t>
              </w:r>
            </w:hyperlink>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170">
              <w:r>
                <w:rPr>
                  <w:rFonts w:ascii="Arial" w:cs="Arial" w:eastAsia="Arial" w:hAnsi="Arial"/>
                  <w:sz w:val="18"/>
                  <w:szCs w:val="18"/>
                  <w:color w:val="0000EE"/>
                  <w:w w:val="89"/>
                </w:rPr>
                <w:t>Exchange Act of 1934, as Adopted Pursuant to</w:t>
              </w:r>
            </w:hyperlink>
          </w:p>
        </w:tc>
        <w:tc>
          <w:tcPr>
            <w:tcW w:w="300" w:type="dxa"/>
            <w:vAlign w:val="bottom"/>
            <w:tcBorders>
              <w:top w:val="single" w:sz="8" w:color="0000EE"/>
            </w:tcBorders>
            <w:gridSpan w:val="6"/>
          </w:tcPr>
          <w:p>
            <w:pPr>
              <w:spacing w:after="0"/>
              <w:rPr>
                <w:sz w:val="17"/>
                <w:szCs w:val="17"/>
                <w:color w:val="auto"/>
              </w:rPr>
            </w:pPr>
          </w:p>
        </w:tc>
        <w:tc>
          <w:tcPr>
            <w:tcW w:w="420" w:type="dxa"/>
            <w:vAlign w:val="bottom"/>
            <w:gridSpan w:val="11"/>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70">
              <w:r>
                <w:rPr>
                  <w:rFonts w:ascii="Arial" w:cs="Arial" w:eastAsia="Arial" w:hAnsi="Arial"/>
                  <w:sz w:val="18"/>
                  <w:szCs w:val="18"/>
                  <w:color w:val="0000EE"/>
                  <w:w w:val="90"/>
                </w:rPr>
                <w:t>Section 302 of the Sarbanes-Oxley Act of 2002.</w:t>
              </w:r>
            </w:hyperlink>
          </w:p>
        </w:tc>
        <w:tc>
          <w:tcPr>
            <w:tcW w:w="640" w:type="dxa"/>
            <w:vAlign w:val="bottom"/>
            <w:gridSpan w:val="14"/>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4100" w:type="dxa"/>
            <w:vAlign w:val="bottom"/>
            <w:gridSpan w:val="26"/>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Certification of Principal Executive Officer Pursuant</w:t>
              </w:r>
            </w:hyperlink>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20" w:type="dxa"/>
            <w:vAlign w:val="bottom"/>
          </w:tcPr>
          <w:p>
            <w:pPr>
              <w:ind w:left="2200"/>
              <w:spacing w:after="0"/>
              <w:rPr>
                <w:sz w:val="20"/>
                <w:szCs w:val="20"/>
                <w:color w:val="auto"/>
              </w:rPr>
            </w:pPr>
            <w:r>
              <w:rPr>
                <w:rFonts w:ascii="Arial" w:cs="Arial" w:eastAsia="Arial" w:hAnsi="Arial"/>
                <w:sz w:val="18"/>
                <w:szCs w:val="18"/>
                <w:color w:val="auto"/>
              </w:rPr>
              <w:t>X</w:t>
            </w:r>
          </w:p>
        </w:tc>
      </w:tr>
      <w:tr>
        <w:trPr>
          <w:trHeight w:val="196"/>
        </w:trPr>
        <w:tc>
          <w:tcPr>
            <w:tcW w:w="114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171">
              <w:r>
                <w:rPr>
                  <w:rFonts w:ascii="Arial" w:cs="Arial" w:eastAsia="Arial" w:hAnsi="Arial"/>
                  <w:sz w:val="18"/>
                  <w:szCs w:val="18"/>
                  <w:color w:val="0000EE"/>
                  <w:w w:val="89"/>
                </w:rPr>
                <w:t>to 18 U.S.C. Section 1350, as Adopted Pursuant to</w:t>
              </w:r>
            </w:hyperlink>
          </w:p>
        </w:tc>
        <w:tc>
          <w:tcPr>
            <w:tcW w:w="140" w:type="dxa"/>
            <w:vAlign w:val="bottom"/>
            <w:tcBorders>
              <w:top w:val="single" w:sz="8" w:color="0000EE"/>
            </w:tcBorders>
            <w:gridSpan w:val="5"/>
          </w:tcPr>
          <w:p>
            <w:pPr>
              <w:spacing w:after="0"/>
              <w:rPr>
                <w:sz w:val="17"/>
                <w:szCs w:val="17"/>
                <w:color w:val="auto"/>
              </w:rPr>
            </w:pPr>
          </w:p>
        </w:tc>
        <w:tc>
          <w:tcPr>
            <w:tcW w:w="30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71">
              <w:r>
                <w:rPr>
                  <w:rFonts w:ascii="Arial" w:cs="Arial" w:eastAsia="Arial" w:hAnsi="Arial"/>
                  <w:sz w:val="18"/>
                  <w:szCs w:val="18"/>
                  <w:color w:val="0000EE"/>
                  <w:w w:val="90"/>
                </w:rPr>
                <w:t>Section 906 of the Sarbanes-Oxley Act of 2002.</w:t>
              </w:r>
            </w:hyperlink>
          </w:p>
        </w:tc>
        <w:tc>
          <w:tcPr>
            <w:tcW w:w="640" w:type="dxa"/>
            <w:vAlign w:val="bottom"/>
            <w:gridSpan w:val="14"/>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3940" w:type="dxa"/>
            <w:vAlign w:val="bottom"/>
            <w:tcBorders>
              <w:bottom w:val="single" w:sz="8" w:color="0000EE"/>
            </w:tcBorders>
            <w:gridSpan w:val="25"/>
          </w:tcPr>
          <w:p>
            <w:pPr>
              <w:spacing w:after="0"/>
              <w:rPr>
                <w:rFonts w:ascii="Arial" w:cs="Arial" w:eastAsia="Arial" w:hAnsi="Arial"/>
                <w:sz w:val="18"/>
                <w:szCs w:val="18"/>
                <w:color w:val="0000EE"/>
                <w:w w:val="93"/>
              </w:rPr>
            </w:pPr>
            <w:hyperlink w:anchor="page172">
              <w:r>
                <w:rPr>
                  <w:rFonts w:ascii="Arial" w:cs="Arial" w:eastAsia="Arial" w:hAnsi="Arial"/>
                  <w:sz w:val="18"/>
                  <w:szCs w:val="18"/>
                  <w:color w:val="0000EE"/>
                  <w:w w:val="93"/>
                </w:rPr>
                <w:t>Certification of Principal Financial Officer Pursuant to</w:t>
              </w:r>
            </w:hyperlink>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20" w:type="dxa"/>
            <w:vAlign w:val="bottom"/>
          </w:tcPr>
          <w:p>
            <w:pPr>
              <w:ind w:left="2200"/>
              <w:spacing w:after="0"/>
              <w:rPr>
                <w:sz w:val="20"/>
                <w:szCs w:val="20"/>
                <w:color w:val="auto"/>
              </w:rPr>
            </w:pPr>
            <w:r>
              <w:rPr>
                <w:rFonts w:ascii="Arial" w:cs="Arial" w:eastAsia="Arial" w:hAnsi="Arial"/>
                <w:sz w:val="18"/>
                <w:szCs w:val="18"/>
                <w:color w:val="auto"/>
              </w:rPr>
              <w:t>X</w:t>
            </w:r>
          </w:p>
        </w:tc>
      </w:tr>
      <w:tr>
        <w:trPr>
          <w:trHeight w:val="196"/>
        </w:trPr>
        <w:tc>
          <w:tcPr>
            <w:tcW w:w="1140" w:type="dxa"/>
            <w:vAlign w:val="bottom"/>
          </w:tcPr>
          <w:p>
            <w:pPr>
              <w:spacing w:after="0"/>
              <w:rPr>
                <w:sz w:val="17"/>
                <w:szCs w:val="17"/>
                <w:color w:val="auto"/>
              </w:rPr>
            </w:pPr>
          </w:p>
        </w:tc>
        <w:tc>
          <w:tcPr>
            <w:tcW w:w="4100" w:type="dxa"/>
            <w:vAlign w:val="bottom"/>
            <w:gridSpan w:val="26"/>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18 U.S.C. Section 1350, as Adopted Pursuant to</w:t>
              </w:r>
            </w:hyperlink>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172">
              <w:r>
                <w:rPr>
                  <w:rFonts w:ascii="Arial" w:cs="Arial" w:eastAsia="Arial" w:hAnsi="Arial"/>
                  <w:sz w:val="18"/>
                  <w:szCs w:val="18"/>
                  <w:color w:val="0000EE"/>
                  <w:w w:val="90"/>
                </w:rPr>
                <w:t>Section 906 of the Sarbanes-Oxley Act of 2002.</w:t>
              </w:r>
            </w:hyperlink>
          </w:p>
        </w:tc>
        <w:tc>
          <w:tcPr>
            <w:tcW w:w="640" w:type="dxa"/>
            <w:vAlign w:val="bottom"/>
            <w:gridSpan w:val="14"/>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453"/>
        </w:trPr>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148</w:t>
            </w: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6800" w:type="dxa"/>
            <w:vAlign w:val="bottom"/>
          </w:tcPr>
          <w:p>
            <w:pPr>
              <w:ind w:left="220"/>
              <w:spacing w:after="0"/>
              <w:rPr>
                <w:sz w:val="20"/>
                <w:szCs w:val="20"/>
                <w:color w:val="auto"/>
              </w:rPr>
            </w:pPr>
            <w:r>
              <w:rPr>
                <w:rFonts w:ascii="Arial" w:cs="Arial" w:eastAsia="Arial" w:hAnsi="Arial"/>
                <w:sz w:val="18"/>
                <w:szCs w:val="18"/>
                <w:color w:val="auto"/>
              </w:rPr>
              <w:t>Inline XBRL Instance Document.</w:t>
            </w:r>
          </w:p>
        </w:tc>
        <w:tc>
          <w:tcPr>
            <w:tcW w:w="3040" w:type="dxa"/>
            <w:vAlign w:val="bottom"/>
          </w:tcPr>
          <w:p>
            <w:pPr>
              <w:ind w:left="2900"/>
              <w:spacing w:after="0"/>
              <w:rPr>
                <w:sz w:val="20"/>
                <w:szCs w:val="20"/>
                <w:color w:val="auto"/>
              </w:rPr>
            </w:pPr>
            <w:r>
              <w:rPr>
                <w:rFonts w:ascii="Arial" w:cs="Arial" w:eastAsia="Arial" w:hAnsi="Arial"/>
                <w:sz w:val="18"/>
                <w:szCs w:val="18"/>
                <w:color w:val="auto"/>
                <w:w w:val="99"/>
              </w:rPr>
              <w:t>X</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6800" w:type="dxa"/>
            <w:vAlign w:val="bottom"/>
          </w:tcPr>
          <w:p>
            <w:pPr>
              <w:ind w:left="220"/>
              <w:spacing w:after="0"/>
              <w:rPr>
                <w:sz w:val="20"/>
                <w:szCs w:val="20"/>
                <w:color w:val="auto"/>
              </w:rPr>
            </w:pPr>
            <w:r>
              <w:rPr>
                <w:rFonts w:ascii="Arial" w:cs="Arial" w:eastAsia="Arial" w:hAnsi="Arial"/>
                <w:sz w:val="18"/>
                <w:szCs w:val="18"/>
                <w:color w:val="auto"/>
              </w:rPr>
              <w:t>Inline XBRL Taxonomy Extension Schema</w:t>
            </w:r>
          </w:p>
        </w:tc>
        <w:tc>
          <w:tcPr>
            <w:tcW w:w="3040" w:type="dxa"/>
            <w:vAlign w:val="bottom"/>
          </w:tcPr>
          <w:p>
            <w:pPr>
              <w:ind w:left="2900"/>
              <w:spacing w:after="0"/>
              <w:rPr>
                <w:sz w:val="20"/>
                <w:szCs w:val="20"/>
                <w:color w:val="auto"/>
              </w:rPr>
            </w:pPr>
            <w:r>
              <w:rPr>
                <w:rFonts w:ascii="Arial" w:cs="Arial" w:eastAsia="Arial" w:hAnsi="Arial"/>
                <w:sz w:val="18"/>
                <w:szCs w:val="18"/>
                <w:color w:val="auto"/>
                <w:w w:val="99"/>
              </w:rPr>
              <w:t>X</w:t>
            </w:r>
          </w:p>
        </w:tc>
      </w:tr>
      <w:tr>
        <w:trPr>
          <w:trHeight w:val="230"/>
        </w:trPr>
        <w:tc>
          <w:tcPr>
            <w:tcW w:w="92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rPr>
              <w:t>Document.</w:t>
            </w:r>
          </w:p>
        </w:tc>
        <w:tc>
          <w:tcPr>
            <w:tcW w:w="3040" w:type="dxa"/>
            <w:vAlign w:val="bottom"/>
          </w:tcPr>
          <w:p>
            <w:pPr>
              <w:spacing w:after="0"/>
              <w:rPr>
                <w:sz w:val="20"/>
                <w:szCs w:val="20"/>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6800" w:type="dxa"/>
            <w:vAlign w:val="bottom"/>
          </w:tcPr>
          <w:p>
            <w:pPr>
              <w:ind w:left="220"/>
              <w:spacing w:after="0"/>
              <w:rPr>
                <w:sz w:val="20"/>
                <w:szCs w:val="20"/>
                <w:color w:val="auto"/>
              </w:rPr>
            </w:pPr>
            <w:r>
              <w:rPr>
                <w:rFonts w:ascii="Arial" w:cs="Arial" w:eastAsia="Arial" w:hAnsi="Arial"/>
                <w:sz w:val="18"/>
                <w:szCs w:val="18"/>
                <w:color w:val="auto"/>
              </w:rPr>
              <w:t>Inline XBRL Taxonomy Extension Calculation</w:t>
            </w:r>
          </w:p>
        </w:tc>
        <w:tc>
          <w:tcPr>
            <w:tcW w:w="3040" w:type="dxa"/>
            <w:vAlign w:val="bottom"/>
          </w:tcPr>
          <w:p>
            <w:pPr>
              <w:ind w:left="2900"/>
              <w:spacing w:after="0"/>
              <w:rPr>
                <w:sz w:val="20"/>
                <w:szCs w:val="20"/>
                <w:color w:val="auto"/>
              </w:rPr>
            </w:pPr>
            <w:r>
              <w:rPr>
                <w:rFonts w:ascii="Arial" w:cs="Arial" w:eastAsia="Arial" w:hAnsi="Arial"/>
                <w:sz w:val="18"/>
                <w:szCs w:val="18"/>
                <w:color w:val="auto"/>
                <w:w w:val="99"/>
              </w:rPr>
              <w:t>X</w:t>
            </w:r>
          </w:p>
        </w:tc>
      </w:tr>
      <w:tr>
        <w:trPr>
          <w:trHeight w:val="230"/>
        </w:trPr>
        <w:tc>
          <w:tcPr>
            <w:tcW w:w="92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rPr>
              <w:t>Linkbase Document.</w:t>
            </w:r>
          </w:p>
        </w:tc>
        <w:tc>
          <w:tcPr>
            <w:tcW w:w="3040" w:type="dxa"/>
            <w:vAlign w:val="bottom"/>
          </w:tcPr>
          <w:p>
            <w:pPr>
              <w:spacing w:after="0"/>
              <w:rPr>
                <w:sz w:val="20"/>
                <w:szCs w:val="20"/>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6800" w:type="dxa"/>
            <w:vAlign w:val="bottom"/>
          </w:tcPr>
          <w:p>
            <w:pPr>
              <w:ind w:left="220"/>
              <w:spacing w:after="0"/>
              <w:rPr>
                <w:sz w:val="20"/>
                <w:szCs w:val="20"/>
                <w:color w:val="auto"/>
              </w:rPr>
            </w:pPr>
            <w:r>
              <w:rPr>
                <w:rFonts w:ascii="Arial" w:cs="Arial" w:eastAsia="Arial" w:hAnsi="Arial"/>
                <w:sz w:val="18"/>
                <w:szCs w:val="18"/>
                <w:color w:val="auto"/>
              </w:rPr>
              <w:t>Inline XBRL Taxonomy Extension Definition</w:t>
            </w:r>
          </w:p>
        </w:tc>
        <w:tc>
          <w:tcPr>
            <w:tcW w:w="3040" w:type="dxa"/>
            <w:vAlign w:val="bottom"/>
          </w:tcPr>
          <w:p>
            <w:pPr>
              <w:ind w:left="2900"/>
              <w:spacing w:after="0"/>
              <w:rPr>
                <w:sz w:val="20"/>
                <w:szCs w:val="20"/>
                <w:color w:val="auto"/>
              </w:rPr>
            </w:pPr>
            <w:r>
              <w:rPr>
                <w:rFonts w:ascii="Arial" w:cs="Arial" w:eastAsia="Arial" w:hAnsi="Arial"/>
                <w:sz w:val="18"/>
                <w:szCs w:val="18"/>
                <w:color w:val="auto"/>
                <w:w w:val="99"/>
              </w:rPr>
              <w:t>X</w:t>
            </w:r>
          </w:p>
        </w:tc>
      </w:tr>
      <w:tr>
        <w:trPr>
          <w:trHeight w:val="230"/>
        </w:trPr>
        <w:tc>
          <w:tcPr>
            <w:tcW w:w="92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rPr>
              <w:t>Linkbase Document.</w:t>
            </w:r>
          </w:p>
        </w:tc>
        <w:tc>
          <w:tcPr>
            <w:tcW w:w="3040" w:type="dxa"/>
            <w:vAlign w:val="bottom"/>
          </w:tcPr>
          <w:p>
            <w:pPr>
              <w:spacing w:after="0"/>
              <w:rPr>
                <w:sz w:val="20"/>
                <w:szCs w:val="20"/>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680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w:t>
            </w:r>
          </w:p>
        </w:tc>
        <w:tc>
          <w:tcPr>
            <w:tcW w:w="3040" w:type="dxa"/>
            <w:vAlign w:val="bottom"/>
          </w:tcPr>
          <w:p>
            <w:pPr>
              <w:ind w:left="2900"/>
              <w:spacing w:after="0"/>
              <w:rPr>
                <w:sz w:val="20"/>
                <w:szCs w:val="20"/>
                <w:color w:val="auto"/>
              </w:rPr>
            </w:pPr>
            <w:r>
              <w:rPr>
                <w:rFonts w:ascii="Arial" w:cs="Arial" w:eastAsia="Arial" w:hAnsi="Arial"/>
                <w:sz w:val="18"/>
                <w:szCs w:val="18"/>
                <w:color w:val="auto"/>
                <w:w w:val="99"/>
              </w:rPr>
              <w:t>X</w:t>
            </w:r>
          </w:p>
        </w:tc>
      </w:tr>
      <w:tr>
        <w:trPr>
          <w:trHeight w:val="230"/>
        </w:trPr>
        <w:tc>
          <w:tcPr>
            <w:tcW w:w="92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rPr>
              <w:t>Document.</w:t>
            </w:r>
          </w:p>
        </w:tc>
        <w:tc>
          <w:tcPr>
            <w:tcW w:w="3040" w:type="dxa"/>
            <w:vAlign w:val="bottom"/>
          </w:tcPr>
          <w:p>
            <w:pPr>
              <w:spacing w:after="0"/>
              <w:rPr>
                <w:sz w:val="20"/>
                <w:szCs w:val="20"/>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6800" w:type="dxa"/>
            <w:vAlign w:val="bottom"/>
          </w:tcPr>
          <w:p>
            <w:pPr>
              <w:ind w:left="220"/>
              <w:spacing w:after="0"/>
              <w:rPr>
                <w:sz w:val="20"/>
                <w:szCs w:val="20"/>
                <w:color w:val="auto"/>
              </w:rPr>
            </w:pPr>
            <w:r>
              <w:rPr>
                <w:rFonts w:ascii="Arial" w:cs="Arial" w:eastAsia="Arial" w:hAnsi="Arial"/>
                <w:sz w:val="18"/>
                <w:szCs w:val="18"/>
                <w:color w:val="auto"/>
              </w:rPr>
              <w:t>Inline XBRL Taxonomy Extension Presentation</w:t>
            </w:r>
          </w:p>
        </w:tc>
        <w:tc>
          <w:tcPr>
            <w:tcW w:w="3040" w:type="dxa"/>
            <w:vAlign w:val="bottom"/>
          </w:tcPr>
          <w:p>
            <w:pPr>
              <w:ind w:left="2900"/>
              <w:spacing w:after="0"/>
              <w:rPr>
                <w:sz w:val="20"/>
                <w:szCs w:val="20"/>
                <w:color w:val="auto"/>
              </w:rPr>
            </w:pPr>
            <w:r>
              <w:rPr>
                <w:rFonts w:ascii="Arial" w:cs="Arial" w:eastAsia="Arial" w:hAnsi="Arial"/>
                <w:sz w:val="18"/>
                <w:szCs w:val="18"/>
                <w:color w:val="auto"/>
                <w:w w:val="99"/>
              </w:rPr>
              <w:t>X</w:t>
            </w:r>
          </w:p>
        </w:tc>
      </w:tr>
      <w:tr>
        <w:trPr>
          <w:trHeight w:val="230"/>
        </w:trPr>
        <w:tc>
          <w:tcPr>
            <w:tcW w:w="92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rPr>
              <w:t>Linkbase Document.</w:t>
            </w:r>
          </w:p>
        </w:tc>
        <w:tc>
          <w:tcPr>
            <w:tcW w:w="3040" w:type="dxa"/>
            <w:vAlign w:val="bottom"/>
          </w:tcPr>
          <w:p>
            <w:pPr>
              <w:spacing w:after="0"/>
              <w:rPr>
                <w:sz w:val="20"/>
                <w:szCs w:val="20"/>
                <w:color w:val="auto"/>
              </w:rPr>
            </w:pPr>
          </w:p>
        </w:tc>
      </w:tr>
    </w:tbl>
    <w:p>
      <w:pPr>
        <w:spacing w:after="0" w:line="269" w:lineRule="exact"/>
        <w:rPr>
          <w:sz w:val="20"/>
          <w:szCs w:val="20"/>
          <w:color w:val="auto"/>
        </w:rPr>
      </w:pPr>
    </w:p>
    <w:p>
      <w:pPr>
        <w:ind w:left="600" w:hanging="592"/>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17" w:lineRule="exact"/>
        <w:rPr>
          <w:sz w:val="20"/>
          <w:szCs w:val="20"/>
          <w:color w:val="auto"/>
        </w:rPr>
      </w:pPr>
    </w:p>
    <w:p>
      <w:pPr>
        <w:ind w:left="600" w:hanging="592"/>
        <w:spacing w:after="0" w:line="259"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r>
        <w:rPr>
          <w:rFonts w:ascii="Arial" w:cs="Arial" w:eastAsia="Arial" w:hAnsi="Arial"/>
          <w:sz w:val="18"/>
          <w:szCs w:val="18"/>
          <w:b w:val="1"/>
          <w:bCs w:val="1"/>
          <w:color w:val="auto"/>
        </w:rPr>
        <w:t>.</w:t>
      </w:r>
    </w:p>
    <w:p>
      <w:pPr>
        <w:spacing w:after="0" w:line="18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ALX ONCOLOGY HOLDINGS INC.</w:t>
      </w:r>
    </w:p>
    <w:p>
      <w:pPr>
        <w:spacing w:after="0" w:line="252" w:lineRule="exact"/>
        <w:rPr>
          <w:sz w:val="20"/>
          <w:szCs w:val="20"/>
          <w:color w:val="auto"/>
        </w:rPr>
      </w:pPr>
    </w:p>
    <w:p>
      <w:pPr>
        <w:spacing w:after="0"/>
        <w:tabs>
          <w:tab w:leader="none" w:pos="6860" w:val="left"/>
          <w:tab w:leader="none" w:pos="866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(Principal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Dr. Jaume Pons and Peter Garcia, jointly and severally,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235"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4"/>
                <w:szCs w:val="1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4"/>
                <w:szCs w:val="14"/>
                <w:color w:val="auto"/>
              </w:rPr>
            </w:pPr>
          </w:p>
        </w:tc>
        <w:tc>
          <w:tcPr>
            <w:tcW w:w="20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Date</w:t>
            </w:r>
          </w:p>
        </w:tc>
      </w:tr>
      <w:tr>
        <w:trPr>
          <w:trHeight w:val="317"/>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President, Chief Executive Officer and Director</w:t>
            </w:r>
          </w:p>
        </w:tc>
        <w:tc>
          <w:tcPr>
            <w:tcW w:w="2000" w:type="dxa"/>
            <w:vAlign w:val="bottom"/>
          </w:tcPr>
          <w:p>
            <w:pPr>
              <w:spacing w:after="0"/>
              <w:rPr>
                <w:sz w:val="24"/>
                <w:szCs w:val="24"/>
                <w:color w:val="auto"/>
              </w:rPr>
            </w:pPr>
          </w:p>
        </w:tc>
      </w:tr>
      <w:tr>
        <w:trPr>
          <w:trHeight w:val="23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Jaume Pons</w:t>
            </w:r>
          </w:p>
        </w:tc>
        <w:tc>
          <w:tcPr>
            <w:tcW w:w="100" w:type="dxa"/>
            <w:vAlign w:val="bottom"/>
          </w:tcPr>
          <w:p>
            <w:pPr>
              <w:spacing w:after="0"/>
              <w:rPr>
                <w:sz w:val="20"/>
                <w:szCs w:val="20"/>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2000" w:type="dxa"/>
            <w:vAlign w:val="bottom"/>
          </w:tcPr>
          <w:p>
            <w:pPr>
              <w:ind w:left="340"/>
              <w:spacing w:after="0"/>
              <w:rPr>
                <w:sz w:val="20"/>
                <w:szCs w:val="20"/>
                <w:color w:val="auto"/>
              </w:rPr>
            </w:pPr>
            <w:r>
              <w:rPr>
                <w:rFonts w:ascii="Arial" w:cs="Arial" w:eastAsia="Arial" w:hAnsi="Arial"/>
                <w:sz w:val="18"/>
                <w:szCs w:val="18"/>
                <w:color w:val="auto"/>
              </w:rPr>
              <w:t>February 28, 2022</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Jaume Pons, Ph.D.</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8"/>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000" w:type="dxa"/>
            <w:vAlign w:val="bottom"/>
          </w:tcPr>
          <w:p>
            <w:pPr>
              <w:spacing w:after="0"/>
              <w:rPr>
                <w:sz w:val="24"/>
                <w:szCs w:val="24"/>
                <w:color w:val="auto"/>
              </w:rPr>
            </w:pPr>
          </w:p>
        </w:tc>
      </w:tr>
      <w:tr>
        <w:trPr>
          <w:trHeight w:val="23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Peter Garcia</w:t>
            </w:r>
          </w:p>
        </w:tc>
        <w:tc>
          <w:tcPr>
            <w:tcW w:w="100" w:type="dxa"/>
            <w:vAlign w:val="bottom"/>
          </w:tcPr>
          <w:p>
            <w:pPr>
              <w:spacing w:after="0"/>
              <w:rPr>
                <w:sz w:val="20"/>
                <w:szCs w:val="20"/>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2000" w:type="dxa"/>
            <w:vAlign w:val="bottom"/>
          </w:tcPr>
          <w:p>
            <w:pPr>
              <w:ind w:left="340"/>
              <w:spacing w:after="0"/>
              <w:rPr>
                <w:sz w:val="20"/>
                <w:szCs w:val="20"/>
                <w:color w:val="auto"/>
              </w:rPr>
            </w:pPr>
            <w:r>
              <w:rPr>
                <w:rFonts w:ascii="Arial" w:cs="Arial" w:eastAsia="Arial" w:hAnsi="Arial"/>
                <w:sz w:val="18"/>
                <w:szCs w:val="18"/>
                <w:color w:val="auto"/>
              </w:rPr>
              <w:t>February 28, 2022</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2"/>
              </w:rPr>
              <w:t>Peter Garcia</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8"/>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Vice President, Finance and Chief Accounting Officer</w:t>
            </w:r>
          </w:p>
        </w:tc>
        <w:tc>
          <w:tcPr>
            <w:tcW w:w="2000" w:type="dxa"/>
            <w:vAlign w:val="bottom"/>
          </w:tcPr>
          <w:p>
            <w:pPr>
              <w:spacing w:after="0"/>
              <w:rPr>
                <w:sz w:val="24"/>
                <w:szCs w:val="24"/>
                <w:color w:val="auto"/>
              </w:rPr>
            </w:pPr>
          </w:p>
        </w:tc>
      </w:tr>
      <w:tr>
        <w:trPr>
          <w:trHeight w:val="23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Shelly Pinto</w:t>
            </w:r>
          </w:p>
        </w:tc>
        <w:tc>
          <w:tcPr>
            <w:tcW w:w="100" w:type="dxa"/>
            <w:vAlign w:val="bottom"/>
          </w:tcPr>
          <w:p>
            <w:pPr>
              <w:spacing w:after="0"/>
              <w:rPr>
                <w:sz w:val="20"/>
                <w:szCs w:val="20"/>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5"/>
              </w:rPr>
              <w:t>(Principal Accounting Officer)</w:t>
            </w:r>
          </w:p>
        </w:tc>
        <w:tc>
          <w:tcPr>
            <w:tcW w:w="2000" w:type="dxa"/>
            <w:vAlign w:val="bottom"/>
          </w:tcPr>
          <w:p>
            <w:pPr>
              <w:ind w:left="340"/>
              <w:spacing w:after="0"/>
              <w:rPr>
                <w:sz w:val="20"/>
                <w:szCs w:val="20"/>
                <w:color w:val="auto"/>
              </w:rPr>
            </w:pPr>
            <w:r>
              <w:rPr>
                <w:rFonts w:ascii="Arial" w:cs="Arial" w:eastAsia="Arial" w:hAnsi="Arial"/>
                <w:sz w:val="18"/>
                <w:szCs w:val="18"/>
                <w:color w:val="auto"/>
              </w:rPr>
              <w:t>February 28, 2022</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Shelly Pinto</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Corey Goodman</w:t>
            </w:r>
          </w:p>
        </w:tc>
        <w:tc>
          <w:tcPr>
            <w:tcW w:w="10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Executive Chairman of the Board of Directors</w:t>
            </w:r>
          </w:p>
        </w:tc>
        <w:tc>
          <w:tcPr>
            <w:tcW w:w="2000" w:type="dxa"/>
            <w:vAlign w:val="bottom"/>
          </w:tcPr>
          <w:p>
            <w:pPr>
              <w:ind w:left="300"/>
              <w:spacing w:after="0"/>
              <w:rPr>
                <w:sz w:val="20"/>
                <w:szCs w:val="20"/>
                <w:color w:val="auto"/>
              </w:rPr>
            </w:pPr>
            <w:r>
              <w:rPr>
                <w:rFonts w:ascii="Arial" w:cs="Arial" w:eastAsia="Arial" w:hAnsi="Arial"/>
                <w:sz w:val="18"/>
                <w:szCs w:val="18"/>
                <w:color w:val="auto"/>
              </w:rPr>
              <w:t>February 28, 2022</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Corey Goodman, Ph.D.</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Rekha Hemrajani</w:t>
            </w:r>
          </w:p>
        </w:tc>
        <w:tc>
          <w:tcPr>
            <w:tcW w:w="10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300"/>
              <w:spacing w:after="0"/>
              <w:rPr>
                <w:sz w:val="20"/>
                <w:szCs w:val="20"/>
                <w:color w:val="auto"/>
              </w:rPr>
            </w:pPr>
            <w:r>
              <w:rPr>
                <w:rFonts w:ascii="Arial" w:cs="Arial" w:eastAsia="Arial" w:hAnsi="Arial"/>
                <w:sz w:val="18"/>
                <w:szCs w:val="18"/>
                <w:color w:val="auto"/>
              </w:rPr>
              <w:t>February 28, 2022</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4"/>
              </w:rPr>
              <w:t>Rekha Hemrajani</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Jason Lettmann</w:t>
            </w:r>
          </w:p>
        </w:tc>
        <w:tc>
          <w:tcPr>
            <w:tcW w:w="10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300"/>
              <w:spacing w:after="0"/>
              <w:rPr>
                <w:sz w:val="20"/>
                <w:szCs w:val="20"/>
                <w:color w:val="auto"/>
              </w:rPr>
            </w:pPr>
            <w:r>
              <w:rPr>
                <w:rFonts w:ascii="Arial" w:cs="Arial" w:eastAsia="Arial" w:hAnsi="Arial"/>
                <w:sz w:val="18"/>
                <w:szCs w:val="18"/>
                <w:color w:val="auto"/>
              </w:rPr>
              <w:t>February 28, 2022</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Jason Lettmann</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Jack Nielsen</w:t>
            </w:r>
          </w:p>
        </w:tc>
        <w:tc>
          <w:tcPr>
            <w:tcW w:w="10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300"/>
              <w:spacing w:after="0"/>
              <w:rPr>
                <w:sz w:val="20"/>
                <w:szCs w:val="20"/>
                <w:color w:val="auto"/>
              </w:rPr>
            </w:pPr>
            <w:r>
              <w:rPr>
                <w:rFonts w:ascii="Arial" w:cs="Arial" w:eastAsia="Arial" w:hAnsi="Arial"/>
                <w:sz w:val="18"/>
                <w:szCs w:val="18"/>
                <w:color w:val="auto"/>
              </w:rPr>
              <w:t>February 28, 2022</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Jack Nielsen</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Sophia Randolph</w:t>
            </w:r>
          </w:p>
        </w:tc>
        <w:tc>
          <w:tcPr>
            <w:tcW w:w="10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300"/>
              <w:spacing w:after="0"/>
              <w:rPr>
                <w:sz w:val="20"/>
                <w:szCs w:val="20"/>
                <w:color w:val="auto"/>
              </w:rPr>
            </w:pPr>
            <w:r>
              <w:rPr>
                <w:rFonts w:ascii="Arial" w:cs="Arial" w:eastAsia="Arial" w:hAnsi="Arial"/>
                <w:sz w:val="18"/>
                <w:szCs w:val="18"/>
                <w:color w:val="auto"/>
              </w:rPr>
              <w:t>February 28, 2022</w:t>
            </w: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2"/>
              </w:rPr>
              <w:t>Sophia Randolph, M.D., Ph.D.</w:t>
            </w:r>
          </w:p>
        </w:tc>
        <w:tc>
          <w:tcPr>
            <w:tcW w:w="1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778"/>
        </w:trPr>
        <w:tc>
          <w:tcPr>
            <w:tcW w:w="3700" w:type="dxa"/>
            <w:vAlign w:val="bottom"/>
          </w:tcPr>
          <w:p>
            <w:pPr>
              <w:spacing w:after="0"/>
              <w:rPr>
                <w:sz w:val="24"/>
                <w:szCs w:val="24"/>
                <w:color w:val="auto"/>
              </w:rPr>
            </w:pPr>
          </w:p>
        </w:tc>
        <w:tc>
          <w:tcPr>
            <w:tcW w:w="5440" w:type="dxa"/>
            <w:vAlign w:val="bottom"/>
            <w:gridSpan w:val="2"/>
          </w:tcPr>
          <w:p>
            <w:pPr>
              <w:jc w:val="right"/>
              <w:ind w:right="329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4.3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authorized capital stock of ALX Oncology Holdings Inc., consists of 1,000,000,000 shares of common stock, par value $0.001 per share, and 100,000,000 shares of convertible preferred stock, par value $0.001 per share. We have one class of securities registered under Section 12 of the Securities and Exchange Act of 1934, as amended (the “Exchange Act”), our common stock, which is listed on the Nasdaq Global Select Market under the symbol “ALXO”. For purposes of this exhibit, unless the context otherwise requires, the work “we,” “our,” “us” and “our company” refer to ALX Oncology Holdings Inc. a Delaware 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General</w:t>
      </w:r>
    </w:p>
    <w:p>
      <w:pPr>
        <w:spacing w:after="0" w:line="225"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The following summary sets forth some of the general terms of our common stock. Because this is a summary, it does not contain all of the information that may be important to you. For a more detailed description of our common stock, you should read our amended and restated certificate of incorporation and the amended and rested bylaws, each of which is an exhibit to our Annual Report on Form 10-K to which this summary is also an exhibit, and the applicable provisions of the Delaware General Corporation Law (the DGCL”).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Voting Rights</w:t>
      </w:r>
    </w:p>
    <w:p>
      <w:pPr>
        <w:spacing w:after="0" w:line="225"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Dividends</w:t>
      </w:r>
    </w:p>
    <w:p>
      <w:pPr>
        <w:spacing w:after="0" w:line="225"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Liquidation</w:t>
      </w:r>
    </w:p>
    <w:p>
      <w:pPr>
        <w:spacing w:after="0" w:line="225"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Rights and Preferences</w:t>
      </w:r>
    </w:p>
    <w:p>
      <w:pPr>
        <w:spacing w:after="0" w:line="225" w:lineRule="exact"/>
        <w:rPr>
          <w:sz w:val="20"/>
          <w:szCs w:val="20"/>
          <w:color w:val="auto"/>
        </w:rPr>
      </w:pPr>
    </w:p>
    <w:p>
      <w:pPr>
        <w:jc w:val="both"/>
        <w:ind w:right="40" w:firstLine="589"/>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i w:val="1"/>
          <w:iCs w:val="1"/>
          <w:color w:val="231F20"/>
        </w:rPr>
        <w:t>Fully Paid and Nonassessable</w:t>
      </w:r>
    </w:p>
    <w:p>
      <w:pPr>
        <w:spacing w:after="0" w:line="225"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Our board of directors has the authority, without further action by the stockholders, to issue up to 100,000,000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preferred stock are outstanding, and we have no present plan to issue any shares of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Registration Rights</w:t>
      </w:r>
    </w:p>
    <w:p>
      <w:pPr>
        <w:spacing w:after="0" w:line="225"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We are party to an amended and restated investors’ rights agreement that provides that certain holders of our common stock have certain registration rights as set forth below. The registration of shares of our common stock by the exercise of registration rights described below would enable the holders to sell these shares without restriction under the Securities Act of 1933 (the “Securities Act”) when the applicable registration statement is declared effective. Generally, in an underwritten offering, the managing underwriter, if any, has the right, subject to specified conditions, to limit the number of shares such holders may include.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Demand Registration Rights</w:t>
      </w:r>
    </w:p>
    <w:p>
      <w:pPr>
        <w:spacing w:after="0" w:line="225" w:lineRule="exact"/>
        <w:rPr>
          <w:sz w:val="20"/>
          <w:szCs w:val="20"/>
          <w:color w:val="auto"/>
        </w:rPr>
      </w:pPr>
    </w:p>
    <w:p>
      <w:pPr>
        <w:ind w:right="300" w:firstLine="589"/>
        <w:spacing w:after="0" w:line="257" w:lineRule="auto"/>
        <w:rPr>
          <w:sz w:val="20"/>
          <w:szCs w:val="20"/>
          <w:color w:val="auto"/>
        </w:rPr>
      </w:pPr>
      <w:r>
        <w:rPr>
          <w:rFonts w:ascii="Arial" w:cs="Arial" w:eastAsia="Arial" w:hAnsi="Arial"/>
          <w:sz w:val="18"/>
          <w:szCs w:val="18"/>
          <w:color w:val="auto"/>
        </w:rPr>
        <w:t>The holders of an aggregate of 24,429,399 shares of our common stock are entitled to certain demand registration rights. At any time beginning 180 days after the effective date of our initial public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S-3 Registration Rights</w:t>
      </w:r>
    </w:p>
    <w:p>
      <w:pPr>
        <w:spacing w:after="0" w:line="225"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The holders of an aggregate of 24,429,399 shares of our common stock are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Piggyback Registration Rights</w:t>
      </w:r>
    </w:p>
    <w:p>
      <w:pPr>
        <w:spacing w:after="0" w:line="225"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In connection with this offering, the holders of an aggregate of 24,429,399 shares of our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i w:val="1"/>
          <w:iCs w:val="1"/>
          <w:color w:val="231F20"/>
        </w:rPr>
        <w:t>Indemnification</w:t>
      </w:r>
    </w:p>
    <w:p>
      <w:pPr>
        <w:spacing w:after="0" w:line="225"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Expenses of Registration</w:t>
      </w:r>
    </w:p>
    <w:p>
      <w:pPr>
        <w:spacing w:after="0" w:line="225"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We will pay the registration expenses, other than underwriting discounts and commissions, of the shares registered by the demand, Form S-3 and piggyback registrations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Termination of Registration Rights</w:t>
      </w:r>
    </w:p>
    <w:p>
      <w:pPr>
        <w:spacing w:after="0" w:line="225"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The demand, Form S-3 and piggyback registration described above will expire upon the earliest of (1) the fifth anniversary after the closing of our initial public offering, (2) a deemed liquidation event (as defined in our amended and restated certificate of incorporation, in effect prior to the completion of our initial public offering) and (3) such time after the completion of our initial public offering that such stockholder can sell all of its shares entitled to registration rights under Rule 144 of the Securities Act.</w:t>
      </w:r>
    </w:p>
    <w:p>
      <w:pPr>
        <w:spacing w:after="0" w:line="18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231F20"/>
        </w:rPr>
        <w:t>Anti-Takeover Effects of Certain Provisions of Delaware Law, Our Amended and Restated Certificate of Incorporation and Our Amended and Restated Bylaws</w:t>
      </w:r>
    </w:p>
    <w:p>
      <w:pPr>
        <w:spacing w:after="0" w:line="166"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Preferred Stock</w:t>
      </w:r>
    </w:p>
    <w:p>
      <w:pPr>
        <w:spacing w:after="0" w:line="225"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Classified Board</w:t>
      </w:r>
    </w:p>
    <w:p>
      <w:pPr>
        <w:spacing w:after="0" w:line="225" w:lineRule="exact"/>
        <w:rPr>
          <w:sz w:val="20"/>
          <w:szCs w:val="20"/>
          <w:color w:val="auto"/>
        </w:rPr>
      </w:pPr>
    </w:p>
    <w:p>
      <w:pPr>
        <w:jc w:val="both"/>
        <w:ind w:right="20" w:firstLine="589"/>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of directors is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date of the 2021 annual meeting, the term of the initial Class II directors shall terminate on the date of the 2022 annual meeting, and the term of the initial Class III directors shall terminate on the date of the 2023 annual meeting. At each annual meeting of stockholders beginning in 2021, successors to the class of directors whose term expires at that annual meeting will be elected for a three-year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Removal of Directors</w:t>
      </w:r>
    </w:p>
    <w:p>
      <w:pPr>
        <w:spacing w:after="0" w:line="225"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i w:val="1"/>
          <w:iCs w:val="1"/>
          <w:color w:val="231F20"/>
        </w:rPr>
        <w:t>Director Vacancies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amended and restated certificate of incorporation authorizes only our board of directors to fill vacant directorships.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 Cumulative Voting</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amended and restated certificate of incorporation provides that stockholders do not have the right to cumulate votes in the election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Special Meetings of Stockholders</w:t>
      </w:r>
    </w:p>
    <w:p>
      <w:pPr>
        <w:spacing w:after="0" w:line="225"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Advance Notice Procedures for Director Nominations</w:t>
      </w:r>
    </w:p>
    <w:p>
      <w:pPr>
        <w:spacing w:after="0" w:line="225"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Our amended and restated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Action by Written Consent</w:t>
      </w:r>
    </w:p>
    <w:p>
      <w:pPr>
        <w:spacing w:after="0" w:line="225"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Amending our Certificate of Incorporation and Bylaws</w:t>
      </w:r>
    </w:p>
    <w:p>
      <w:pPr>
        <w:spacing w:after="0" w:line="225"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Authorized but Unissued Shares</w:t>
      </w:r>
    </w:p>
    <w:p>
      <w:pPr>
        <w:spacing w:after="0" w:line="225"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Our authorized but unissued shares of common stock and preferred stock are available for future issuances without stockholder approval, except as required by the listing standards of Nasdaq, and may be utilized for a variety of corporate purposes, including future offerings to raise additional capital, acquisitions and employee benefit plans. The existence of authorized but unissued and unreserved common stock and preferred stock may render more difficult or discourage an attempt to obtain control of the company by means of a proxy contest, tender offer, merger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i w:val="1"/>
          <w:iCs w:val="1"/>
          <w:color w:val="231F20"/>
        </w:rPr>
        <w:t>Exclusive Jurisdiction</w:t>
      </w:r>
    </w:p>
    <w:p>
      <w:pPr>
        <w:spacing w:after="0" w:line="225"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 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For additional information, please also see the section titled “Risk Factors—Our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Business Combinations with Interested Stockholders</w:t>
      </w:r>
    </w:p>
    <w:p>
      <w:pPr>
        <w:spacing w:after="0" w:line="225"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79"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8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Listing</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common stock is listed on the Nasdaq Global Select Market under the symbol “ALXO.”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i w:val="1"/>
          <w:iCs w:val="1"/>
          <w:color w:val="231F20"/>
        </w:rPr>
        <w:t>Transfer Agent and Registrar</w:t>
      </w:r>
    </w:p>
    <w:p>
      <w:pPr>
        <w:spacing w:after="0" w:line="225"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 Street, Canton, Massachusetts 02021.</w:t>
      </w:r>
    </w:p>
    <w:p>
      <w:pPr>
        <w:sectPr>
          <w:pgSz w:w="11900" w:h="16838" w:orient="portrait"/>
          <w:cols w:equalWidth="0" w:num="1">
            <w:col w:w="10880"/>
          </w:cols>
          <w:pgMar w:left="320" w:top="571" w:right="69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9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866 Malcolm Road, Suite 100</w:t>
      </w:r>
    </w:p>
    <w:p>
      <w:pPr>
        <w:spacing w:after="0" w:line="131"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Burlingame, CA 94010</w:t>
      </w:r>
    </w:p>
    <w:p>
      <w:pPr>
        <w:spacing w:after="0" w:line="131"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Phone: (650) 466-7125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May 3,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Shelly Pinto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 Email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Confirmatory Employment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Shelly:</w:t>
      </w:r>
    </w:p>
    <w:p>
      <w:pPr>
        <w:spacing w:after="0" w:line="221"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This confirmatory employment letter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between </w:t>
      </w:r>
      <w:r>
        <w:rPr>
          <w:rFonts w:ascii="Arial" w:cs="Arial" w:eastAsia="Arial" w:hAnsi="Arial"/>
          <w:sz w:val="18"/>
          <w:szCs w:val="18"/>
          <w:b w:val="1"/>
          <w:bCs w:val="1"/>
          <w:color w:val="auto"/>
        </w:rPr>
        <w:t>Shelly Pinto</w:t>
      </w:r>
      <w:r>
        <w:rPr>
          <w:rFonts w:ascii="Arial" w:cs="Arial" w:eastAsia="Arial" w:hAnsi="Arial"/>
          <w:sz w:val="18"/>
          <w:szCs w:val="18"/>
          <w:color w:val="auto"/>
        </w:rPr>
        <w:t xml:space="preserve"> (“</w:t>
      </w:r>
      <w:r>
        <w:rPr>
          <w:rFonts w:ascii="Arial" w:cs="Arial" w:eastAsia="Arial" w:hAnsi="Arial"/>
          <w:sz w:val="18"/>
          <w:szCs w:val="18"/>
          <w:u w:val="single" w:color="auto"/>
          <w:color w:val="auto"/>
        </w:rPr>
        <w:t>you</w:t>
      </w:r>
      <w:r>
        <w:rPr>
          <w:rFonts w:ascii="Arial" w:cs="Arial" w:eastAsia="Arial" w:hAnsi="Arial"/>
          <w:sz w:val="18"/>
          <w:szCs w:val="18"/>
          <w:color w:val="auto"/>
        </w:rPr>
        <w:t>”) and ALX Oncology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we</w:t>
      </w:r>
      <w:r>
        <w:rPr>
          <w:rFonts w:ascii="Arial" w:cs="Arial" w:eastAsia="Arial" w:hAnsi="Arial"/>
          <w:sz w:val="18"/>
          <w:szCs w:val="18"/>
          <w:color w:val="auto"/>
        </w:rPr>
        <w:t>”), effective as of May 3,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confirm the terms and conditions of your employment with the Company as of the Effective Date.</w:t>
      </w:r>
    </w:p>
    <w:p>
      <w:pPr>
        <w:spacing w:after="0" w:line="180" w:lineRule="exact"/>
        <w:rPr>
          <w:sz w:val="20"/>
          <w:szCs w:val="20"/>
          <w:color w:val="auto"/>
        </w:rPr>
      </w:pPr>
    </w:p>
    <w:p>
      <w:pPr>
        <w:jc w:val="both"/>
        <w:ind w:firstLine="872"/>
        <w:spacing w:after="0" w:line="255" w:lineRule="auto"/>
        <w:tabs>
          <w:tab w:leader="none" w:pos="104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Title; Position; Location</w:t>
      </w:r>
      <w:r>
        <w:rPr>
          <w:rFonts w:ascii="Arial" w:cs="Arial" w:eastAsia="Arial" w:hAnsi="Arial"/>
          <w:sz w:val="18"/>
          <w:szCs w:val="18"/>
          <w:color w:val="auto"/>
        </w:rPr>
        <w:t>. You will continue to serve as the Company’s Vice President, Finance and Chief Accounting Officer. You also will continue to report to the Company’s Chief Financial Officer and will perform the duties and responsibilities customary for such position and such other related duties as are lawfully assigned by the Company’s Chief Executive Officer. You will perform your duties from the Company’s corporate offices located in Burlingame, California (with the exception of the period during which any current shelter-in-place order or similar work-from-home arrangement affecting your employment with the Company remains in effect), subject to customary travel as reasonably required by the Company and necessary to perform your job duties.</w:t>
      </w:r>
    </w:p>
    <w:p>
      <w:pPr>
        <w:spacing w:after="0" w:line="192" w:lineRule="exact"/>
        <w:rPr>
          <w:rFonts w:ascii="Arial" w:cs="Arial" w:eastAsia="Arial" w:hAnsi="Arial"/>
          <w:sz w:val="18"/>
          <w:szCs w:val="18"/>
          <w:color w:val="auto"/>
        </w:rPr>
      </w:pPr>
    </w:p>
    <w:p>
      <w:pPr>
        <w:jc w:val="both"/>
        <w:ind w:firstLine="872"/>
        <w:spacing w:after="0" w:line="217" w:lineRule="exact"/>
        <w:tabs>
          <w:tab w:leader="none" w:pos="1044"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Best Efforts</w:t>
      </w:r>
      <w:r>
        <w:rPr>
          <w:rFonts w:ascii="Arial" w:cs="Arial" w:eastAsia="Arial" w:hAnsi="Arial"/>
          <w:sz w:val="16"/>
          <w:szCs w:val="16"/>
          <w:color w:val="auto"/>
        </w:rPr>
        <w:t>. You will continue to devote your full business time and best efforts to the faithful and loyal performance of your duties to the Company (except for permitted vacation periods and reasonable periods of illness or other incapacity). While you render services to the Company, you will not engage in any other employment, consulting or other business activity (whether full-time or part-time) that would create a conflict of interest with the Company, and any engagement or participation in any outside business activity or business affairs by you will be subject to full disclosure and prior written approval from the Company, and/or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its Compensation Committee as necessary or appropriate. The Company has approved the outside activities set forth in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as long as such activities are of a non</w:t>
      </w:r>
      <w:r>
        <w:rPr>
          <w:rFonts w:ascii="MS PGothic" w:cs="MS PGothic" w:eastAsia="MS PGothic" w:hAnsi="MS PGothic"/>
          <w:sz w:val="16"/>
          <w:szCs w:val="16"/>
          <w:color w:val="auto"/>
        </w:rPr>
        <w:t>‑</w:t>
      </w:r>
      <w:r>
        <w:rPr>
          <w:rFonts w:ascii="Arial" w:cs="Arial" w:eastAsia="Arial" w:hAnsi="Arial"/>
          <w:sz w:val="16"/>
          <w:szCs w:val="16"/>
          <w:color w:val="auto"/>
        </w:rPr>
        <w:t>operational nature and do not interfere with the performance of your duties under this Agreement, and provided that such matters do not involve matters that are competitive with the Company’s actual or anticipated business. You may engage in charitable and community activities as well as own, as a passive investment, less than two percent (2%) of the capital stock of any corporation listed on the national securities exchange or publicly traded in the over</w:t>
      </w:r>
      <w:r>
        <w:rPr>
          <w:rFonts w:ascii="MS PGothic" w:cs="MS PGothic" w:eastAsia="MS PGothic" w:hAnsi="MS PGothic"/>
          <w:sz w:val="16"/>
          <w:szCs w:val="16"/>
          <w:color w:val="auto"/>
        </w:rPr>
        <w:t>‑</w:t>
      </w:r>
      <w:r>
        <w:rPr>
          <w:rFonts w:ascii="Arial" w:cs="Arial" w:eastAsia="Arial" w:hAnsi="Arial"/>
          <w:sz w:val="16"/>
          <w:szCs w:val="16"/>
          <w:color w:val="auto"/>
        </w:rPr>
        <w:t>the-counter market, provided that such activities do not interfere with the performance of your duties under this Agreement. By signing this Agreement, you confirm that you have no contractual commitments or other legal obligations that would prohibit you from continuing to perform your duties for the Company.</w:t>
      </w:r>
    </w:p>
    <w:p>
      <w:pPr>
        <w:spacing w:after="0" w:line="205" w:lineRule="exact"/>
        <w:rPr>
          <w:rFonts w:ascii="Arial" w:cs="Arial" w:eastAsia="Arial" w:hAnsi="Arial"/>
          <w:sz w:val="16"/>
          <w:szCs w:val="16"/>
          <w:color w:val="auto"/>
        </w:rPr>
      </w:pPr>
    </w:p>
    <w:p>
      <w:pPr>
        <w:jc w:val="both"/>
        <w:ind w:firstLine="872"/>
        <w:spacing w:after="0" w:line="263" w:lineRule="auto"/>
        <w:tabs>
          <w:tab w:leader="none" w:pos="1057"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As of the Effective Date, your annual base salary will be $340,000 (“</w:t>
      </w:r>
      <w:r>
        <w:rPr>
          <w:rFonts w:ascii="Arial" w:cs="Arial" w:eastAsia="Arial" w:hAnsi="Arial"/>
          <w:sz w:val="18"/>
          <w:szCs w:val="18"/>
          <w:u w:val="single" w:color="auto"/>
          <w:color w:val="auto"/>
        </w:rPr>
        <w:t>Salary</w:t>
      </w:r>
      <w:r>
        <w:rPr>
          <w:rFonts w:ascii="Arial" w:cs="Arial" w:eastAsia="Arial" w:hAnsi="Arial"/>
          <w:sz w:val="18"/>
          <w:szCs w:val="18"/>
          <w:color w:val="auto"/>
        </w:rPr>
        <w:t>”), which will be payable, less any applicable withholdings, in accordance with the Company’s normal payroll practices. Your annual base salary will be subject to review and adjustment from time to time by our Board or the Committee, as applicable,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jc w:val="both"/>
        <w:ind w:firstLine="872"/>
        <w:spacing w:after="0" w:line="273" w:lineRule="auto"/>
        <w:tabs>
          <w:tab w:leader="none" w:pos="1043"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For the Company’s 2021 fiscal year, you will have the opportunity to earn a target annual cash bonus equal to forty percent (40%) of your annual base salary earned during the fiscal year, based on achieving performance objectives established by the Board or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w:t>
      </w:r>
    </w:p>
    <w:p>
      <w:pPr>
        <w:spacing w:after="0" w:line="177" w:lineRule="exact"/>
        <w:rPr>
          <w:rFonts w:ascii="Arial" w:cs="Arial" w:eastAsia="Arial" w:hAnsi="Arial"/>
          <w:sz w:val="17"/>
          <w:szCs w:val="17"/>
          <w:color w:val="auto"/>
        </w:rPr>
      </w:pPr>
    </w:p>
    <w:p>
      <w:pPr>
        <w:jc w:val="both"/>
        <w:ind w:firstLine="872"/>
        <w:spacing w:after="0" w:line="259" w:lineRule="auto"/>
        <w:tabs>
          <w:tab w:leader="none" w:pos="1057"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You will be eligible to receive awards of stock options or other equity awards pursuant to any 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86" w:lineRule="exact"/>
        <w:rPr>
          <w:rFonts w:ascii="Arial" w:cs="Arial" w:eastAsia="Arial" w:hAnsi="Arial"/>
          <w:sz w:val="18"/>
          <w:szCs w:val="18"/>
          <w:color w:val="auto"/>
        </w:rPr>
      </w:pPr>
    </w:p>
    <w:p>
      <w:pPr>
        <w:jc w:val="both"/>
        <w:ind w:firstLine="872"/>
        <w:spacing w:after="0" w:line="275" w:lineRule="auto"/>
        <w:tabs>
          <w:tab w:leader="none" w:pos="1057"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Employee Benefits</w:t>
      </w:r>
      <w:r>
        <w:rPr>
          <w:rFonts w:ascii="Arial" w:cs="Arial" w:eastAsia="Arial" w:hAnsi="Arial"/>
          <w:sz w:val="17"/>
          <w:szCs w:val="17"/>
          <w:color w:val="auto"/>
        </w:rPr>
        <w:t>. You will continue to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76" w:lineRule="exact"/>
        <w:rPr>
          <w:rFonts w:ascii="Arial" w:cs="Arial" w:eastAsia="Arial" w:hAnsi="Arial"/>
          <w:sz w:val="17"/>
          <w:szCs w:val="17"/>
          <w:color w:val="auto"/>
        </w:rPr>
      </w:pPr>
    </w:p>
    <w:p>
      <w:pPr>
        <w:jc w:val="both"/>
        <w:ind w:firstLine="872"/>
        <w:spacing w:after="0" w:line="271" w:lineRule="auto"/>
        <w:tabs>
          <w:tab w:leader="none" w:pos="1044"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Severance</w:t>
      </w:r>
      <w:r>
        <w:rPr>
          <w:rFonts w:ascii="Arial" w:cs="Arial" w:eastAsia="Arial" w:hAnsi="Arial"/>
          <w:sz w:val="17"/>
          <w:szCs w:val="17"/>
          <w:color w:val="auto"/>
        </w:rPr>
        <w:t>. You will be eligible to enter into a Change in Control and Severance Agreement (the “</w:t>
      </w:r>
      <w:r>
        <w:rPr>
          <w:rFonts w:ascii="Arial" w:cs="Arial" w:eastAsia="Arial" w:hAnsi="Arial"/>
          <w:sz w:val="17"/>
          <w:szCs w:val="17"/>
          <w:u w:val="single" w:color="auto"/>
          <w:color w:val="auto"/>
        </w:rPr>
        <w:t>Severance Agreement</w:t>
      </w:r>
      <w:r>
        <w:rPr>
          <w:rFonts w:ascii="Arial" w:cs="Arial" w:eastAsia="Arial" w:hAnsi="Arial"/>
          <w:sz w:val="17"/>
          <w:szCs w:val="17"/>
          <w:color w:val="auto"/>
        </w:rPr>
        <w:t>”) applicable to you based on your position within the Company. Any Severance Agreement will become effective as of the effective date specified in such Severance Agreement. The Severance Agreement will specify the severance payments and benefits you may become entitled to receive in connection with certain qualifying terminations of your employment with the Company. For purposes of clarity, other than any vesting acceleration benefits set forth in the Company’s Amended and Restated 2020 Equity Incentive Plan and the award agreements thereunder governing the terms of your stock options to purchase shares of Company common stock granted thereunder (to the extent not modified or superseded by your Severance Agreement), any severance payments, benefits and arrangements that may have applied to you before the Effective Date no longer will apply, and you will have no rights or entitlements under any such plans, programs, agreements or arrangements.</w:t>
      </w:r>
    </w:p>
    <w:p>
      <w:pPr>
        <w:spacing w:after="0" w:line="178" w:lineRule="exact"/>
        <w:rPr>
          <w:rFonts w:ascii="Arial" w:cs="Arial" w:eastAsia="Arial" w:hAnsi="Arial"/>
          <w:sz w:val="17"/>
          <w:szCs w:val="17"/>
          <w:color w:val="auto"/>
        </w:rPr>
      </w:pPr>
    </w:p>
    <w:p>
      <w:pPr>
        <w:jc w:val="both"/>
        <w:ind w:firstLine="872"/>
        <w:spacing w:after="0" w:line="220" w:lineRule="exact"/>
        <w:tabs>
          <w:tab w:leader="none" w:pos="1057"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As an employee of the Company, you will continue to have access to certain confidential information of the Company and you may, during the course of your employment, develop certain information or inventions that will be the property of the Company. To protect the interests of the Company, your acceptance of this Agreement confirms that the terms of the Company’s Employee Confidentiality, Inventions and Non</w:t>
      </w:r>
      <w:r>
        <w:rPr>
          <w:rFonts w:ascii="MS PGothic" w:cs="MS PGothic" w:eastAsia="MS PGothic" w:hAnsi="MS PGothic"/>
          <w:sz w:val="17"/>
          <w:szCs w:val="17"/>
          <w:color w:val="auto"/>
        </w:rPr>
        <w:t>‑</w:t>
      </w:r>
      <w:r>
        <w:rPr>
          <w:rFonts w:ascii="Arial" w:cs="Arial" w:eastAsia="Arial" w:hAnsi="Arial"/>
          <w:sz w:val="17"/>
          <w:szCs w:val="17"/>
          <w:color w:val="auto"/>
        </w:rPr>
        <w:t>Interference Agreement you previously signed with the Company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still apply.</w:t>
      </w:r>
    </w:p>
    <w:p>
      <w:pPr>
        <w:spacing w:after="0" w:line="203" w:lineRule="exact"/>
        <w:rPr>
          <w:rFonts w:ascii="Arial" w:cs="Arial" w:eastAsia="Arial" w:hAnsi="Arial"/>
          <w:sz w:val="17"/>
          <w:szCs w:val="17"/>
          <w:color w:val="auto"/>
        </w:rPr>
      </w:pPr>
    </w:p>
    <w:p>
      <w:pPr>
        <w:jc w:val="both"/>
        <w:ind w:firstLine="872"/>
        <w:spacing w:after="0" w:line="220" w:lineRule="exact"/>
        <w:tabs>
          <w:tab w:leader="none" w:pos="1057"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This Agreement does not imply any right to your continued employment for any period with the Company or any parent, subsidiary, or affiliate of the Company. Your employment with the Company is and will continue to be at</w:t>
      </w:r>
      <w:r>
        <w:rPr>
          <w:rFonts w:ascii="MS PGothic" w:cs="MS PGothic" w:eastAsia="MS PGothic" w:hAnsi="MS PGothic"/>
          <w:sz w:val="18"/>
          <w:szCs w:val="18"/>
          <w:color w:val="auto"/>
        </w:rPr>
        <w:t>‑</w:t>
      </w:r>
      <w:r>
        <w:rPr>
          <w:rFonts w:ascii="Arial" w:cs="Arial" w:eastAsia="Arial" w:hAnsi="Arial"/>
          <w:sz w:val="18"/>
          <w:szCs w:val="18"/>
          <w:color w:val="auto"/>
        </w:rPr>
        <w: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2" w:name="page163"/>
    <w:bookmarkEnd w:id="162"/>
    <w:p>
      <w:pPr>
        <w:jc w:val="both"/>
        <w:ind w:firstLine="872"/>
        <w:spacing w:after="0" w:line="288" w:lineRule="auto"/>
        <w:tabs>
          <w:tab w:leader="none" w:pos="1133"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Protected Activity Not Prohibited</w:t>
      </w:r>
      <w:r>
        <w:rPr>
          <w:rFonts w:ascii="Arial" w:cs="Arial" w:eastAsia="Arial" w:hAnsi="Arial"/>
          <w:sz w:val="16"/>
          <w:szCs w:val="16"/>
          <w:color w:val="auto"/>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6"/>
          <w:szCs w:val="16"/>
          <w:u w:val="single" w:color="auto"/>
          <w:color w:val="auto"/>
        </w:rPr>
        <w:t>Government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Agencies</w:t>
      </w:r>
      <w:r>
        <w:rPr>
          <w:rFonts w:ascii="Arial" w:cs="Arial" w:eastAsia="Arial" w:hAnsi="Arial"/>
          <w:sz w:val="16"/>
          <w:szCs w:val="16"/>
          <w:color w:val="auto"/>
        </w:rPr>
        <w:t xml:space="preserve">”),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6"/>
          <w:szCs w:val="16"/>
          <w:b w:val="1"/>
          <w:bCs w:val="1"/>
          <w:u w:val="single" w:color="auto"/>
          <w:color w:val="auto"/>
        </w:rPr>
        <w:t>Appendix B</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firstLine="872"/>
        <w:spacing w:after="0" w:line="273" w:lineRule="auto"/>
        <w:tabs>
          <w:tab w:leader="none" w:pos="1127"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This Agreement, together with the Confidentiality Agreement, the Severance Agreement and the stock options granted to you by the Company under its Amended and Restated 2020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including without limitation, your offer letter with the Company dated April 9, 2021. This Agreement will be governed by the laws of the State of California but without regard to the conflict of law provision. This Agreement may be modified only by a written agreement signed by a duly authorized officer of the Company (other than yourself) and you.</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3" w:name="page164"/>
    <w:bookmarkEnd w:id="163"/>
    <w:p>
      <w:pPr>
        <w:spacing w:after="0"/>
        <w:rPr>
          <w:sz w:val="20"/>
          <w:szCs w:val="20"/>
          <w:color w:val="auto"/>
        </w:rPr>
      </w:pPr>
      <w:r>
        <w:rPr>
          <w:rFonts w:ascii="Arial" w:cs="Arial" w:eastAsia="Arial" w:hAnsi="Arial"/>
          <w:sz w:val="16"/>
          <w:szCs w:val="16"/>
          <w:color w:val="auto"/>
        </w:rPr>
        <w:t>To confirm the current terms and conditions of your employment, please sign and date in the spaces indicated and return this Agreement to me.</w:t>
      </w:r>
    </w:p>
    <w:p>
      <w:pPr>
        <w:spacing w:after="0" w:line="27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ALX Oncology Holdings Inc.</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Jaume Pons</w:t>
      </w:r>
    </w:p>
    <w:p>
      <w:pPr>
        <w:spacing w:after="0" w:line="100"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Shelly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Shelly Pinto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May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14605</wp:posOffset>
            </wp:positionV>
            <wp:extent cx="32061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447675</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20"/>
          </w:cols>
          <w:pgMar w:left="320" w:top="598" w:right="125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6"/>
          <w:szCs w:val="16"/>
          <w:b w:val="1"/>
          <w:bCs w:val="1"/>
          <w:u w:val="single" w:color="auto"/>
          <w:color w:val="auto"/>
        </w:rPr>
        <w:t>Appendix A</w:t>
      </w:r>
    </w:p>
    <w:p>
      <w:pPr>
        <w:sectPr>
          <w:pgSz w:w="11900" w:h="16838" w:orient="portrait"/>
          <w:cols w:equalWidth="0" w:num="1">
            <w:col w:w="9019"/>
          </w:cols>
          <w:pgMar w:left="1440" w:top="594"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369570</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94" w:right="1440" w:bottom="1440"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18"/>
          <w:szCs w:val="18"/>
          <w:b w:val="1"/>
          <w:bCs w:val="1"/>
          <w:u w:val="single" w:color="auto"/>
          <w:color w:val="auto"/>
        </w:rPr>
        <w:t>Appendix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 of the Defend Trade Secrets Act of 2016</w:t>
      </w:r>
    </w:p>
    <w:p>
      <w:pPr>
        <w:spacing w:after="0" w:line="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ectPr>
          <w:pgSz w:w="11900" w:h="16838" w:orient="portrait"/>
          <w:cols w:equalWidth="0" w:num="1">
            <w:col w:w="11240"/>
          </w:cols>
          <w:pgMar w:left="320" w:top="364"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15"/>
        </w:trPr>
        <w:tc>
          <w:tcPr>
            <w:tcW w:w="3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360" w:type="dxa"/>
            <w:vAlign w:val="bottom"/>
          </w:tcPr>
          <w:p>
            <w:pPr>
              <w:ind w:left="2460"/>
              <w:spacing w:after="0"/>
              <w:rPr>
                <w:sz w:val="20"/>
                <w:szCs w:val="20"/>
                <w:color w:val="auto"/>
              </w:rPr>
            </w:pPr>
            <w:r>
              <w:rPr>
                <w:rFonts w:ascii="Arial" w:cs="Arial" w:eastAsia="Arial" w:hAnsi="Arial"/>
                <w:sz w:val="16"/>
                <w:szCs w:val="16"/>
                <w:b w:val="1"/>
                <w:bCs w:val="1"/>
                <w:color w:val="auto"/>
                <w:w w:val="98"/>
              </w:rPr>
              <w:t>Exhibit 21.1</w:t>
            </w:r>
          </w:p>
        </w:tc>
      </w:tr>
      <w:tr>
        <w:trPr>
          <w:trHeight w:val="405"/>
        </w:trPr>
        <w:tc>
          <w:tcPr>
            <w:tcW w:w="3380" w:type="dxa"/>
            <w:vAlign w:val="bottom"/>
          </w:tcPr>
          <w:p>
            <w:pPr>
              <w:spacing w:after="0"/>
              <w:rPr>
                <w:sz w:val="24"/>
                <w:szCs w:val="24"/>
                <w:color w:val="auto"/>
              </w:rPr>
            </w:pPr>
          </w:p>
        </w:tc>
        <w:tc>
          <w:tcPr>
            <w:tcW w:w="7860" w:type="dxa"/>
            <w:vAlign w:val="bottom"/>
            <w:gridSpan w:val="2"/>
          </w:tcPr>
          <w:p>
            <w:pPr>
              <w:ind w:left="220"/>
              <w:spacing w:after="0"/>
              <w:rPr>
                <w:sz w:val="20"/>
                <w:szCs w:val="20"/>
                <w:color w:val="auto"/>
              </w:rPr>
            </w:pPr>
            <w:r>
              <w:rPr>
                <w:rFonts w:ascii="Arial" w:cs="Arial" w:eastAsia="Arial" w:hAnsi="Arial"/>
                <w:sz w:val="16"/>
                <w:szCs w:val="16"/>
                <w:b w:val="1"/>
                <w:bCs w:val="1"/>
                <w:color w:val="auto"/>
              </w:rPr>
              <w:t>SUBSIDIARIES OF ALX ONCOLOGY HOLDINGS INC.</w:t>
            </w:r>
          </w:p>
        </w:tc>
      </w:tr>
      <w:tr>
        <w:trPr>
          <w:trHeight w:val="424"/>
        </w:trPr>
        <w:tc>
          <w:tcPr>
            <w:tcW w:w="3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of Subsidiary</w:t>
            </w:r>
          </w:p>
        </w:tc>
        <w:tc>
          <w:tcPr>
            <w:tcW w:w="450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Jurisdiction of Incorporation or Organization</w:t>
            </w:r>
          </w:p>
        </w:tc>
      </w:tr>
      <w:tr>
        <w:trPr>
          <w:trHeight w:val="198"/>
        </w:trPr>
        <w:tc>
          <w:tcPr>
            <w:tcW w:w="3380" w:type="dxa"/>
            <w:vAlign w:val="bottom"/>
          </w:tcPr>
          <w:p>
            <w:pPr>
              <w:spacing w:after="0"/>
              <w:rPr>
                <w:sz w:val="20"/>
                <w:szCs w:val="20"/>
                <w:color w:val="auto"/>
              </w:rPr>
            </w:pPr>
            <w:r>
              <w:rPr>
                <w:rFonts w:ascii="Arial" w:cs="Arial" w:eastAsia="Arial" w:hAnsi="Arial"/>
                <w:sz w:val="16"/>
                <w:szCs w:val="16"/>
                <w:color w:val="auto"/>
              </w:rPr>
              <w:t>ALX Oncology Limited</w:t>
            </w:r>
          </w:p>
        </w:tc>
        <w:tc>
          <w:tcPr>
            <w:tcW w:w="450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Ireland</w:t>
            </w: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ALX Oncology Incorporated</w:t>
            </w:r>
          </w:p>
        </w:tc>
        <w:tc>
          <w:tcPr>
            <w:tcW w:w="450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Delaware</w:t>
            </w: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Alexo Holding Limited</w:t>
            </w:r>
          </w:p>
        </w:tc>
        <w:tc>
          <w:tcPr>
            <w:tcW w:w="450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Malta</w:t>
            </w: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Alexo Therapeutics International</w:t>
            </w:r>
          </w:p>
        </w:tc>
        <w:tc>
          <w:tcPr>
            <w:tcW w:w="450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Cayman Islands</w:t>
            </w: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Sirpant Therapeutics</w:t>
            </w:r>
          </w:p>
        </w:tc>
        <w:tc>
          <w:tcPr>
            <w:tcW w:w="450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Cayman Islands</w:t>
            </w:r>
          </w:p>
        </w:tc>
      </w:tr>
      <w:tr>
        <w:trPr>
          <w:trHeight w:val="195"/>
        </w:trPr>
        <w:tc>
          <w:tcPr>
            <w:tcW w:w="3380" w:type="dxa"/>
            <w:vAlign w:val="bottom"/>
          </w:tcPr>
          <w:p>
            <w:pPr>
              <w:spacing w:after="0"/>
              <w:rPr>
                <w:sz w:val="20"/>
                <w:szCs w:val="20"/>
                <w:color w:val="auto"/>
              </w:rPr>
            </w:pPr>
            <w:r>
              <w:rPr>
                <w:rFonts w:ascii="Arial" w:cs="Arial" w:eastAsia="Arial" w:hAnsi="Arial"/>
                <w:sz w:val="16"/>
                <w:szCs w:val="16"/>
                <w:color w:val="auto"/>
              </w:rPr>
              <w:t>ScalmiBio, Inc.</w:t>
            </w:r>
          </w:p>
        </w:tc>
        <w:tc>
          <w:tcPr>
            <w:tcW w:w="450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22"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(Nos. 333-239927 and 333-254459) on Form S-8 and (No. 333-258812) on Form S-3 of our report dated February 28, 2022, with respect to the consolidated financial statements of ALX Oncology Holdings Inc. and the effectiveness of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ectPr>
          <w:pgSz w:w="11900" w:h="16838" w:orient="portrait"/>
          <w:cols w:equalWidth="0" w:num="1">
            <w:col w:w="11240"/>
          </w:cols>
          <w:pgMar w:left="320" w:top="121"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Jaume Pons, Ph.D., certify that:</w:t>
      </w:r>
    </w:p>
    <w:p>
      <w:pPr>
        <w:spacing w:after="0" w:line="117" w:lineRule="exact"/>
        <w:rPr>
          <w:sz w:val="20"/>
          <w:szCs w:val="20"/>
          <w:color w:val="auto"/>
        </w:rPr>
      </w:pPr>
    </w:p>
    <w:p>
      <w:pPr>
        <w:ind w:left="580" w:hanging="572"/>
        <w:spacing w:after="0"/>
        <w:tabs>
          <w:tab w:leader="none" w:pos="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ALX Oncology Holdings Inc.;</w:t>
      </w:r>
    </w:p>
    <w:p>
      <w:pPr>
        <w:spacing w:after="0" w:line="11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80" w:right="180" w:hanging="572"/>
        <w:spacing w:after="0" w:line="263" w:lineRule="auto"/>
        <w:tabs>
          <w:tab w:leader="none" w:pos="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100" w:hanging="572"/>
        <w:spacing w:after="0" w:line="308" w:lineRule="auto"/>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804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Garcia, certify that:</w:t>
      </w:r>
    </w:p>
    <w:p>
      <w:pPr>
        <w:spacing w:after="0" w:line="117" w:lineRule="exact"/>
        <w:rPr>
          <w:sz w:val="20"/>
          <w:szCs w:val="20"/>
          <w:color w:val="auto"/>
        </w:rPr>
      </w:pPr>
    </w:p>
    <w:p>
      <w:pPr>
        <w:ind w:left="580" w:hanging="572"/>
        <w:spacing w:after="0"/>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ALX Oncology Holdings Inc.;</w:t>
      </w:r>
    </w:p>
    <w:p>
      <w:pPr>
        <w:spacing w:after="0" w:line="11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80" w:right="180" w:hanging="572"/>
        <w:spacing w:after="0" w:line="263"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100" w:hanging="572"/>
        <w:spacing w:after="0" w:line="308" w:lineRule="auto"/>
        <w:tabs>
          <w:tab w:leader="none" w:pos="5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802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connection with the Annual Report of ALX Oncology Holdings Inc. (the “Company”), on Form 10-K for the fiscal year ended December 31, 2021, as filed with the Securities and Exchange Commission on the date hereof (the “Report”), I certify, pursuant to 18 U.S.C. §1350, as adopted pursuant to section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560" w:val="left"/>
          <w:tab w:leader="none" w:pos="800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connection with the Annual Report of ALX Oncology Holdings Inc. (the “Company”), on Form 10-K for the fiscal year ended December 31, 2021, as filed with the Securities and Exchange Commission on the date hereof (the “Report”), I certify, pursuant to 18 U.S.C. §1350, as adopted pursuant to section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560" w:val="left"/>
          <w:tab w:leader="none" w:pos="798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lvl w:ilvl="1">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lvl w:ilvl="1">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1)"/>
      <w:numFmt w:val="decimal"/>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1)"/>
      <w:numFmt w:val="decimal"/>
      <w:start w:val="1"/>
    </w:lvl>
  </w:abstractNum>
  <w:abstractNum w:abstractNumId="64">
    <w:nsid w:val="613EFDC5"/>
    <w:multiLevelType w:val="hybridMultilevel"/>
    <w:lvl w:ilvl="0">
      <w:lvlJc w:val="left"/>
      <w:lvlText w:val="(%1)"/>
      <w:numFmt w:val="decimal"/>
      <w:start w:val="2"/>
    </w:lvl>
  </w:abstractNum>
  <w:abstractNum w:abstractNumId="65">
    <w:nsid w:val="BF72B14"/>
    <w:multiLevelType w:val="hybridMultilevel"/>
    <w:lvl w:ilvl="0">
      <w:lvlJc w:val="left"/>
      <w:lvlText w:val="(%1)"/>
      <w:numFmt w:val="lowerRoman"/>
      <w:start w:val="1"/>
    </w:lvl>
  </w:abstractNum>
  <w:abstractNum w:abstractNumId="66">
    <w:nsid w:val="11447B73"/>
    <w:multiLevelType w:val="hybridMultilevel"/>
    <w:lvl w:ilvl="0">
      <w:lvlJc w:val="left"/>
      <w:lvlText w:val="(%1)"/>
      <w:numFmt w:val="decimal"/>
      <w:start w:val="5"/>
    </w:lvl>
  </w:abstractNum>
  <w:abstractNum w:abstractNumId="67">
    <w:nsid w:val="42963E5A"/>
    <w:multiLevelType w:val="hybridMultilevel"/>
    <w:lvl w:ilvl="0">
      <w:lvlJc w:val="left"/>
      <w:lvlText w:val="(%1)"/>
      <w:numFmt w:val="lowerRoman"/>
      <w:start w:val="1"/>
    </w:lvl>
  </w:abstractNum>
  <w:abstractNum w:abstractNumId="68">
    <w:nsid w:val="A0382C5"/>
    <w:multiLevelType w:val="hybridMultilevel"/>
    <w:lvl w:ilvl="0">
      <w:lvlJc w:val="left"/>
      <w:lvlText w:val="(%1)"/>
      <w:numFmt w:val="lowerRoman"/>
      <w:start w:val="1"/>
    </w:lvl>
  </w:abstractNum>
  <w:abstractNum w:abstractNumId="69">
    <w:nsid w:val="8F2B15E"/>
    <w:multiLevelType w:val="hybridMultilevel"/>
    <w:lvl w:ilvl="0">
      <w:lvlJc w:val="left"/>
      <w:lvlText w:val="%1."/>
      <w:numFmt w:val="decimal"/>
      <w:start w:val="718"/>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1)"/>
      <w:numFmt w:val="decimal"/>
      <w:start w:val="13"/>
    </w:lvl>
  </w:abstractNum>
  <w:abstractNum w:abstractNumId="72">
    <w:nsid w:val="68EB2F63"/>
    <w:multiLevelType w:val="hybridMultilevel"/>
    <w:lvl w:ilvl="0">
      <w:lvlJc w:val="left"/>
      <w:lvlText w:val="(%1)"/>
      <w:numFmt w:val="decimal"/>
      <w:start w:val="1"/>
    </w:lvl>
  </w:abstractNum>
  <w:abstractNum w:abstractNumId="73">
    <w:nsid w:val="4962813B"/>
    <w:multiLevelType w:val="hybridMultilevel"/>
    <w:lvl w:ilvl="0">
      <w:lvlJc w:val="left"/>
      <w:lvlText w:val="(%1)"/>
      <w:numFmt w:val="decimal"/>
      <w:start w:val="3"/>
    </w:lvl>
  </w:abstractNum>
  <w:abstractNum w:abstractNumId="74">
    <w:nsid w:val="60B6DF70"/>
    <w:multiLevelType w:val="hybridMultilevel"/>
    <w:lvl w:ilvl="0">
      <w:lvlJc w:val="left"/>
      <w:lvlText w:val="(%1)"/>
      <w:numFmt w:val="lowerLetter"/>
      <w:start w:val="1"/>
    </w:lvl>
    <w:lvl w:ilvl="1">
      <w:lvlJc w:val="left"/>
      <w:lvlText w:val="(%2)"/>
      <w:numFmt w:val="decimal"/>
      <w:start w:val="1"/>
    </w:lvl>
  </w:abstractNum>
  <w:abstractNum w:abstractNumId="75">
    <w:nsid w:val="6A5EE64"/>
    <w:multiLevelType w:val="hybridMultilevel"/>
    <w:lvl w:ilvl="0">
      <w:lvlJc w:val="left"/>
      <w:lvlText w:val="(%1)"/>
      <w:numFmt w:val="decimal"/>
      <w:start w:val="2"/>
    </w:lvl>
  </w:abstractNum>
  <w:abstractNum w:abstractNumId="76">
    <w:nsid w:val="14330624"/>
    <w:multiLevelType w:val="hybridMultilevel"/>
    <w:lvl w:ilvl="0">
      <w:lvlJc w:val="left"/>
      <w:lvlText w:val="(%1)"/>
      <w:numFmt w:val="decimal"/>
      <w:start w:val="3"/>
    </w:lvl>
  </w:abstractNum>
  <w:abstractNum w:abstractNumId="77">
    <w:nsid w:val="7FFFCA11"/>
    <w:multiLevelType w:val="hybridMultilevel"/>
    <w:lvl w:ilvl="0">
      <w:lvlJc w:val="left"/>
      <w:lvlText w:val="+"/>
      <w:numFmt w:val="bullet"/>
      <w:start w:val="1"/>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1."/>
      <w:numFmt w:val="decimal"/>
      <w:start w:val="1"/>
    </w:lvl>
  </w:abstractNum>
  <w:abstractNum w:abstractNumId="80">
    <w:nsid w:val="100F59DC"/>
    <w:multiLevelType w:val="hybridMultilevel"/>
    <w:lvl w:ilvl="0">
      <w:lvlJc w:val="left"/>
      <w:lvlText w:val="%1."/>
      <w:numFmt w:val="decimal"/>
      <w:start w:val="4"/>
    </w:lvl>
  </w:abstractNum>
  <w:abstractNum w:abstractNumId="81">
    <w:nsid w:val="7FB7E0AA"/>
    <w:multiLevelType w:val="hybridMultilevel"/>
    <w:lvl w:ilvl="0">
      <w:lvlJc w:val="left"/>
      <w:lvlText w:val="%1."/>
      <w:numFmt w:val="decimal"/>
      <w:start w:val="10"/>
    </w:lvl>
  </w:abstractNum>
  <w:abstractNum w:abstractNumId="82">
    <w:nsid w:val="6EB5BD4"/>
    <w:multiLevelType w:val="hybridMultilevel"/>
    <w:lvl w:ilvl="0">
      <w:lvlJc w:val="left"/>
      <w:lvlText w:val="\ldblquote"/>
      <w:numFmt w:val="bullet"/>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206"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191" Type="http://schemas.openxmlformats.org/officeDocument/2006/relationships/hyperlink" Target="http://www.sec.gov/Archives/edgar/data/0001810182/000119312521361275/d227281dex11.htm" TargetMode="External"/><Relationship Id="rId192" Type="http://schemas.openxmlformats.org/officeDocument/2006/relationships/hyperlink" Target="http://www.sec.gov/Archives/edgar/data/1810182/000119312520196288/d47591dex31.htm" TargetMode="External"/><Relationship Id="rId193" Type="http://schemas.openxmlformats.org/officeDocument/2006/relationships/hyperlink" Target="http://www.sec.gov/Archives/edgar/data/1810182/000119312520196288/d47591dex32.htm" TargetMode="External"/><Relationship Id="rId194" Type="http://schemas.openxmlformats.org/officeDocument/2006/relationships/hyperlink" Target="http://www.sec.gov/Archives/edgar/data/1810182/000119312520181021/d913838dex41.htm" TargetMode="External"/><Relationship Id="rId195" Type="http://schemas.openxmlformats.org/officeDocument/2006/relationships/hyperlink" Target="http://www.sec.gov/Archives/edgar/data/1810182/000119312520181021/d913838dex42.htm" TargetMode="External"/><Relationship Id="rId196" Type="http://schemas.openxmlformats.org/officeDocument/2006/relationships/hyperlink" Target="http://www.sec.gov/Archives/edgar/data/1810182/000119312520181021/d913838dex101.htm" TargetMode="External"/><Relationship Id="rId197" Type="http://schemas.openxmlformats.org/officeDocument/2006/relationships/hyperlink" Target="http://www.sec.gov/Archives/edgar/data/1810182/000119312520191500/d913838dex102.htm" TargetMode="External"/><Relationship Id="rId198" Type="http://schemas.openxmlformats.org/officeDocument/2006/relationships/hyperlink" Target="http://www.sec.gov/Archives/edgar/data/1810182/000119312520191500/d913838dex103.htm" TargetMode="External"/><Relationship Id="rId199" Type="http://schemas.openxmlformats.org/officeDocument/2006/relationships/hyperlink" Target="http://www.sec.gov/Archives/edgar/data/1810182/000119312520191500/d913838dex104.htm" TargetMode="External"/><Relationship Id="rId200" Type="http://schemas.openxmlformats.org/officeDocument/2006/relationships/hyperlink" Target="http://www.sec.gov/Archives/edgar/data/1810182/000119312520191500/d913838dex106.htm" TargetMode="External"/><Relationship Id="rId201" Type="http://schemas.openxmlformats.org/officeDocument/2006/relationships/hyperlink" Target="http://www.sec.gov/Archives/edgar/data/1810182/000119312520191500/d913838dex108.htm" TargetMode="External"/><Relationship Id="rId202" Type="http://schemas.openxmlformats.org/officeDocument/2006/relationships/hyperlink" Target="http://www.sec.gov/Archives/edgar/data/1810182/000119312520191500/d913838dex109.htm" TargetMode="External"/><Relationship Id="rId203" Type="http://schemas.openxmlformats.org/officeDocument/2006/relationships/hyperlink" Target="http://www.sec.gov/Archives/edgar/data/1810182/000119312520191500/d913838dex1010.htm" TargetMode="External"/><Relationship Id="rId204" Type="http://schemas.openxmlformats.org/officeDocument/2006/relationships/hyperlink" Target="http://www.sec.gov/Archives/edgar/data/1810182/000119312520191500/d913838dex1011.htm" TargetMode="External"/><Relationship Id="rId205" Type="http://schemas.openxmlformats.org/officeDocument/2006/relationships/hyperlink" Target="http://www.sec.gov/Archives/edgar/data/1810182/000119312520181021/d913838dex1012.htm" TargetMode="External"/><Relationship Id="rId207" Type="http://schemas.openxmlformats.org/officeDocument/2006/relationships/hyperlink" Target="http://www.sec.gov/Archives/edgar/data/1810182/000119312520181021/d913838dex1013.htm" TargetMode="External"/><Relationship Id="rId208" Type="http://schemas.openxmlformats.org/officeDocument/2006/relationships/hyperlink" Target="http://www.sec.gov/Archives/edgar/data/1810182/000119312520181021/d913838dex1014.htm" TargetMode="External"/><Relationship Id="rId209" Type="http://schemas.openxmlformats.org/officeDocument/2006/relationships/hyperlink" Target="http://www.sec.gov/Archives/edgar/data/1810182/000119312520181021/d913838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2022-02-28T07:01:38Z</dcterms:created>
  <dcterms:modified xsi:type="dcterms:W3CDTF">2022-02-28T07:01:38Z</dcterms:modified>
</cp:coreProperties>
</file>