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06"/>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74"/>
        </w:trPr>
        <w:tc>
          <w:tcPr>
            <w:tcW w:w="3320" w:type="dxa"/>
            <w:vAlign w:val="bottom"/>
          </w:tcPr>
          <w:p>
            <w:pPr>
              <w:jc w:val="center"/>
              <w:ind w:right="7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On November 11, 2021, ALX Oncology Holdings Inc. (the "Company"), issued a press release announcing its financial results for the second quarter ended September 30, 2021. A copy of this press release is furnished as Exhibit 99.1 to this Current Report on Form 8-K and is incorporated herein by reference.</w:t>
      </w:r>
    </w:p>
    <w:p>
      <w:pPr>
        <w:spacing w:after="0" w:line="7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4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90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11, 2021</w:t>
              </w:r>
            </w:hyperlink>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912"/>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0800"/>
          </w:cols>
          <w:pgMar w:left="320" w:top="58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ALX Oncology Reports Third Quarter 2021 Financial Results and Provides Clinical Development and Operational Highlights</w:t>
      </w:r>
    </w:p>
    <w:p>
      <w:pPr>
        <w:spacing w:after="0" w:line="200" w:lineRule="exact"/>
        <w:rPr>
          <w:sz w:val="20"/>
          <w:szCs w:val="20"/>
          <w:color w:val="auto"/>
        </w:rPr>
      </w:pPr>
    </w:p>
    <w:p>
      <w:pPr>
        <w:spacing w:after="0" w:line="25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SOUTH SAN FRANCISCO</w:t>
      </w:r>
      <w:r>
        <w:rPr>
          <w:rFonts w:ascii="Arial" w:cs="Arial" w:eastAsia="Arial" w:hAnsi="Arial"/>
          <w:sz w:val="20"/>
          <w:szCs w:val="20"/>
          <w:b w:val="1"/>
          <w:bCs w:val="1"/>
          <w:color w:val="auto"/>
        </w:rPr>
        <w:t>, Calif., November 11, 2021</w:t>
      </w:r>
      <w:r>
        <w:rPr>
          <w:rFonts w:ascii="Arial" w:cs="Arial" w:eastAsia="Arial" w:hAnsi="Arial"/>
          <w:sz w:val="20"/>
          <w:szCs w:val="20"/>
          <w:color w:val="auto"/>
        </w:rPr>
        <w:t xml:space="preserve"> -- ALX Oncology Holdings Inc., (“ALX Oncology”) (Nasdaq: ALXO) a clinical-stage immuno-oncology company developing therapies that block the CD47 checkpoint pathway, today reported financial results for the third quarter ended September 30, 2021 and provided clinical development and operational highlights.</w:t>
      </w:r>
    </w:p>
    <w:p>
      <w:pPr>
        <w:ind w:right="20"/>
        <w:spacing w:after="0" w:line="252" w:lineRule="auto"/>
        <w:rPr>
          <w:sz w:val="20"/>
          <w:szCs w:val="20"/>
          <w:color w:val="auto"/>
        </w:rPr>
      </w:pPr>
      <w:r>
        <w:rPr>
          <w:rFonts w:ascii="Arial" w:cs="Arial" w:eastAsia="Arial" w:hAnsi="Arial"/>
          <w:sz w:val="19"/>
          <w:szCs w:val="19"/>
          <w:color w:val="auto"/>
        </w:rPr>
        <w:t xml:space="preserve">“The third quarter was marked by substantial progress advancing our lead program, evorpacept (ALX148) through multiple clinical trials,” said Jaume Pons, Ph.D., Founder, President and Chief Executive Officer of ALX Oncology. “Highlights include reporting new data at the ESMO conference from ASPEN-01, our Phase 1b trial testing evorpacept with trastuzumab, ramucirumab and paclitaxel in </w:t>
      </w:r>
      <w:r>
        <w:rPr>
          <w:rFonts w:ascii="Arial" w:cs="Arial" w:eastAsia="Arial" w:hAnsi="Arial"/>
          <w:sz w:val="19"/>
          <w:szCs w:val="19"/>
          <w:u w:val="single" w:color="auto"/>
          <w:color w:val="auto"/>
        </w:rPr>
        <w:t>&gt;</w:t>
      </w:r>
      <w:r>
        <w:rPr>
          <w:rFonts w:ascii="Arial" w:cs="Arial" w:eastAsia="Arial" w:hAnsi="Arial"/>
          <w:sz w:val="19"/>
          <w:szCs w:val="19"/>
          <w:color w:val="auto"/>
        </w:rPr>
        <w:t>2</w:t>
      </w:r>
      <w:r>
        <w:rPr>
          <w:rFonts w:ascii="Arial" w:cs="Arial" w:eastAsia="Arial" w:hAnsi="Arial"/>
          <w:sz w:val="15"/>
          <w:szCs w:val="15"/>
          <w:color w:val="auto"/>
        </w:rPr>
        <w:t>nd</w:t>
      </w:r>
      <w:r>
        <w:rPr>
          <w:rFonts w:ascii="Arial" w:cs="Arial" w:eastAsia="Arial" w:hAnsi="Arial"/>
          <w:sz w:val="19"/>
          <w:szCs w:val="19"/>
          <w:color w:val="auto"/>
        </w:rPr>
        <w:t xml:space="preserve"> line HER2-positive gastric or gastroesophageal junction cancer. We also dosed the first patient in ASPEN-04, our Phase 2 trial testing evorpacept in combination with pembrolizumab and chemotherapy for 1</w:t>
      </w:r>
      <w:r>
        <w:rPr>
          <w:rFonts w:ascii="Arial" w:cs="Arial" w:eastAsia="Arial" w:hAnsi="Arial"/>
          <w:sz w:val="15"/>
          <w:szCs w:val="15"/>
          <w:color w:val="auto"/>
        </w:rPr>
        <w:t>st</w:t>
      </w:r>
      <w:r>
        <w:rPr>
          <w:rFonts w:ascii="Arial" w:cs="Arial" w:eastAsia="Arial" w:hAnsi="Arial"/>
          <w:sz w:val="19"/>
          <w:szCs w:val="19"/>
          <w:color w:val="auto"/>
        </w:rPr>
        <w:t xml:space="preserve"> line patients with unresectable or metastatic squamous cell carcinoma of the head and neck. Subsequent to the quarter end, we dosed the first patients in our ASPEN-05 Phase 1/2 study in acute myeloid leukemia and in our Phase 1/2 collaboration with Zymeworks, which is evaluating the combination of evorpacept and zanidatamab in patients with HER2-positive breast cancer and other solid tumors. On the business development front, in October, we acquired privately-held ScalmiBio, giving us full access to their proprietary SHIELD platform for conditional activation of antibodies in the tumor microenvironment and proprietary cytotoxic payloads for antibody-drug conjugates.”</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“Looking ahead, we expect a data-filled fourth quarter, which will include four poster presentations at the upcoming SITC conference, including data from ASPEN-01, which we presented on November 9, the trial designs from both our Phase 2 head and neck cancer studies in collaboration with Merck (ASPEN-03 and ASPEN-04) and preclinical data for ALTA-002, a first in class SIRPa-directed TLR9 agonist antibody conjugate being developed in collaboration with Tallac Therapeutics,” Dr. Pons continued. “Later this quarter, we expect to report additional Phase 1b data from ASPEN-02 in myelodysplastic syndromes, and the initiation of ASPEN-06, our randomized Phase 2 trial in second line gastric cancer,” Dr. Pons continued.</w:t>
      </w:r>
    </w:p>
    <w:p>
      <w:pPr>
        <w:spacing w:after="0"/>
        <w:rPr>
          <w:sz w:val="20"/>
          <w:szCs w:val="20"/>
          <w:color w:val="auto"/>
        </w:rPr>
      </w:pPr>
      <w:r>
        <w:rPr>
          <w:rFonts w:ascii="Arial" w:cs="Arial" w:eastAsia="Arial" w:hAnsi="Arial"/>
          <w:sz w:val="22"/>
          <w:szCs w:val="22"/>
          <w:b w:val="1"/>
          <w:bCs w:val="1"/>
          <w:color w:val="auto"/>
        </w:rPr>
        <w:t>Recent Clinical Developments for Evorpacept (ALX148)</w:t>
      </w:r>
    </w:p>
    <w:p>
      <w:pPr>
        <w:spacing w:after="0" w:line="6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Data for Phase 1b ASPEN-01 Study Presented at Society for Immunotherapy of Cancer’s 36</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Anniversary Annual Meeting</w:t>
      </w:r>
    </w:p>
    <w:p>
      <w:pPr>
        <w:spacing w:after="0" w:line="204" w:lineRule="exact"/>
        <w:rPr>
          <w:rFonts w:ascii="Arial" w:cs="Arial" w:eastAsia="Arial" w:hAnsi="Arial"/>
          <w:sz w:val="18"/>
          <w:szCs w:val="18"/>
          <w:color w:val="auto"/>
        </w:rPr>
      </w:pPr>
    </w:p>
    <w:p>
      <w:pPr>
        <w:ind w:left="1280" w:hanging="422"/>
        <w:spacing w:after="0" w:line="257" w:lineRule="auto"/>
        <w:tabs>
          <w:tab w:leader="none" w:pos="1280" w:val="left"/>
        </w:tabs>
        <w:numPr>
          <w:ilvl w:val="1"/>
          <w:numId w:val="2"/>
        </w:numPr>
        <w:rPr>
          <w:rFonts w:ascii="Arial" w:cs="Arial" w:eastAsia="Arial" w:hAnsi="Arial"/>
          <w:sz w:val="19"/>
          <w:szCs w:val="19"/>
          <w:color w:val="auto"/>
        </w:rPr>
      </w:pPr>
      <w:r>
        <w:rPr>
          <w:rFonts w:ascii="Arial" w:cs="Arial" w:eastAsia="Arial" w:hAnsi="Arial"/>
          <w:sz w:val="19"/>
          <w:szCs w:val="19"/>
          <w:color w:val="auto"/>
        </w:rPr>
        <w:t>In November 2021, announced updated results from ASPEN-01, the evorpacept phase 1b study, evaluating patients with solid tumor malignancies at the Society for Immunotherapy of Cancer’s 36</w:t>
      </w:r>
      <w:r>
        <w:rPr>
          <w:rFonts w:ascii="Arial" w:cs="Arial" w:eastAsia="Arial" w:hAnsi="Arial"/>
          <w:sz w:val="15"/>
          <w:szCs w:val="15"/>
          <w:color w:val="auto"/>
        </w:rPr>
        <w:t>th</w:t>
      </w:r>
      <w:r>
        <w:rPr>
          <w:rFonts w:ascii="Arial" w:cs="Arial" w:eastAsia="Arial" w:hAnsi="Arial"/>
          <w:sz w:val="19"/>
          <w:szCs w:val="19"/>
          <w:color w:val="auto"/>
        </w:rPr>
        <w:t xml:space="preserve"> Anniversary Annual Meeting (abstract 498). ALX Oncology reported updated results from the gastric/gastroesophageal junction cancer patient cohort receiving evorpacept plus trastuzumab plus chemotherapy, and from the head and neck squamous cell carcinoma patient cohort receiving evorpacept plus pembrolizumab with and without chemotherapy. Data showed robust and durable responses with emerging signs of clinical benefit in survival-based endpoints in patients with advanced solid tumors. All data reflected response evaluable patients as of September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 w:name="page5"/>
    <w:bookmarkEnd w:id="4"/>
    <w:p>
      <w:pPr>
        <w:ind w:left="420" w:right="160" w:hanging="412"/>
        <w:spacing w:after="0" w:line="266" w:lineRule="auto"/>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Abstract Data for Phase 1/2 ASPEN-02 Study in Myelodysplastic Syndromes Released as part of the 63</w:t>
      </w:r>
      <w:r>
        <w:rPr>
          <w:rFonts w:ascii="Arial" w:cs="Arial" w:eastAsia="Arial" w:hAnsi="Arial"/>
          <w:sz w:val="16"/>
          <w:szCs w:val="16"/>
          <w:b w:val="1"/>
          <w:bCs w:val="1"/>
          <w:color w:val="auto"/>
        </w:rPr>
        <w:t>rd</w:t>
      </w:r>
      <w:r>
        <w:rPr>
          <w:rFonts w:ascii="Arial" w:cs="Arial" w:eastAsia="Arial" w:hAnsi="Arial"/>
          <w:sz w:val="20"/>
          <w:szCs w:val="20"/>
          <w:b w:val="1"/>
          <w:bCs w:val="1"/>
          <w:color w:val="auto"/>
        </w:rPr>
        <w:t xml:space="preserve"> American Society of Hematology (“ASH”) Annual Meeting</w:t>
      </w:r>
    </w:p>
    <w:p>
      <w:pPr>
        <w:spacing w:after="0" w:line="319" w:lineRule="exact"/>
        <w:rPr>
          <w:sz w:val="20"/>
          <w:szCs w:val="20"/>
          <w:color w:val="auto"/>
        </w:rPr>
      </w:pPr>
    </w:p>
    <w:p>
      <w:pPr>
        <w:ind w:left="1280" w:right="120" w:hanging="422"/>
        <w:spacing w:after="0" w:line="254" w:lineRule="auto"/>
        <w:tabs>
          <w:tab w:leader="none" w:pos="1280" w:val="left"/>
        </w:tabs>
        <w:numPr>
          <w:ilvl w:val="1"/>
          <w:numId w:val="4"/>
        </w:numPr>
        <w:rPr>
          <w:rFonts w:ascii="Courier New" w:cs="Courier New" w:eastAsia="Courier New" w:hAnsi="Courier New"/>
          <w:sz w:val="19"/>
          <w:szCs w:val="19"/>
          <w:color w:val="auto"/>
        </w:rPr>
      </w:pPr>
      <w:r>
        <w:rPr>
          <w:rFonts w:ascii="Arial" w:cs="Arial" w:eastAsia="Arial" w:hAnsi="Arial"/>
          <w:sz w:val="19"/>
          <w:szCs w:val="19"/>
          <w:color w:val="auto"/>
        </w:rPr>
        <w:t>In November 2021, presented an ASH abstract and updated data evaluating evorpacept in combination with azacitidine for the treatment of myelodysplastic syndromes (“MDS”). Among the 5 newly diagnosed subjects evaluable for response (all with TP53 mutation), there were 2 subjects with cytogenetic response who met criteria for complete response subsequent to the date of this abstract, 1 subject with a best response of marrow complete response with hematologic improvement, and 1 subject each with stable disease and progressive disease. No dose-limiting toxicities were observed in any cohort and no maximum tolerated dose was reached. Additional results will be presented in a poster at the ASH meeting to be held December 11-14 conference (Session 637: Poster II).</w:t>
      </w:r>
    </w:p>
    <w:p>
      <w:pPr>
        <w:spacing w:after="0" w:line="328" w:lineRule="exact"/>
        <w:rPr>
          <w:rFonts w:ascii="Courier New" w:cs="Courier New" w:eastAsia="Courier New" w:hAnsi="Courier New"/>
          <w:sz w:val="19"/>
          <w:szCs w:val="19"/>
          <w:color w:val="auto"/>
        </w:rPr>
      </w:pPr>
    </w:p>
    <w:p>
      <w:pPr>
        <w:ind w:left="420" w:hanging="412"/>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First Patient Dosed in Phase 1/2 ASPEN-05 Study</w:t>
      </w:r>
    </w:p>
    <w:p>
      <w:pPr>
        <w:spacing w:after="0" w:line="221" w:lineRule="exact"/>
        <w:rPr>
          <w:rFonts w:ascii="Arial" w:cs="Arial" w:eastAsia="Arial" w:hAnsi="Arial"/>
          <w:sz w:val="20"/>
          <w:szCs w:val="20"/>
          <w:color w:val="auto"/>
        </w:rPr>
      </w:pPr>
    </w:p>
    <w:p>
      <w:pPr>
        <w:ind w:left="1280" w:right="220" w:hanging="422"/>
        <w:spacing w:after="0" w:line="257" w:lineRule="auto"/>
        <w:tabs>
          <w:tab w:leader="none" w:pos="1280" w:val="left"/>
        </w:tabs>
        <w:numPr>
          <w:ilvl w:val="1"/>
          <w:numId w:val="4"/>
        </w:numPr>
        <w:rPr>
          <w:rFonts w:ascii="Courier New" w:cs="Courier New" w:eastAsia="Courier New" w:hAnsi="Courier New"/>
          <w:sz w:val="19"/>
          <w:szCs w:val="19"/>
          <w:color w:val="auto"/>
        </w:rPr>
      </w:pPr>
      <w:r>
        <w:rPr>
          <w:rFonts w:ascii="Arial" w:cs="Arial" w:eastAsia="Arial" w:hAnsi="Arial"/>
          <w:sz w:val="19"/>
          <w:szCs w:val="19"/>
          <w:color w:val="auto"/>
        </w:rPr>
        <w:t>In October 2021, dosed first patient in the Phase 1/2 ASPEN-05 study evaluating the combination of evorpacept with venetoclax and azacitidine for the treatment of patients with AML. The Phase 1 portion will characterize the dose of evorpacept in combination with venetoclax and azacitidine for the treatment of patients with relapsed/refractory AML and previously untreated AML who are not candidates for intensive induction therapy.</w:t>
      </w:r>
    </w:p>
    <w:p>
      <w:pPr>
        <w:spacing w:after="0" w:line="174" w:lineRule="exact"/>
        <w:rPr>
          <w:rFonts w:ascii="Courier New" w:cs="Courier New" w:eastAsia="Courier New" w:hAnsi="Courier New"/>
          <w:sz w:val="19"/>
          <w:szCs w:val="19"/>
          <w:color w:val="auto"/>
        </w:rPr>
      </w:pPr>
    </w:p>
    <w:p>
      <w:pPr>
        <w:ind w:left="420" w:right="140" w:hanging="412"/>
        <w:spacing w:after="0" w:line="267" w:lineRule="auto"/>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First Patient Dosed in Phase 1b/2 Clinical Trial of Zanidatamab and Evorpacept in Patients with Advanced HER2-Expressing Breast Cancer and Other Solid Tumors</w:t>
      </w:r>
    </w:p>
    <w:p>
      <w:pPr>
        <w:spacing w:after="0" w:line="169" w:lineRule="exact"/>
        <w:rPr>
          <w:rFonts w:ascii="Arial" w:cs="Arial" w:eastAsia="Arial" w:hAnsi="Arial"/>
          <w:sz w:val="20"/>
          <w:szCs w:val="20"/>
          <w:color w:val="auto"/>
        </w:rPr>
      </w:pPr>
    </w:p>
    <w:p>
      <w:pPr>
        <w:ind w:left="1280" w:hanging="422"/>
        <w:spacing w:after="0"/>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October 2021, Zymeworks and ALX Oncology dosed the first patient in an open-label, multi-center Phase 1b/2 clinical trial to evaluate the safety and efficacy of zanidatamab, Zymeworks’ lead HER2-targeted bispecific antibody, in combination with evorpacept in patients with advanced HER2-positive breast cancer, HER2-low breast cancer and additional non-breast HER2-expressing solid tumors.</w:t>
      </w:r>
    </w:p>
    <w:p>
      <w:pPr>
        <w:spacing w:after="0" w:line="190" w:lineRule="exact"/>
        <w:rPr>
          <w:rFonts w:ascii="Courier New" w:cs="Courier New" w:eastAsia="Courier New" w:hAnsi="Courier New"/>
          <w:sz w:val="20"/>
          <w:szCs w:val="20"/>
          <w:color w:val="auto"/>
        </w:rPr>
      </w:pPr>
    </w:p>
    <w:p>
      <w:pPr>
        <w:ind w:left="420" w:right="360" w:hanging="412"/>
        <w:spacing w:after="0" w:line="267" w:lineRule="auto"/>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Initiation of a Phase 1/2 Investigator-Sponsored Trial of Evorpacept in Patients with Indolent and Aggressive Non-Hodgkin Lymphoma (“NHL”)</w:t>
      </w:r>
    </w:p>
    <w:p>
      <w:pPr>
        <w:spacing w:after="0" w:line="169" w:lineRule="exact"/>
        <w:rPr>
          <w:rFonts w:ascii="Arial" w:cs="Arial" w:eastAsia="Arial" w:hAnsi="Arial"/>
          <w:sz w:val="20"/>
          <w:szCs w:val="20"/>
          <w:color w:val="auto"/>
        </w:rPr>
      </w:pPr>
    </w:p>
    <w:p>
      <w:pPr>
        <w:ind w:left="1280" w:hanging="422"/>
        <w:spacing w:after="0"/>
        <w:tabs>
          <w:tab w:leader="none" w:pos="12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In September 2021, initiated a Phase 1/2 investigator-sponsored trial of evorpacept in combination with rituximab and lenalidomide for the treatment of patients with indolent and aggressive NHL. The study is being led by Dr. Paolo Strati at the University of Texas M.D. Anderson Cancer Center, one of the largest multidisciplinary programs in the U.S. for treating NHL.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Corporate Updates</w:t>
      </w:r>
    </w:p>
    <w:p>
      <w:pPr>
        <w:spacing w:after="0" w:line="21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Acquisition of ScalmiBio Expands ALX Oncology’s Immuno-Oncology Pipeline</w:t>
      </w:r>
    </w:p>
    <w:p>
      <w:pPr>
        <w:spacing w:after="0" w:line="222" w:lineRule="exact"/>
        <w:rPr>
          <w:sz w:val="20"/>
          <w:szCs w:val="20"/>
          <w:color w:val="auto"/>
        </w:rPr>
      </w:pPr>
    </w:p>
    <w:p>
      <w:pPr>
        <w:ind w:left="1280" w:right="20" w:hanging="422"/>
        <w:spacing w:after="0" w:line="239" w:lineRule="auto"/>
        <w:tabs>
          <w:tab w:leader="none" w:pos="1280" w:val="left"/>
        </w:tabs>
        <w:numPr>
          <w:ilvl w:val="0"/>
          <w:numId w:val="6"/>
        </w:numPr>
        <w:rPr>
          <w:rFonts w:ascii="Courier New" w:cs="Courier New" w:eastAsia="Courier New" w:hAnsi="Courier New"/>
          <w:sz w:val="20"/>
          <w:szCs w:val="20"/>
          <w:color w:val="auto"/>
        </w:rPr>
      </w:pPr>
      <w:r>
        <w:rPr>
          <w:rFonts w:ascii="Arial" w:cs="Arial" w:eastAsia="Arial" w:hAnsi="Arial"/>
          <w:sz w:val="20"/>
          <w:szCs w:val="20"/>
          <w:color w:val="auto"/>
        </w:rPr>
        <w:t>In October 2021, ALX Oncology acquired ScalmiBio thus further expanding its pipeline with plans to develop novel antibody-drug conjugates (“ADCs”) based on ScalmiBio’s SHIELD platform. These new molecules will be designed to address unmet cancer patient needs as stand-alone therapeutics and in combination with evorpacept. ScalmiBio’s SHIELD technology is designed to minimize interaction of an antibody therapeutic with normal tissue and maximize its target binding capability within the tumor microenvironment. ScalmiBio’s conditional activation technology aims to increase the therapeutic index by minimizing dose-limiting toxicities of existing checkpoint inhibitors and other targeted anti-cancer biologics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 w:name="page6"/>
    <w:bookmarkEnd w:id="5"/>
    <w:p>
      <w:pPr>
        <w:ind w:left="1280"/>
        <w:spacing w:after="0"/>
        <w:rPr>
          <w:sz w:val="20"/>
          <w:szCs w:val="20"/>
          <w:color w:val="auto"/>
        </w:rPr>
      </w:pPr>
      <w:r>
        <w:rPr>
          <w:rFonts w:ascii="Arial" w:cs="Arial" w:eastAsia="Arial" w:hAnsi="Arial"/>
          <w:sz w:val="20"/>
          <w:szCs w:val="20"/>
          <w:color w:val="auto"/>
        </w:rPr>
        <w:t>well as enabling the design of ADCs with higher drug-to-antibody ratios for improved anti-cancer activity.</w:t>
      </w:r>
    </w:p>
    <w:p>
      <w:pPr>
        <w:spacing w:after="0" w:line="230" w:lineRule="exact"/>
        <w:rPr>
          <w:sz w:val="20"/>
          <w:szCs w:val="20"/>
          <w:color w:val="auto"/>
        </w:rPr>
      </w:pPr>
    </w:p>
    <w:p>
      <w:pPr>
        <w:ind w:left="1280" w:right="60" w:hanging="422"/>
        <w:spacing w:after="0"/>
        <w:tabs>
          <w:tab w:leader="none" w:pos="1280" w:val="left"/>
        </w:tabs>
        <w:numPr>
          <w:ilvl w:val="0"/>
          <w:numId w:val="7"/>
        </w:numPr>
        <w:rPr>
          <w:rFonts w:ascii="Courier New" w:cs="Courier New" w:eastAsia="Courier New" w:hAnsi="Courier New"/>
          <w:sz w:val="20"/>
          <w:szCs w:val="20"/>
          <w:color w:val="auto"/>
        </w:rPr>
      </w:pPr>
      <w:r>
        <w:rPr>
          <w:rFonts w:ascii="Arial" w:cs="Arial" w:eastAsia="Arial" w:hAnsi="Arial"/>
          <w:sz w:val="20"/>
          <w:szCs w:val="20"/>
          <w:color w:val="auto"/>
        </w:rPr>
        <w:t>Under the terms of the share purchase agreement, ALX Oncology made an initial payment to the stockholders of ScalmiBio at closing on October 4, 2021 of approximately $4.5 million in cash, net of certain expenses and adjustments, and will make an additional payment of $2.0 million in cash at the one-year anniversary of the transaction subject to certain conditions. In addition, ALX Oncology has agreed to pay certain milestones based on the clinical development of the acquired ScalmiBio technology and a low single digit royalty on net sales of any products developed from the ScalmiBio acquired technology for a defined term.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2021 Financial Results:</w:t>
      </w:r>
    </w:p>
    <w:p>
      <w:pPr>
        <w:spacing w:after="0" w:line="211" w:lineRule="exact"/>
        <w:rPr>
          <w:sz w:val="20"/>
          <w:szCs w:val="20"/>
          <w:color w:val="auto"/>
        </w:rPr>
      </w:pPr>
    </w:p>
    <w:p>
      <w:pPr>
        <w:ind w:left="420" w:right="300" w:hanging="412"/>
        <w:spacing w:after="0" w:line="267" w:lineRule="auto"/>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and cash equivalents as of September 30, 2021 were $385.1 million. ALX Oncology believes its</w:t>
      </w:r>
      <w:r>
        <w:rPr>
          <w:rFonts w:ascii="Arial" w:cs="Arial" w:eastAsia="Arial" w:hAnsi="Arial"/>
          <w:sz w:val="20"/>
          <w:szCs w:val="20"/>
          <w:b w:val="1"/>
          <w:bCs w:val="1"/>
          <w:color w:val="auto"/>
        </w:rPr>
        <w:t xml:space="preserve"> </w:t>
      </w:r>
      <w:r>
        <w:rPr>
          <w:rFonts w:ascii="Arial" w:cs="Arial" w:eastAsia="Arial" w:hAnsi="Arial"/>
          <w:sz w:val="20"/>
          <w:szCs w:val="20"/>
          <w:color w:val="auto"/>
        </w:rPr>
        <w:t>cash and cash equivalents is sufficient to fund planned operations through 2024.</w:t>
      </w:r>
    </w:p>
    <w:p>
      <w:pPr>
        <w:spacing w:after="0" w:line="163" w:lineRule="exact"/>
        <w:rPr>
          <w:rFonts w:ascii="Arial" w:cs="Arial" w:eastAsia="Arial" w:hAnsi="Arial"/>
          <w:sz w:val="20"/>
          <w:szCs w:val="20"/>
          <w:color w:val="auto"/>
        </w:rPr>
      </w:pPr>
    </w:p>
    <w:p>
      <w:pPr>
        <w:ind w:left="420" w:right="140" w:hanging="412"/>
        <w:spacing w:after="0" w:line="262" w:lineRule="auto"/>
        <w:tabs>
          <w:tab w:leader="none" w:pos="42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Generally accepted accounting principles (GAAP) net loss attributable to common stockholders was $24.6 million, or $0.61</w:t>
      </w:r>
      <w:r>
        <w:rPr>
          <w:rFonts w:ascii="Arial" w:cs="Arial" w:eastAsia="Arial" w:hAnsi="Arial"/>
          <w:sz w:val="19"/>
          <w:szCs w:val="19"/>
          <w:b w:val="1"/>
          <w:bCs w:val="1"/>
          <w:color w:val="auto"/>
        </w:rPr>
        <w:t xml:space="preserve"> </w:t>
      </w:r>
      <w:r>
        <w:rPr>
          <w:rFonts w:ascii="Arial" w:cs="Arial" w:eastAsia="Arial" w:hAnsi="Arial"/>
          <w:sz w:val="19"/>
          <w:szCs w:val="19"/>
          <w:color w:val="auto"/>
        </w:rPr>
        <w:t>per basic and diluted share and $10.8 million, or $0.36 per basic and diluted share for the three months ended September 30, 2021, and 2020, respectively. Non-GAAP net loss attributable to common stockholders was $20.4 million for the three months ended September 30, 2021, as compared to $9.7 million for the three months ended September 30, 2020. A reconciliation of GAAP to non-GAAP financial results can be found at the end of this news release.</w:t>
      </w:r>
    </w:p>
    <w:p>
      <w:pPr>
        <w:spacing w:after="0" w:line="170" w:lineRule="exact"/>
        <w:rPr>
          <w:rFonts w:ascii="Arial" w:cs="Arial" w:eastAsia="Arial" w:hAnsi="Arial"/>
          <w:sz w:val="19"/>
          <w:szCs w:val="19"/>
          <w:color w:val="auto"/>
        </w:rPr>
      </w:pPr>
    </w:p>
    <w:p>
      <w:pPr>
        <w:ind w:left="420" w:hanging="412"/>
        <w:spacing w:after="0" w:line="256" w:lineRule="auto"/>
        <w:tabs>
          <w:tab w:leader="none" w:pos="42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R&amp;D expenses consist primarily of pre-clinical, clinical and manufacturing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the development of our current lead product candidate, evorpacept. These expenses for the three months ended September 30, 2021, were $18.2 million compared to $5.3 million for the prior-year period. The increase of $12.9 million was primarily attributable to an increase of $10.0 million in clinical and development costs due to $8.7 million higher expenses associated with increased clinical costs mainly associated with higher number of active clinical trials and increased patient enrollment and other research costs in advancement of our current lead product candidate, evorpacept, $0.8 million related to collaborations, of which $0.6 million was related to the Tallac Collaboration, and $0.3 million related regulatory consulting expenses; an increase of $1.9 million in stock-based compensation expense mainly due to additional stock option awards granted in 2021 at higher fair values and negative stock-based compensation expense due to a reduction recorded in corresponding prior period; and an increase of $0.9 million in personnel expense driven by headcount growth.</w:t>
      </w:r>
    </w:p>
    <w:p>
      <w:pPr>
        <w:spacing w:after="0" w:line="180" w:lineRule="exact"/>
        <w:rPr>
          <w:rFonts w:ascii="Arial" w:cs="Arial" w:eastAsia="Arial" w:hAnsi="Arial"/>
          <w:sz w:val="19"/>
          <w:szCs w:val="19"/>
          <w:color w:val="auto"/>
        </w:rPr>
      </w:pPr>
    </w:p>
    <w:p>
      <w:pPr>
        <w:ind w:left="420" w:right="240" w:hanging="412"/>
        <w:spacing w:after="0" w:line="260" w:lineRule="auto"/>
        <w:tabs>
          <w:tab w:leader="none" w:pos="420"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consist primarily of administrative employee-related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legal and other professional fees, patent filing and maintenance fees, and insurance. These expenses for the three months ended September 30, 2021, were $6.4 million compared to $4.5 million for the prior-year period. The increase of $1.9 million was primarily attributable to an increase of $1.6 million in stock-based compensation driven by additional stock option awards granted in 2021 at higher fair values, with the remaining increase due to other general and administrative costs including corporate legal fees, general business insurance fees, and SOX 404 compliance expenses.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(also known as ALX148), is a next-generation CD47 blocking therapeutic that combines a high-affinity CD47 binding domain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300"/>
        <w:spacing w:after="0" w:line="246" w:lineRule="auto"/>
        <w:rPr>
          <w:sz w:val="20"/>
          <w:szCs w:val="20"/>
          <w:color w:val="auto"/>
        </w:rPr>
      </w:pPr>
      <w:r>
        <w:rPr>
          <w:rFonts w:ascii="Arial" w:cs="Arial" w:eastAsia="Arial" w:hAnsi="Arial"/>
          <w:sz w:val="20"/>
          <w:szCs w:val="20"/>
          <w:color w:val="auto"/>
        </w:rPr>
        <w:t>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malignances, including acute myeloid leukemia and myelodysplastic syndromes.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 Oncology’s clinical pipeline, including the timing of clinical trial initiations and data releases, and the expectations regarding the beneficial characteristics, safety, efficacy and therapeutic effects of evorpacept. These and other risks are described more fully in ALX Oncology’s filings with the Securities and Exchange Commission (“SEC”), including ALX Oncology’s Annual Report on Form 10-K, filed with the SEC on March 18, 2021,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(0.61)</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used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compute net loss per share attributable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40,396,188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29,664,122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40,234,159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12,052,876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60" w:type="dxa"/>
            <w:vAlign w:val="bottom"/>
            <w:tcBorders>
              <w:bottom w:val="single" w:sz="8" w:color="CFF0FC"/>
            </w:tcBorders>
          </w:tcPr>
          <w:p>
            <w:pPr>
              <w:spacing w:after="0"/>
              <w:rPr>
                <w:sz w:val="20"/>
                <w:szCs w:val="20"/>
                <w:color w:val="auto"/>
              </w:rPr>
            </w:pPr>
          </w:p>
        </w:tc>
        <w:tc>
          <w:tcPr>
            <w:tcW w:w="46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385,149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399,728</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385,172</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429,845</w:t>
            </w:r>
          </w:p>
        </w:tc>
        <w:tc>
          <w:tcPr>
            <w:tcW w:w="120" w:type="dxa"/>
            <w:vAlign w:val="bottom"/>
          </w:tcPr>
          <w:p>
            <w:pPr>
              <w:spacing w:after="0"/>
              <w:rPr>
                <w:sz w:val="20"/>
                <w:szCs w:val="20"/>
                <w:color w:val="auto"/>
              </w:rPr>
            </w:pPr>
          </w:p>
        </w:tc>
      </w:tr>
      <w:tr>
        <w:trPr>
          <w:trHeight w:val="444"/>
        </w:trPr>
        <w:tc>
          <w:tcPr>
            <w:tcW w:w="3060" w:type="dxa"/>
            <w:vAlign w:val="bottom"/>
          </w:tcPr>
          <w:p>
            <w:pPr>
              <w:spacing w:after="0"/>
              <w:rPr>
                <w:sz w:val="24"/>
                <w:szCs w:val="24"/>
                <w:color w:val="auto"/>
              </w:rPr>
            </w:pPr>
          </w:p>
        </w:tc>
        <w:tc>
          <w:tcPr>
            <w:tcW w:w="48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GAAP to Non-GAAP Reconciliation</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84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(unaudited)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48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(in thousands)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GAAP net loss attributable to common stockholders, as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reported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(24,566)</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(10,759)</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(55,025)</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(32,168)</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FF0FC"/>
          </w:tcPr>
          <w:p>
            <w:pPr>
              <w:spacing w:after="0"/>
              <w:rPr>
                <w:sz w:val="19"/>
                <w:szCs w:val="19"/>
                <w:color w:val="auto"/>
              </w:rPr>
            </w:pPr>
          </w:p>
        </w:tc>
      </w:tr>
      <w:tr>
        <w:trPr>
          <w:trHeight w:val="257"/>
        </w:trPr>
        <w:tc>
          <w:tcPr>
            <w:tcW w:w="584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adjustment on financial instruments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r>
      <w:tr>
        <w:trPr>
          <w:trHeight w:val="250"/>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2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FF0FC"/>
            </w:tcBorders>
          </w:tcPr>
          <w:p>
            <w:pPr>
              <w:spacing w:after="0"/>
              <w:rPr>
                <w:sz w:val="21"/>
                <w:szCs w:val="2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loss attributable to common stockholders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7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“Non-GAAP net loss attributable to common stockholders” is not based on any standardized methodology prescribed by GAAP and represent GAAP net loss adjusted to exclude (1) stock-based compensation expense, (2) accretion of term loan (interest expense related to ALX Oncology’s amortization of debt discount) and (3) mark-to-market adjustment on financial instruments (which include preferred stock warrants and derivatives). Non-GAAP financial measures used by ALX Oncology may be calculated differently from, and therefore may not be comparable to, non-GAAP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Investor Contact: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ALX Oncology</w:t>
      </w:r>
    </w:p>
    <w:p>
      <w:pPr>
        <w:spacing w:after="0" w:line="23" w:lineRule="exact"/>
        <w:rPr>
          <w:sz w:val="20"/>
          <w:szCs w:val="20"/>
          <w:color w:val="auto"/>
        </w:rPr>
      </w:pPr>
    </w:p>
    <w:p>
      <w:pPr>
        <w:jc w:val="both"/>
        <w:ind w:right="8179"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alx@macbiocom.com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650"/>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2021-11-12T10:23:54Z</dcterms:created>
  <dcterms:modified xsi:type="dcterms:W3CDTF">2021-11-12T10:23:54Z</dcterms:modified>
</cp:coreProperties>
</file>