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Graham G. Walmsley</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LOGOS GLOBAL MANAGEMENT, LP</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LETTERMAN DRIVE, BLDG D, SUITE D3-700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37"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ALX ONCOLOGY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 xml:space="preserve">ALXO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06/11/2021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4" w:lineRule="exact"/>
        <w:rPr>
          <w:sz w:val="24"/>
          <w:szCs w:val="24"/>
          <w:color w:val="auto"/>
        </w:rPr>
      </w:pPr>
    </w:p>
    <w:p>
      <w:pPr>
        <w:sectPr>
          <w:pgSz w:w="11900" w:h="16838" w:orient="portrait"/>
          <w:cols w:equalWidth="0" w:num="3">
            <w:col w:w="3620" w:space="300"/>
            <w:col w:w="3260" w:space="560"/>
            <w:col w:w="3340"/>
          </w:cols>
          <w:pgMar w:left="460" w:top="221" w:right="359" w:bottom="1440" w:gutter="0" w:footer="0" w:header="0"/>
          <w:type w:val="continuous"/>
        </w:sectPr>
      </w:pPr>
    </w:p>
    <w:p>
      <w:pPr>
        <w:spacing w:after="0" w:line="14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3" w:lineRule="exact"/>
        <w:rPr>
          <w:sz w:val="24"/>
          <w:szCs w:val="24"/>
          <w:color w:val="auto"/>
        </w:rPr>
      </w:pPr>
    </w:p>
    <w:p>
      <w:pPr>
        <w:ind w:left="120" w:right="220"/>
        <w:spacing w:after="0"/>
        <w:rPr>
          <w:sz w:val="20"/>
          <w:szCs w:val="20"/>
          <w:color w:val="auto"/>
        </w:rPr>
      </w:pPr>
      <w:r>
        <w:rPr>
          <w:rFonts w:ascii="Arial" w:cs="Arial" w:eastAsia="Arial" w:hAnsi="Arial"/>
          <w:sz w:val="33"/>
          <w:szCs w:val="33"/>
          <w:color w:val="0000FF"/>
          <w:vertAlign w:val="superscript"/>
        </w:rPr>
        <w:t>SAN</w:t>
      </w:r>
      <w:r>
        <w:rPr>
          <w:rFonts w:ascii="Arial" w:cs="Arial" w:eastAsia="Arial" w:hAnsi="Arial"/>
          <w:sz w:val="17"/>
          <w:szCs w:val="17"/>
          <w:color w:val="0000FF"/>
        </w:rPr>
        <w:t xml:space="preserve"> CA 94129 FRANCISCO</w:t>
      </w:r>
    </w:p>
    <w:p>
      <w:pPr>
        <w:spacing w:after="0" w:line="35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1" w:lineRule="exact"/>
        <w:rPr>
          <w:sz w:val="24"/>
          <w:szCs w:val="24"/>
          <w:color w:val="auto"/>
        </w:rPr>
      </w:pPr>
    </w:p>
    <w:p>
      <w:pPr>
        <w:sectPr>
          <w:pgSz w:w="11900" w:h="16838" w:orient="portrait"/>
          <w:cols w:equalWidth="0" w:num="2">
            <w:col w:w="3200" w:space="72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59.66</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06/11/2021</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12,004</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06/10/2031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12,004</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rPr>
                <w:sz w:val="20"/>
                <w:szCs w:val="20"/>
                <w:color w:val="auto"/>
              </w:rPr>
            </w:pPr>
            <w:r>
              <w:rPr>
                <w:rFonts w:ascii="Arial" w:cs="Arial" w:eastAsia="Arial" w:hAnsi="Arial"/>
                <w:sz w:val="13"/>
                <w:szCs w:val="13"/>
                <w:color w:val="0000FF"/>
              </w:rPr>
              <w:t>12,004</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1. Shares subject to the option vest in 12 equal monthly installments on the same day of the month as the grant date, or if earlier, the day immediately before the day of the next annual meeting of stockholders.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06/15/2021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751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2021-06-15T18:05:24Z</dcterms:created>
  <dcterms:modified xsi:type="dcterms:W3CDTF">2021-06-15T18:05:24Z</dcterms:modified>
</cp:coreProperties>
</file>