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6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Lettmann Jason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67"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LSV CAPITAL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MANAGEMENT, LLC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2884 SAND HILL ROAD,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121</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Arial" w:cs="Arial" w:eastAsia="Arial" w:hAnsi="Arial"/>
                <w:sz w:val="20"/>
                <w:szCs w:val="20"/>
                <w:color w:val="0000FF"/>
              </w:rPr>
              <w:t>MENLO</w:t>
            </w:r>
          </w:p>
        </w:tc>
        <w:tc>
          <w:tcPr>
            <w:tcW w:w="800" w:type="dxa"/>
            <w:vAlign w:val="bottom"/>
            <w:vMerge w:val="restart"/>
          </w:tcPr>
          <w:p>
            <w:pPr>
              <w:ind w:left="16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94025</w:t>
            </w:r>
          </w:p>
        </w:tc>
        <w:tc>
          <w:tcPr>
            <w:tcW w:w="0" w:type="dxa"/>
            <w:vAlign w:val="bottom"/>
          </w:tcPr>
          <w:p>
            <w:pPr>
              <w:spacing w:after="0"/>
              <w:rPr>
                <w:sz w:val="1"/>
                <w:szCs w:val="1"/>
                <w:color w:val="auto"/>
              </w:rPr>
            </w:pPr>
          </w:p>
        </w:tc>
      </w:tr>
      <w:tr>
        <w:trPr>
          <w:trHeight w:val="128"/>
        </w:trPr>
        <w:tc>
          <w:tcPr>
            <w:tcW w:w="900" w:type="dxa"/>
            <w:vAlign w:val="bottom"/>
            <w:vMerge w:val="restart"/>
          </w:tcPr>
          <w:p>
            <w:pPr>
              <w:ind w:left="40"/>
              <w:spacing w:after="0"/>
              <w:rPr>
                <w:sz w:val="20"/>
                <w:szCs w:val="20"/>
                <w:color w:val="auto"/>
              </w:rPr>
            </w:pPr>
            <w:r>
              <w:rPr>
                <w:rFonts w:ascii="Arial" w:cs="Arial" w:eastAsia="Arial" w:hAnsi="Arial"/>
                <w:sz w:val="20"/>
                <w:szCs w:val="20"/>
                <w:color w:val="0000FF"/>
              </w:rPr>
              <w:t>PARK</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6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559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59371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78,175</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96"/>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8"/>
              <w:spacing w:after="0"/>
              <w:rPr>
                <w:sz w:val="20"/>
                <w:szCs w:val="20"/>
                <w:color w:val="auto"/>
              </w:rPr>
            </w:pPr>
            <w:r>
              <w:rPr>
                <w:rFonts w:ascii="Arial" w:cs="Arial" w:eastAsia="Arial" w:hAnsi="Arial"/>
                <w:sz w:val="20"/>
                <w:szCs w:val="20"/>
                <w:color w:val="0000FF"/>
                <w:w w:val="87"/>
              </w:rPr>
              <w:t>1,633,743</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222,752</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683,523</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39,758</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59,998</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7"/>
              </w:rPr>
              <w:t>8,175</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150,801</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11,110</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10,529</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96"/>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96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6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-4001770</wp:posOffset>
            </wp:positionV>
            <wp:extent cx="6927850" cy="4002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2405"/>
                    </a:xfrm>
                    <a:prstGeom prst="rect">
                      <a:avLst/>
                    </a:prstGeom>
                    <a:noFill/>
                  </pic:spPr>
                </pic:pic>
              </a:graphicData>
            </a:graphic>
          </wp:anchor>
        </w:drawing>
      </w:r>
    </w:p>
    <w:p>
      <w:pPr>
        <w:sectPr>
          <w:pgSz w:w="11900" w:h="16838" w:orient="portrait"/>
          <w:cols w:equalWidth="0" w:num="1">
            <w:col w:w="10940"/>
          </w:cols>
          <w:pgMar w:left="480" w:top="236" w:right="479" w:bottom="16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11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281114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32"/>
              <w:spacing w:after="0"/>
              <w:rPr>
                <w:sz w:val="20"/>
                <w:szCs w:val="20"/>
                <w:color w:val="auto"/>
              </w:rPr>
            </w:pPr>
            <w:r>
              <w:rPr>
                <w:rFonts w:ascii="Arial" w:cs="Arial" w:eastAsia="Arial" w:hAnsi="Arial"/>
                <w:sz w:val="20"/>
                <w:szCs w:val="20"/>
                <w:color w:val="0000FF"/>
                <w:w w:val="88"/>
              </w:rPr>
              <w:t>137,286</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32"/>
              <w:spacing w:after="0"/>
              <w:rPr>
                <w:sz w:val="20"/>
                <w:szCs w:val="20"/>
                <w:color w:val="auto"/>
              </w:rPr>
            </w:pPr>
            <w:r>
              <w:rPr>
                <w:rFonts w:ascii="Arial" w:cs="Arial" w:eastAsia="Arial" w:hAnsi="Arial"/>
                <w:sz w:val="20"/>
                <w:szCs w:val="20"/>
                <w:color w:val="0000FF"/>
                <w:w w:val="84"/>
              </w:rPr>
              <w:t>18,705</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32"/>
              <w:spacing w:after="0"/>
              <w:rPr>
                <w:sz w:val="20"/>
                <w:szCs w:val="20"/>
                <w:color w:val="auto"/>
              </w:rPr>
            </w:pPr>
            <w:r>
              <w:rPr>
                <w:rFonts w:ascii="Arial" w:cs="Arial" w:eastAsia="Arial" w:hAnsi="Arial"/>
                <w:sz w:val="20"/>
                <w:szCs w:val="20"/>
                <w:color w:val="0000FF"/>
                <w:w w:val="88"/>
              </w:rPr>
              <w:t>664,660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32"/>
              <w:spacing w:after="0"/>
              <w:rPr>
                <w:sz w:val="20"/>
                <w:szCs w:val="20"/>
                <w:color w:val="auto"/>
              </w:rPr>
            </w:pPr>
            <w:r>
              <w:rPr>
                <w:rFonts w:ascii="Arial" w:cs="Arial" w:eastAsia="Arial" w:hAnsi="Arial"/>
                <w:sz w:val="20"/>
                <w:szCs w:val="20"/>
                <w:color w:val="0000FF"/>
                <w:w w:val="84"/>
              </w:rPr>
              <w:t>38,660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4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A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20" w:right="4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shares held of record by Lightstone Ventures, LP (LV LP) for which LSV Associates, LLC (LSV Associates) is the General Partner. The reporting person shares voting and dispositive power with respect to the shares held of record by LV LP but disclaims beneficial ownership of such shares except to the extent of his individual pecuniary interest therein.</w:t>
      </w:r>
    </w:p>
    <w:p>
      <w:pPr>
        <w:spacing w:after="0" w:line="35" w:lineRule="exact"/>
        <w:rPr>
          <w:rFonts w:ascii="Arial" w:cs="Arial" w:eastAsia="Arial" w:hAnsi="Arial"/>
          <w:sz w:val="15"/>
          <w:szCs w:val="15"/>
          <w:color w:val="008000"/>
        </w:rPr>
      </w:pPr>
    </w:p>
    <w:p>
      <w:pPr>
        <w:ind w:left="20" w:right="14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shares held of record by Lightstone Ventures (A), LP (LV(A) LP) for which LSV Associates is the General Partner. The reporting person shares voting and dispositive power with respect to the shares held of record by LV(A) LP but disclaims beneficial ownership of such shares except to the extent of his individual pecuniary interest therein.</w:t>
      </w:r>
    </w:p>
    <w:p>
      <w:pPr>
        <w:spacing w:after="0" w:line="35" w:lineRule="exact"/>
        <w:rPr>
          <w:rFonts w:ascii="Arial" w:cs="Arial" w:eastAsia="Arial" w:hAnsi="Arial"/>
          <w:sz w:val="15"/>
          <w:szCs w:val="15"/>
          <w:color w:val="008000"/>
        </w:rPr>
      </w:pPr>
    </w:p>
    <w:p>
      <w:pPr>
        <w:ind w:left="20" w:right="6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Lightstone Ventures II, LP (LV II LP). As a managing director of LSV Associates II, LLC (LSV Associates II), the General Partner of LV II LP, the reporting person shares voting and dispositive power with respect to the shares held of record by LV II LP but disclaims beneficial ownership of such shares except to the extent of his individual pecuniary interest therein.</w:t>
      </w:r>
    </w:p>
    <w:p>
      <w:pPr>
        <w:spacing w:after="0" w:line="35" w:lineRule="exact"/>
        <w:rPr>
          <w:rFonts w:ascii="Arial" w:cs="Arial" w:eastAsia="Arial" w:hAnsi="Arial"/>
          <w:sz w:val="15"/>
          <w:szCs w:val="15"/>
          <w:color w:val="008000"/>
        </w:rPr>
      </w:pPr>
    </w:p>
    <w:p>
      <w:pPr>
        <w:ind w:left="20" w:right="20" w:firstLine="5"/>
        <w:spacing w:after="0" w:line="288"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held of record by Lightstone Ventures II, LP (LV II(A) LP). As a managing director of LSV Associates II, the reporting person shares voting and dispositive power with respect to the shares held of record by LV II(A) LP but disclaims beneficial ownership of such shares except to the extent of his individual pecuniary interest therein.</w:t>
      </w:r>
    </w:p>
    <w:p>
      <w:pPr>
        <w:spacing w:after="0" w:line="3" w:lineRule="exact"/>
        <w:rPr>
          <w:rFonts w:ascii="Arial" w:cs="Arial" w:eastAsia="Arial" w:hAnsi="Arial"/>
          <w:sz w:val="14"/>
          <w:szCs w:val="14"/>
          <w:color w:val="008000"/>
        </w:rPr>
      </w:pPr>
    </w:p>
    <w:p>
      <w:pPr>
        <w:ind w:left="20" w:right="4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B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20" w:right="4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C Convertible Preferred Stock shall automatically convert into Common Stock on a 1:1 basis immediately prior to the completion of the Issuer's initial public offering of Common Stock and has no expiration date.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Garica,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22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6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4" w:right="49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Peter Garcia and Steffen Pietzke, and each of them, as the undersigned's true and lawful attorney-in-fact to:</w:t>
      </w:r>
    </w:p>
    <w:p>
      <w:pPr>
        <w:spacing w:after="0" w:line="231" w:lineRule="exact"/>
        <w:rPr>
          <w:sz w:val="20"/>
          <w:szCs w:val="20"/>
          <w:color w:val="auto"/>
        </w:rPr>
      </w:pPr>
    </w:p>
    <w:p>
      <w:pPr>
        <w:ind w:left="1640" w:right="61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6" w:lineRule="exact"/>
        <w:rPr>
          <w:rFonts w:ascii="Courier New" w:cs="Courier New" w:eastAsia="Courier New" w:hAnsi="Courier New"/>
          <w:sz w:val="20"/>
          <w:szCs w:val="20"/>
          <w:color w:val="auto"/>
        </w:rPr>
      </w:pPr>
    </w:p>
    <w:p>
      <w:pPr>
        <w:ind w:left="1640" w:right="83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Jason Lettmann</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Jason Lettmann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88269"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2020-07-16T17:40:02Z</dcterms:created>
  <dcterms:modified xsi:type="dcterms:W3CDTF">2020-07-16T17:40:02Z</dcterms:modified>
</cp:coreProperties>
</file>