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20" w:hanging="4"/>
        <w:spacing w:after="0" w:line="287"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92"/>
              </w:rPr>
              <w:t>CUSIP No. 00166B105</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1</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2</w:t>
            </w:r>
          </w:p>
        </w:tc>
        <w:tc>
          <w:tcPr>
            <w:tcW w:w="26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Arial" w:cs="Arial" w:eastAsia="Arial" w:hAnsi="Arial"/>
                <w:sz w:val="25"/>
                <w:szCs w:val="25"/>
                <w:color w:val="auto"/>
                <w:w w:val="8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4</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2,266,000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2,266,000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9</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2,266,000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24"/>
              <w:spacing w:after="0"/>
              <w:rPr>
                <w:sz w:val="20"/>
                <w:szCs w:val="20"/>
                <w:color w:val="auto"/>
              </w:rPr>
            </w:pPr>
            <w:r>
              <w:rPr>
                <w:rFonts w:ascii="Arial" w:cs="Arial" w:eastAsia="Arial" w:hAnsi="Arial"/>
                <w:sz w:val="25"/>
                <w:szCs w:val="25"/>
                <w:color w:val="auto"/>
                <w:w w:val="93"/>
              </w:rPr>
              <w:t>10</w:t>
            </w:r>
          </w:p>
        </w:tc>
        <w:tc>
          <w:tcPr>
            <w:tcW w:w="260" w:type="dxa"/>
            <w:vAlign w:val="bottom"/>
            <w:tcBorders>
              <w:right w:val="single" w:sz="8" w:color="auto"/>
            </w:tcBorders>
          </w:tcPr>
          <w:p>
            <w:pPr>
              <w:spacing w:after="0"/>
              <w:rPr>
                <w:sz w:val="24"/>
                <w:szCs w:val="24"/>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6"/>
              </w:rPr>
              <w:t>11</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24"/>
              <w:spacing w:after="0"/>
              <w:rPr>
                <w:sz w:val="20"/>
                <w:szCs w:val="20"/>
                <w:color w:val="auto"/>
              </w:rPr>
            </w:pPr>
            <w:r>
              <w:rPr>
                <w:rFonts w:ascii="Arial" w:cs="Arial" w:eastAsia="Arial" w:hAnsi="Arial"/>
                <w:sz w:val="25"/>
                <w:szCs w:val="25"/>
                <w:color w:val="auto"/>
                <w:w w:val="93"/>
              </w:rPr>
              <w:t>12</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92"/>
              </w:rPr>
              <w:t>CUSIP No. 00166B105</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1</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2</w:t>
            </w:r>
          </w:p>
        </w:tc>
        <w:tc>
          <w:tcPr>
            <w:tcW w:w="26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Arial" w:cs="Arial" w:eastAsia="Arial" w:hAnsi="Arial"/>
                <w:sz w:val="25"/>
                <w:szCs w:val="25"/>
                <w:color w:val="auto"/>
                <w:w w:val="8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4</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605,000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605,000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9</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605,000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24"/>
              <w:spacing w:after="0"/>
              <w:rPr>
                <w:sz w:val="20"/>
                <w:szCs w:val="20"/>
                <w:color w:val="auto"/>
              </w:rPr>
            </w:pPr>
            <w:r>
              <w:rPr>
                <w:rFonts w:ascii="Arial" w:cs="Arial" w:eastAsia="Arial" w:hAnsi="Arial"/>
                <w:sz w:val="25"/>
                <w:szCs w:val="25"/>
                <w:color w:val="auto"/>
                <w:w w:val="93"/>
              </w:rPr>
              <w:t>10</w:t>
            </w:r>
          </w:p>
        </w:tc>
        <w:tc>
          <w:tcPr>
            <w:tcW w:w="260" w:type="dxa"/>
            <w:vAlign w:val="bottom"/>
            <w:tcBorders>
              <w:right w:val="single" w:sz="8" w:color="auto"/>
            </w:tcBorders>
          </w:tcPr>
          <w:p>
            <w:pPr>
              <w:spacing w:after="0"/>
              <w:rPr>
                <w:sz w:val="24"/>
                <w:szCs w:val="24"/>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6"/>
              </w:rPr>
              <w:t>11</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24"/>
              <w:spacing w:after="0"/>
              <w:rPr>
                <w:sz w:val="20"/>
                <w:szCs w:val="20"/>
                <w:color w:val="auto"/>
              </w:rPr>
            </w:pPr>
            <w:r>
              <w:rPr>
                <w:rFonts w:ascii="Arial" w:cs="Arial" w:eastAsia="Arial" w:hAnsi="Arial"/>
                <w:sz w:val="25"/>
                <w:szCs w:val="25"/>
                <w:color w:val="auto"/>
                <w:w w:val="93"/>
              </w:rPr>
              <w:t>12</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ALX Oncology Holdings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332 Allerton Avenue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$0.001 par value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2022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7"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Reporting Persons are holding 7.0%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W. Carter Neild, each of whom disclaims beneficial ownership of the Common Stock reported herein.</w:t>
      </w:r>
    </w:p>
    <w:p>
      <w:pPr>
        <w:spacing w:after="0" w:line="79" w:lineRule="exact"/>
        <w:rPr>
          <w:sz w:val="20"/>
          <w:szCs w:val="20"/>
          <w:color w:val="auto"/>
        </w:rPr>
      </w:pPr>
    </w:p>
    <w:p>
      <w:pPr>
        <w:ind w:left="580" w:hanging="566"/>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December 31, 2022 (the “Schedule 13G”), with respect to the Common Stock, $0.001 par value per share, of ALX Oncology Holdings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14, 2023.</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2023-02-14T15:36:21Z</dcterms:created>
  <dcterms:modified xsi:type="dcterms:W3CDTF">2023-02-14T15:36:21Z</dcterms:modified>
</cp:coreProperties>
</file>