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26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right"/>
              <w:ind w:right="2099"/>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16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59"/>
        </w:trPr>
        <w:tc>
          <w:tcPr>
            <w:tcW w:w="2640" w:type="dxa"/>
            <w:vAlign w:val="bottom"/>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4900" w:type="dxa"/>
            <w:vAlign w:val="bottom"/>
          </w:tcPr>
          <w:p>
            <w:pPr>
              <w:spacing w:after="0"/>
              <w:rPr>
                <w:sz w:val="13"/>
                <w:szCs w:val="13"/>
                <w:color w:val="auto"/>
              </w:rPr>
            </w:pPr>
          </w:p>
        </w:tc>
        <w:tc>
          <w:tcPr>
            <w:tcW w:w="1640" w:type="dxa"/>
            <w:vAlign w:val="bottom"/>
          </w:tcPr>
          <w:p>
            <w:pPr>
              <w:jc w:val="center"/>
              <w:ind w:left="5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2640" w:type="dxa"/>
            <w:vAlign w:val="bottom"/>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4900" w:type="dxa"/>
            <w:vAlign w:val="bottom"/>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640" w:type="dxa"/>
            <w:vAlign w:val="bottom"/>
          </w:tcPr>
          <w:p>
            <w:pPr>
              <w:jc w:val="center"/>
              <w:ind w:left="5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26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4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2"/>
        </w:trPr>
        <w:tc>
          <w:tcPr>
            <w:tcW w:w="2640" w:type="dxa"/>
            <w:vAlign w:val="bottom"/>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4900" w:type="dxa"/>
            <w:vAlign w:val="bottom"/>
          </w:tcPr>
          <w:p>
            <w:pPr>
              <w:spacing w:after="0"/>
              <w:rPr>
                <w:sz w:val="21"/>
                <w:szCs w:val="21"/>
                <w:color w:val="auto"/>
              </w:rPr>
            </w:pP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2640" w:type="dxa"/>
            <w:vAlign w:val="bottom"/>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4900" w:type="dxa"/>
            <w:vAlign w:val="bottom"/>
          </w:tcPr>
          <w:p>
            <w:pPr>
              <w:spacing w:after="0"/>
              <w:rPr>
                <w:sz w:val="16"/>
                <w:szCs w:val="16"/>
                <w:color w:val="auto"/>
              </w:rPr>
            </w:pPr>
          </w:p>
        </w:tc>
        <w:tc>
          <w:tcPr>
            <w:tcW w:w="1640" w:type="dxa"/>
            <w:vAlign w:val="bottom"/>
          </w:tcPr>
          <w:p>
            <w:pPr>
              <w:jc w:val="center"/>
              <w:ind w:left="504"/>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16"/>
        </w:trPr>
        <w:tc>
          <w:tcPr>
            <w:tcW w:w="2640" w:type="dxa"/>
            <w:vAlign w:val="bottom"/>
          </w:tcPr>
          <w:p>
            <w:pPr>
              <w:spacing w:after="0"/>
              <w:rPr>
                <w:sz w:val="24"/>
                <w:szCs w:val="24"/>
                <w:color w:val="auto"/>
              </w:rPr>
            </w:pPr>
          </w:p>
        </w:tc>
        <w:tc>
          <w:tcPr>
            <w:tcW w:w="4900" w:type="dxa"/>
            <w:vAlign w:val="bottom"/>
          </w:tcPr>
          <w:p>
            <w:pPr>
              <w:jc w:val="center"/>
              <w:ind w:right="299"/>
              <w:spacing w:after="0"/>
              <w:rPr>
                <w:sz w:val="20"/>
                <w:szCs w:val="20"/>
                <w:color w:val="auto"/>
              </w:rPr>
            </w:pPr>
            <w:r>
              <w:rPr>
                <w:rFonts w:ascii="Times New Roman" w:cs="Times New Roman" w:eastAsia="Times New Roman" w:hAnsi="Times New Roman"/>
                <w:sz w:val="18"/>
                <w:szCs w:val="18"/>
                <w:b w:val="1"/>
                <w:bCs w:val="1"/>
                <w:color w:val="auto"/>
                <w:w w:val="99"/>
              </w:rPr>
              <w:t>(650) 466-7125</w:t>
            </w:r>
          </w:p>
        </w:tc>
        <w:tc>
          <w:tcPr>
            <w:tcW w:w="1640" w:type="dxa"/>
            <w:vAlign w:val="bottom"/>
          </w:tcPr>
          <w:p>
            <w:pPr>
              <w:spacing w:after="0"/>
              <w:rPr>
                <w:sz w:val="24"/>
                <w:szCs w:val="24"/>
                <w:color w:val="auto"/>
              </w:rPr>
            </w:pPr>
          </w:p>
        </w:tc>
      </w:tr>
      <w:tr>
        <w:trPr>
          <w:trHeight w:val="222"/>
        </w:trPr>
        <w:tc>
          <w:tcPr>
            <w:tcW w:w="2640" w:type="dxa"/>
            <w:vAlign w:val="bottom"/>
          </w:tcPr>
          <w:p>
            <w:pPr>
              <w:spacing w:after="0"/>
              <w:rPr>
                <w:sz w:val="19"/>
                <w:szCs w:val="19"/>
                <w:color w:val="auto"/>
              </w:rPr>
            </w:pPr>
          </w:p>
        </w:tc>
        <w:tc>
          <w:tcPr>
            <w:tcW w:w="4900" w:type="dxa"/>
            <w:vAlign w:val="bottom"/>
          </w:tcPr>
          <w:p>
            <w:pPr>
              <w:jc w:val="center"/>
              <w:ind w:right="299"/>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640" w:type="dxa"/>
            <w:vAlign w:val="bottom"/>
          </w:tcPr>
          <w:p>
            <w:pPr>
              <w:spacing w:after="0"/>
              <w:rPr>
                <w:sz w:val="19"/>
                <w:szCs w:val="19"/>
                <w:color w:val="auto"/>
              </w:rPr>
            </w:pPr>
          </w:p>
        </w:tc>
      </w:tr>
      <w:tr>
        <w:trPr>
          <w:trHeight w:val="202"/>
        </w:trPr>
        <w:tc>
          <w:tcPr>
            <w:tcW w:w="2640" w:type="dxa"/>
            <w:vAlign w:val="bottom"/>
          </w:tcPr>
          <w:p>
            <w:pPr>
              <w:spacing w:after="0"/>
              <w:rPr>
                <w:sz w:val="17"/>
                <w:szCs w:val="17"/>
                <w:color w:val="auto"/>
              </w:rPr>
            </w:pPr>
          </w:p>
        </w:tc>
        <w:tc>
          <w:tcPr>
            <w:tcW w:w="490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N/A</w:t>
            </w:r>
          </w:p>
        </w:tc>
        <w:tc>
          <w:tcPr>
            <w:tcW w:w="1640" w:type="dxa"/>
            <w:vAlign w:val="bottom"/>
          </w:tcPr>
          <w:p>
            <w:pPr>
              <w:spacing w:after="0"/>
              <w:rPr>
                <w:sz w:val="17"/>
                <w:szCs w:val="17"/>
                <w:color w:val="auto"/>
              </w:rPr>
            </w:pPr>
          </w:p>
        </w:tc>
      </w:tr>
      <w:tr>
        <w:trPr>
          <w:trHeight w:val="178"/>
        </w:trPr>
        <w:tc>
          <w:tcPr>
            <w:tcW w:w="2640" w:type="dxa"/>
            <w:vAlign w:val="bottom"/>
          </w:tcPr>
          <w:p>
            <w:pPr>
              <w:spacing w:after="0"/>
              <w:rPr>
                <w:sz w:val="15"/>
                <w:szCs w:val="15"/>
                <w:color w:val="auto"/>
              </w:rPr>
            </w:pPr>
          </w:p>
        </w:tc>
        <w:tc>
          <w:tcPr>
            <w:tcW w:w="4900" w:type="dxa"/>
            <w:vAlign w:val="bottom"/>
          </w:tcPr>
          <w:p>
            <w:pPr>
              <w:jc w:val="center"/>
              <w:ind w:right="3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c>
          <w:tcPr>
            <w:tcW w:w="16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0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On December 22, 2023, ALX Oncology Holdings Inc. (the “Company”) and its indirectly wholly-owned subsidiary, ALX Oncology Inc. (“Borrower”) entered into the Third Amendment to Loan and Security Agreement (the “Third Amendment”) by and among the Company as a guarantor, the Borrower, Oxford Finance LLC ("Oxford”), as collateral agent (“Agent”), and the lenders party thereto. The Third Amendment amends the Loan Agreement, dated as of October 27, 2022, among Agent, the lenders party thereto (the “Lenders”), Borrower, Holdings and the other guarantors party thereto (as amended, the “Loan Agreement”).</w:t>
      </w:r>
    </w:p>
    <w:p>
      <w:pPr>
        <w:spacing w:after="0" w:line="75"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The Third Amendment amends the Loan Agreement to, among other things, (i) extend the draw period for the Term A Loans from December 31, 2023 to June 30, 2024, (ii) as a condition for the funding of any Term A Loans after the effective date of the Third Amendment, require that the Phase 2 portion of the ASPEN-06 study in gastric/gastroesophageal junction cancer either remains ongoing or the achievement of a milestone related to the development of the ASPEN-06 study, and (iii) include a contingency fee in the amount of $600,000 payable to the Lenders, in accordance with their pro rata shares, if Borrower prepays any of the loans under the Loan Agreement other than in connection with a refinancing of the Loan Agreement with the Lenders and their affiliates.</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Third Amendment does not purport to be complete and is qualified in its entirety by the terms and conditions of the Third Amendment, which is attached hereto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related to the Loan Agreement set forth in Item 1.01 above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gridSpan w:val="3"/>
            <w:vMerge w:val="restart"/>
          </w:tcPr>
          <w:p>
            <w:pPr>
              <w:ind w:left="4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Third Amendment to Loan and Security Agreement, dated as of December 22, 2023, among Oxford Finance LLC, as collateral agent, the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lenders party thereto, ALX Oncology Inc., as borrower, and ALX Oncology Holdings Inc., as guarantor</w:t>
            </w: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28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800" w:type="dxa"/>
            <w:vAlign w:val="bottom"/>
          </w:tcPr>
          <w:p>
            <w:pPr>
              <w:spacing w:after="0"/>
              <w:rPr>
                <w:sz w:val="24"/>
                <w:szCs w:val="24"/>
                <w:color w:val="auto"/>
              </w:rPr>
            </w:pPr>
          </w:p>
        </w:tc>
        <w:tc>
          <w:tcPr>
            <w:tcW w:w="7620" w:type="dxa"/>
            <w:vAlign w:val="bottom"/>
            <w:gridSpan w:val="3"/>
          </w:tcPr>
          <w:p>
            <w:pPr>
              <w:jc w:val="right"/>
              <w:ind w:right="2675"/>
              <w:spacing w:after="0"/>
              <w:rPr>
                <w:sz w:val="20"/>
                <w:szCs w:val="20"/>
                <w:color w:val="auto"/>
              </w:rPr>
            </w:pPr>
            <w:r>
              <w:rPr>
                <w:rFonts w:ascii="Times New Roman" w:cs="Times New Roman" w:eastAsia="Times New Roman" w:hAnsi="Times New Roman"/>
                <w:sz w:val="18"/>
                <w:szCs w:val="18"/>
                <w:color w:val="auto"/>
              </w:rPr>
              <w:t>1</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5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December 26, 2023</w:t>
      </w:r>
      <w:r>
        <w:rPr>
          <w:sz w:val="20"/>
          <w:szCs w:val="20"/>
          <w:color w:val="auto"/>
        </w:rPr>
        <w:tab/>
      </w: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LOAN AND SECURITY AGREEMENT</w:t>
      </w:r>
    </w:p>
    <w:p>
      <w:pPr>
        <w:spacing w:after="0" w:line="20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THIS THIRD AMENDMENT TO LOAN AND SECURITY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December 22, 2023, by and among OXFORD FINANCE LLC, a Delaware limited liability company with an office located at 115 South Union Street, Suite 300, Alexandria, VA 22314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as collateral agent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the Lenders party hereto including Oxford in its capacity as a Lender, OXFORD FINANCE CREDIT FUND II LP, by its manager Oxford Finance Advisors, LLC with an office located at 115 South Union Street, Suite 300, Alexandria, VA 22314, and SILICON VALLEY BANK, a division of First-Citizens Bank &amp; Trust Company, with an office located at 3003 Tasman Drive, Santa Clara, CA 95054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ALX ONCOLOGY INC., a Delaware corporation with offices located at 323 Allerton Avenue, South San Francisco, CA 94080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ALX ONCOLOGY HOLDINGS INC., a Delaware corporation with offices located at 323 Allerton Avenue, South San Francisco, CA 94080 (together with each other Person party hereto as a Guarantor, individually and collectively, jointly and severally,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757"/>
        <w:spacing w:after="0" w:line="258" w:lineRule="auto"/>
        <w:tabs>
          <w:tab w:leader="none" w:pos="11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Agent, Credit Parties and Lenders have entered into that certain Loan and Security Agreement dated as of October 27, 2022, as amended by that certain Consent and First Amendment to Loan and Security Agreement dated as of December 22, 2022, as amended by that certain Second Amendment to Loan and Security Agreement dated as of May 31, 2023, and as amended herein (as so amended and as further amended,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pursuant to which Lenders have provided to Borrower certain loans in accordance with the terms and conditions thereof.</w:t>
      </w:r>
    </w:p>
    <w:p>
      <w:pPr>
        <w:spacing w:after="0" w:line="183"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Parties, Collateral Agent and the Required Lenders desire to amend certain provisions of the Loan Agreement as provided herein and subject to the terms and conditions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covenants and agreements contained herein, and other good and valuable consideration, the receipt and adequacy of which are hereby acknowledged, Credit Parties, the Required Lenders and Collateral Agent hereby agree as follows:</w:t>
      </w:r>
    </w:p>
    <w:p>
      <w:pPr>
        <w:spacing w:after="0" w:line="15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but not defined in this Amendment shall have the meanings given to them in the Loan Agreement.</w:t>
      </w:r>
    </w:p>
    <w:p>
      <w:pPr>
        <w:spacing w:after="0" w:line="225"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Loan Agreement.</w:t>
      </w:r>
    </w:p>
    <w:p>
      <w:pPr>
        <w:spacing w:after="0" w:line="225" w:lineRule="exact"/>
        <w:rPr>
          <w:sz w:val="20"/>
          <w:szCs w:val="20"/>
          <w:color w:val="auto"/>
        </w:rPr>
      </w:pPr>
    </w:p>
    <w:p>
      <w:pPr>
        <w:ind w:left="7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Section 2.2(a) (Term Loans; Availability)</w:t>
      </w:r>
      <w:r>
        <w:rPr>
          <w:rFonts w:ascii="Times New Roman" w:cs="Times New Roman" w:eastAsia="Times New Roman" w:hAnsi="Times New Roman"/>
          <w:sz w:val="18"/>
          <w:szCs w:val="18"/>
          <w:color w:val="auto"/>
        </w:rPr>
        <w:t>. Section 2.2(a)(i) of the Loan Agreement is hereby amended and restated in its entirety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firstLine="749"/>
        <w:spacing w:after="0" w:line="218" w:lineRule="exact"/>
        <w:rPr>
          <w:sz w:val="20"/>
          <w:szCs w:val="20"/>
          <w:color w:val="auto"/>
        </w:rPr>
      </w:pPr>
      <w:r>
        <w:rPr>
          <w:rFonts w:ascii="Times New Roman" w:cs="Times New Roman" w:eastAsia="Times New Roman" w:hAnsi="Times New Roman"/>
          <w:sz w:val="18"/>
          <w:szCs w:val="18"/>
          <w:color w:val="auto"/>
        </w:rPr>
        <w:t xml:space="preserve">“(i) Subject to the terms and conditions of this Agreement, the Lenders agree, severally and not jointly, to make term loans to Borrower in an aggregate principal amount of up to Fifty Million Dollars ($50,000,000.00) to be disbursed in an amount equal to Ten Million Dollars ($10,000,000.00) on the Effective Date according to each Lender’s Term A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with the remaining amount available to be disbursed during the Term A Draw Period, in up to four (4) additional single advances according to each Lender’s Term A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on the Effective Date and thereafter are hereinafter referred to singly as a “</w:t>
      </w:r>
      <w:r>
        <w:rPr>
          <w:rFonts w:ascii="Times New Roman" w:cs="Times New Roman" w:eastAsia="Times New Roman" w:hAnsi="Times New Roman"/>
          <w:sz w:val="18"/>
          <w:szCs w:val="18"/>
          <w:b w:val="1"/>
          <w:bCs w:val="1"/>
          <w:color w:val="auto"/>
        </w:rPr>
        <w:t>Term A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A Loans</w:t>
      </w:r>
      <w:r>
        <w:rPr>
          <w:rFonts w:ascii="Times New Roman" w:cs="Times New Roman" w:eastAsia="Times New Roman" w:hAnsi="Times New Roman"/>
          <w:sz w:val="18"/>
          <w:szCs w:val="18"/>
          <w:color w:val="auto"/>
        </w:rPr>
        <w:t>”). Each disbursement of Term A Loans after the Effective Date shall be in an aggregate principal amount of at least Ten Million Dollars ($10,000,000.00) and, unless the entire remaining amount of the Term A Loan Commitment will be disbursed at such disbursement, in a denomination that is a whole number multiple of Ten Million Dollars ($10,000,000.00). After repayment, no Term A Loan may be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borrowed. If the Term A Draw Period terminates on June 30, 2024 pursuant to clause (i) of the definition of “Term A Draw Period”, one half of any remaining amount of the Term A Loan Commitment on June 30, 2024 shall be added to the Term B Loan Commitment (such additional amount, the “</w:t>
      </w:r>
      <w:r>
        <w:rPr>
          <w:rFonts w:ascii="Times New Roman" w:cs="Times New Roman" w:eastAsia="Times New Roman" w:hAnsi="Times New Roman"/>
          <w:sz w:val="18"/>
          <w:szCs w:val="18"/>
          <w:b w:val="1"/>
          <w:bCs w:val="1"/>
          <w:color w:val="auto"/>
        </w:rPr>
        <w:t>Additional Term B Loan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effective as of July 1, 2024 and one half of any remaining amount of the Term A Loan Commitment on June 30, 2024 shall be added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C Loan Commitment (such additional amount, the “</w:t>
      </w:r>
      <w:r>
        <w:rPr>
          <w:rFonts w:ascii="Times New Roman" w:cs="Times New Roman" w:eastAsia="Times New Roman" w:hAnsi="Times New Roman"/>
          <w:sz w:val="18"/>
          <w:szCs w:val="18"/>
          <w:b w:val="1"/>
          <w:bCs w:val="1"/>
          <w:color w:val="auto"/>
        </w:rPr>
        <w:t>Additional Term C Loan Commitment Amount</w:t>
      </w:r>
      <w:r>
        <w:rPr>
          <w:rFonts w:ascii="Times New Roman" w:cs="Times New Roman" w:eastAsia="Times New Roman" w:hAnsi="Times New Roman"/>
          <w:sz w:val="18"/>
          <w:szCs w:val="18"/>
          <w:color w:val="auto"/>
        </w:rPr>
        <w:t>”) effective as of July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76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Section 2.2(c) (Mandatory Prepayments)</w:t>
      </w:r>
      <w:r>
        <w:rPr>
          <w:rFonts w:ascii="Times New Roman" w:cs="Times New Roman" w:eastAsia="Times New Roman" w:hAnsi="Times New Roman"/>
          <w:sz w:val="18"/>
          <w:szCs w:val="18"/>
          <w:color w:val="auto"/>
        </w:rPr>
        <w:t>. Section 2.2(c) of the Loan Agreement is hereby amended and restated in its entirety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(iv) the Contingency Fee (if any), plus (v)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8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2.3 Section 2.2(d) (Permitted Prepayment of Term Loans)</w:t>
      </w:r>
      <w:r>
        <w:rPr>
          <w:rFonts w:ascii="Times New Roman" w:cs="Times New Roman" w:eastAsia="Times New Roman" w:hAnsi="Times New Roman"/>
          <w:sz w:val="18"/>
          <w:szCs w:val="18"/>
          <w:color w:val="auto"/>
        </w:rPr>
        <w:t>. Section 2.2(d) of the Loan Agreement is hereby amended and restated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as follows: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Permitted Prepayment of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254"/>
        <w:spacing w:after="0" w:line="255" w:lineRule="auto"/>
        <w:tabs>
          <w:tab w:leader="none" w:pos="25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the option to prepay all, but not less than all, of the Term Loans advanced by the Lenders under this Agreement, provided Borrower (i) provides written notice to Collateral Agent of its election to prepay the Term Loans at least ten (10) days prior to such prepayment (which notice may be conditioned upon the consummation of a financing or other events and may be revoked by Borrower in writing if such condition has not or will not occur on the proposed prepayment date),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(D) the Contingency Fee (if any), plus (E) all other Obligations that are due and payable, including Lenders’ Expenses and interest at the Default Rate with respect to any past due amounts.</w:t>
      </w:r>
    </w:p>
    <w:p>
      <w:pPr>
        <w:spacing w:after="0" w:line="188" w:lineRule="exact"/>
        <w:rPr>
          <w:rFonts w:ascii="Times New Roman" w:cs="Times New Roman" w:eastAsia="Times New Roman" w:hAnsi="Times New Roman"/>
          <w:sz w:val="18"/>
          <w:szCs w:val="18"/>
          <w:color w:val="auto"/>
        </w:rPr>
      </w:pPr>
    </w:p>
    <w:p>
      <w:pPr>
        <w:jc w:val="both"/>
        <w:ind w:firstLine="2254"/>
        <w:spacing w:after="0" w:line="253" w:lineRule="auto"/>
        <w:tabs>
          <w:tab w:leader="none" w:pos="25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Borrower shall also have the option to prepay part of Term Loans advanced by the Lenders under this Agreement, provided Borrower (i) provides written notice to Collateral Agent of its election to prepay the Term Loans at least ten (10) days prior to such prepayment (which notice may be conditioned upon the consummation of a financing or other events and may be revoked by Borrower in writing if such condition has not or will not occur on the proposed prepayment date), (ii) prepays such part of the Term Loans in a denomination that is a whole number multiple of Ten Million Dollars ($10,000,000.00), and (iii) pays to the Lenders on the date of such prepayment, payable to each Lender in accordance with its respective Pro Rata Share, an amount equal to the sum of (A) the portion of outstanding principal of such Term Loans plus all accrued and unpaid interest thereon through the prepayment date, (B) the applicable Final Payment, (C) all other Obligations that are then due and payable, including Lenders’ Expenses and interest at the Default Rate with respect to any past due amounts, (D) the applicable Prepayment Fee with respect to the portion of such Term Loans being prepaid, (E) the Contingency Fee (if any), and (F) without duplication, any fee that would have otherwise been due pursuant to </w:t>
      </w:r>
      <w:r>
        <w:rPr>
          <w:rFonts w:ascii="Times New Roman" w:cs="Times New Roman" w:eastAsia="Times New Roman" w:hAnsi="Times New Roman"/>
          <w:sz w:val="18"/>
          <w:szCs w:val="18"/>
          <w:u w:val="single" w:color="auto"/>
          <w:color w:val="auto"/>
        </w:rPr>
        <w:t>Section 2.2(d)(i)</w:t>
      </w:r>
      <w:r>
        <w:rPr>
          <w:rFonts w:ascii="Times New Roman" w:cs="Times New Roman" w:eastAsia="Times New Roman" w:hAnsi="Times New Roman"/>
          <w:sz w:val="18"/>
          <w:szCs w:val="18"/>
          <w:color w:val="auto"/>
        </w:rPr>
        <w:t xml:space="preserve">. For the purposes of clarity, any partial prepayment shall be applied pro-rata to all outstanding amounts under each Term Loan, and shall be applied pro-rata within each Term Loan tranche to reduce amortization payments under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on a pro-rata basis.”</w:t>
      </w:r>
    </w:p>
    <w:p>
      <w:pPr>
        <w:spacing w:after="0" w:line="186" w:lineRule="exact"/>
        <w:rPr>
          <w:sz w:val="20"/>
          <w:szCs w:val="20"/>
          <w:color w:val="auto"/>
        </w:rPr>
      </w:pPr>
    </w:p>
    <w:p>
      <w:pPr>
        <w:ind w:left="7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Section 2.5(f) (Contingency Fee)</w:t>
      </w:r>
      <w:r>
        <w:rPr>
          <w:rFonts w:ascii="Times New Roman" w:cs="Times New Roman" w:eastAsia="Times New Roman" w:hAnsi="Times New Roman"/>
          <w:sz w:val="18"/>
          <w:szCs w:val="18"/>
          <w:color w:val="auto"/>
        </w:rPr>
        <w:t>. Subsection 2.5(f) is hereby added to the end of Section 2.5 of the Loan Agreement as follows:</w:t>
      </w:r>
    </w:p>
    <w:p>
      <w:pPr>
        <w:spacing w:after="0" w:line="229"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Contingency Fee</w:t>
      </w:r>
      <w:r>
        <w:rPr>
          <w:rFonts w:ascii="Times New Roman" w:cs="Times New Roman" w:eastAsia="Times New Roman" w:hAnsi="Times New Roman"/>
          <w:sz w:val="18"/>
          <w:szCs w:val="18"/>
          <w:color w:val="auto"/>
        </w:rPr>
        <w:t>. The Contingency Fee, when due hereunder, to be shared between the Lenders in accordance with their respective Pro Rata Shares.”</w:t>
      </w:r>
    </w:p>
    <w:p>
      <w:pPr>
        <w:spacing w:after="0" w:line="158" w:lineRule="exact"/>
        <w:rPr>
          <w:sz w:val="20"/>
          <w:szCs w:val="20"/>
          <w:color w:val="auto"/>
        </w:rPr>
      </w:pPr>
    </w:p>
    <w:p>
      <w:pPr>
        <w:ind w:left="7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Section 3.2(g) (Term A Milestone)</w:t>
      </w:r>
      <w:r>
        <w:rPr>
          <w:rFonts w:ascii="Times New Roman" w:cs="Times New Roman" w:eastAsia="Times New Roman" w:hAnsi="Times New Roman"/>
          <w:sz w:val="18"/>
          <w:szCs w:val="18"/>
          <w:color w:val="auto"/>
        </w:rPr>
        <w:t>. Subsection 3.2(g) is hereby added to the end of Section 3.2 of the Loan Agreement as follows:</w:t>
      </w:r>
    </w:p>
    <w:p>
      <w:pPr>
        <w:spacing w:after="0" w:line="229" w:lineRule="exact"/>
        <w:rPr>
          <w:sz w:val="20"/>
          <w:szCs w:val="20"/>
          <w:color w:val="auto"/>
        </w:rPr>
      </w:pPr>
    </w:p>
    <w:p>
      <w:pPr>
        <w:ind w:left="760" w:right="20" w:firstLine="749"/>
        <w:spacing w:after="0" w:line="282" w:lineRule="auto"/>
        <w:rPr>
          <w:sz w:val="20"/>
          <w:szCs w:val="20"/>
          <w:color w:val="auto"/>
        </w:rPr>
      </w:pPr>
      <w:r>
        <w:rPr>
          <w:rFonts w:ascii="Times New Roman" w:cs="Times New Roman" w:eastAsia="Times New Roman" w:hAnsi="Times New Roman"/>
          <w:sz w:val="18"/>
          <w:szCs w:val="18"/>
          <w:color w:val="auto"/>
        </w:rPr>
        <w:t>“(g) solely with respect to the funding of any Term A Loans after the Third Amendment Effective Date, the achievement of the Term A Milestone.”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ind w:left="7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Section 13 (Definitions)</w:t>
      </w:r>
      <w:r>
        <w:rPr>
          <w:rFonts w:ascii="Times New Roman" w:cs="Times New Roman" w:eastAsia="Times New Roman" w:hAnsi="Times New Roman"/>
          <w:sz w:val="18"/>
          <w:szCs w:val="18"/>
          <w:color w:val="auto"/>
        </w:rPr>
        <w:t>. The following defined terms in Section 13 of the Loan Agreement are amended and restated as follows:</w:t>
      </w:r>
    </w:p>
    <w:p>
      <w:pPr>
        <w:spacing w:after="0" w:line="225" w:lineRule="exact"/>
        <w:rPr>
          <w:sz w:val="20"/>
          <w:szCs w:val="20"/>
          <w:color w:val="auto"/>
        </w:rPr>
      </w:pPr>
    </w:p>
    <w:p>
      <w:pPr>
        <w:jc w:val="both"/>
        <w:ind w:left="76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all of Credit Party’s obligations to pay when due any debts, principal, interest, Lenders’ Expenses, the Prepayment Fee, the Contingency Fee, the Final Payment, and other amounts Credit Party owes the Lenders now or later, in connection with, related to, following, or arising from, out of or under, this Agreement or, the other Loan Documents,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Credit Party assigned to the Lenders and/or Collateral Agent, and the performance of Credit Party’s duties under the Loan Documents.</w:t>
      </w:r>
    </w:p>
    <w:p>
      <w:pPr>
        <w:spacing w:after="0" w:line="183"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Draw Period</w:t>
      </w:r>
      <w:r>
        <w:rPr>
          <w:rFonts w:ascii="Times New Roman" w:cs="Times New Roman" w:eastAsia="Times New Roman" w:hAnsi="Times New Roman"/>
          <w:sz w:val="18"/>
          <w:szCs w:val="18"/>
          <w:color w:val="auto"/>
        </w:rPr>
        <w:t>” is the period commencing on the Effective Date and ending on the earlier of (i) June 30, 2024 and (ii) the occurrence of an Event of Default.</w:t>
      </w:r>
    </w:p>
    <w:p>
      <w:pPr>
        <w:spacing w:after="0" w:line="155" w:lineRule="exact"/>
        <w:rPr>
          <w:sz w:val="20"/>
          <w:szCs w:val="20"/>
          <w:color w:val="auto"/>
        </w:rPr>
      </w:pPr>
    </w:p>
    <w:p>
      <w:pPr>
        <w:ind w:left="7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Section 13 (Definitions)</w:t>
      </w:r>
      <w:r>
        <w:rPr>
          <w:rFonts w:ascii="Times New Roman" w:cs="Times New Roman" w:eastAsia="Times New Roman" w:hAnsi="Times New Roman"/>
          <w:sz w:val="18"/>
          <w:szCs w:val="18"/>
          <w:color w:val="auto"/>
        </w:rPr>
        <w:t>.  The following defined terms are added to Section 13 of the Loan Agreement in appropriate alphabetical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w:t>
      </w:r>
    </w:p>
    <w:p>
      <w:pPr>
        <w:spacing w:after="0" w:line="203"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Contingency Fee</w:t>
      </w:r>
      <w:r>
        <w:rPr>
          <w:rFonts w:ascii="Times New Roman" w:cs="Times New Roman" w:eastAsia="Times New Roman" w:hAnsi="Times New Roman"/>
          <w:sz w:val="18"/>
          <w:szCs w:val="18"/>
          <w:color w:val="auto"/>
        </w:rPr>
        <w:t>” is, with respect to any Term Loan subject to prepayment prior to the Maturity Date, whether by mandatory or voluntary prepayment, acceleration or otherwise, an additional fee equal to Six Hundred Thousand Dollars ($600,000.00) payable to the Lenders in accordance with their respective Pro Rata Shares; provided that the Contingency Fee shall be zero dollars ($0) if such prepayment is made in connection with a refinancing of this Agreement with Oxford and Bank and any of their respective Affiliates.</w:t>
      </w:r>
    </w:p>
    <w:p>
      <w:pPr>
        <w:spacing w:after="0" w:line="17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Milestone</w:t>
      </w:r>
      <w:r>
        <w:rPr>
          <w:rFonts w:ascii="Times New Roman" w:cs="Times New Roman" w:eastAsia="Times New Roman" w:hAnsi="Times New Roman"/>
          <w:sz w:val="18"/>
          <w:szCs w:val="18"/>
          <w:color w:val="auto"/>
        </w:rPr>
        <w:t>” means Borrower’s delivery to Collateral Agent and Lenders of evidence, satisfactory to Collateral Agent and Lenders in their sole but reasonable discretion, that the Phase 2 portion of the ASPEN-06 study in Gastric/Gastroesophageal Junction Cancer either (i) remains ongoing or (ii) has reported positive data that is sufficient to initiate a pivotal study or move to a Biologics License Application submission as the immediate next step.</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 Effective Date</w:t>
      </w:r>
      <w:r>
        <w:rPr>
          <w:rFonts w:ascii="Times New Roman" w:cs="Times New Roman" w:eastAsia="Times New Roman" w:hAnsi="Times New Roman"/>
          <w:sz w:val="18"/>
          <w:szCs w:val="18"/>
          <w:color w:val="auto"/>
        </w:rPr>
        <w:t>” is December 22, 2023.</w:t>
      </w:r>
    </w:p>
    <w:p>
      <w:pPr>
        <w:spacing w:after="0" w:line="225" w:lineRule="exact"/>
        <w:rPr>
          <w:sz w:val="20"/>
          <w:szCs w:val="20"/>
          <w:color w:val="auto"/>
        </w:rPr>
      </w:pPr>
    </w:p>
    <w:p>
      <w:pPr>
        <w:ind w:left="7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 xml:space="preserve">Schedule 1.1 (Commitments). </w:t>
      </w:r>
      <w:r>
        <w:rPr>
          <w:rFonts w:ascii="Times New Roman" w:cs="Times New Roman" w:eastAsia="Times New Roman" w:hAnsi="Times New Roman"/>
          <w:sz w:val="18"/>
          <w:szCs w:val="18"/>
          <w:color w:val="auto"/>
        </w:rPr>
        <w:t>The footnote to Schedule 1.1 is hereby amended and restated in its entirety as follows:</w:t>
      </w:r>
    </w:p>
    <w:p>
      <w:pPr>
        <w:spacing w:after="0" w:line="229" w:lineRule="exact"/>
        <w:rPr>
          <w:sz w:val="20"/>
          <w:szCs w:val="20"/>
          <w:color w:val="auto"/>
        </w:rPr>
      </w:pPr>
    </w:p>
    <w:p>
      <w:pPr>
        <w:jc w:val="both"/>
        <w:ind w:left="760" w:firstLine="749"/>
        <w:spacing w:after="0" w:line="255" w:lineRule="auto"/>
        <w:rPr>
          <w:sz w:val="20"/>
          <w:szCs w:val="20"/>
          <w:color w:val="auto"/>
        </w:rPr>
      </w:pPr>
      <w:r>
        <w:rPr>
          <w:rFonts w:ascii="Times New Roman" w:cs="Times New Roman" w:eastAsia="Times New Roman" w:hAnsi="Times New Roman"/>
          <w:sz w:val="18"/>
          <w:szCs w:val="18"/>
          <w:color w:val="auto"/>
        </w:rPr>
        <w:t>“** If the Term A Draw Period terminates on June 30, 2024 pursuant to clause (i) of the definition of “Term A Draw Period”, (a) the Additional Term B Loan Commitment Amount shall be added to the Term B Loan Commitment effective as of July 1, 2024 and pro rata in accordance with the Commitment Percentage for the Term B Loans and (b) the Additional Term C Loan Commitment Amount shall be added to the Term C Loan Commitment effective as of July 1, 2024 and pro rata in accordance with the Commitment Percentage for the Term C Loans.”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Amendment.</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The amendments set forth in</w:t>
      </w:r>
      <w:r>
        <w:rPr>
          <w:rFonts w:ascii="Times New Roman" w:cs="Times New Roman" w:eastAsia="Times New Roman" w:hAnsi="Times New Roman"/>
          <w:sz w:val="18"/>
          <w:szCs w:val="18"/>
          <w:b w:val="1"/>
          <w:bCs w:val="1"/>
          <w:color w:val="auto"/>
        </w:rPr>
        <w:t xml:space="preserve"> Section 2 </w:t>
      </w:r>
      <w:r>
        <w:rPr>
          <w:rFonts w:ascii="Times New Roman" w:cs="Times New Roman" w:eastAsia="Times New Roman" w:hAnsi="Times New Roman"/>
          <w:sz w:val="18"/>
          <w:szCs w:val="18"/>
          <w:color w:val="auto"/>
        </w:rPr>
        <w:t>above are effective for the purposes set forth herein and shall be limited precisely as written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deemed to (a) be a consent to any amendment, waiver or modification of any other term or condition of any Loan Document, or (b) otherwise prejudice any right, remedy or obligation which Lenders or any Credit Party may now have or may have in the future under or in connection with any Loan Document, as amended hereby.</w:t>
      </w:r>
    </w:p>
    <w:p>
      <w:pPr>
        <w:spacing w:after="0" w:line="17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This Amendment shall be construed in connection with and as part of the Loan Documents and all terms, conditions,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covenants and agreements set forth in the Loan Documents are hereby ratified and confirmed and shall remain in full force and effect.</w:t>
      </w:r>
    </w:p>
    <w:p>
      <w:pPr>
        <w:spacing w:after="0" w:line="155" w:lineRule="exact"/>
        <w:rPr>
          <w:sz w:val="20"/>
          <w:szCs w:val="20"/>
          <w:color w:val="auto"/>
        </w:rPr>
      </w:pPr>
    </w:p>
    <w:p>
      <w:pPr>
        <w:ind w:firstLine="8"/>
        <w:spacing w:after="0" w:line="286" w:lineRule="auto"/>
        <w:tabs>
          <w:tab w:leader="none" w:pos="50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To induce Collateral Agent and the Required Lenders to enter into this Amendment, each Credit Party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and warrants to Collateral Agent and the Required Lenders on the date hereof as follows:</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Immediately after giving effect to this Amendment (a) the representations and warranties contained in the Loan Documents are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Such Credit Party has the corporate power and authority to execute and deliver this Amendment and to perform its obligations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Agreement;</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The organizational documents of such Credit Party delivered to Collateral Agent on the Effective Date, and updated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deliveries by or on behalf of such Credit Party to the Collateral Agent, remain true, accurate and complete and have not been amended, supplemented or restated and are and continue to be in full force and effect;</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color w:val="auto"/>
        </w:rPr>
        <w:t>The execution and delivery by such Credit Party of this Amendment and the performance by such Credit Party of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 Agreement, do not contravene (i) any material law or regulation binding on or affecting such Credit Party, (ii) any material contractual restriction with a Person binding on such Credit Party, (iii) any order, judgment or decree of any court or other governmental or public body or authority, or subdivision thereof, binding on such Credit Party, or (iv) the organizational documents of such Credit Party;</w:t>
      </w:r>
    </w:p>
    <w:p>
      <w:pPr>
        <w:spacing w:after="0" w:line="176"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color w:val="auto"/>
        </w:rPr>
        <w:t>The execution and delivery by such Credit Party of this Amendment and the performance by such Credit Party of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 Agreement, do not require any order, consent, approval, license, authorization or validation of, or filing, recording or registration with, or exemption by any governmental or public body or authority, or subdivision thereof, binding on such Credit Party, except as already has been obtained or made; and</w:t>
      </w:r>
    </w:p>
    <w:p>
      <w:pPr>
        <w:spacing w:after="0" w:line="39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color w:val="auto"/>
        </w:rPr>
        <w:t>This Amendment has been duly executed and delivered by such Credit Party and is the binding obligation of such Credit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enforceable against such Credit Party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1"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by Credit Parties.</w:t>
      </w:r>
    </w:p>
    <w:p>
      <w:pPr>
        <w:spacing w:after="0" w:line="22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5.1 FOR GOOD AND VALUABLE CONSIDERATION</w:t>
      </w:r>
      <w:r>
        <w:rPr>
          <w:rFonts w:ascii="Times New Roman" w:cs="Times New Roman" w:eastAsia="Times New Roman" w:hAnsi="Times New Roman"/>
          <w:sz w:val="18"/>
          <w:szCs w:val="18"/>
          <w:color w:val="auto"/>
        </w:rPr>
        <w:t>, each Credit Party hereby forever relieves, releases, and discharges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each Lender and their respective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Amendment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solely to the extent such claims arise out of or are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 (collectively “</w:t>
      </w:r>
      <w:r>
        <w:rPr>
          <w:rFonts w:ascii="Times New Roman" w:cs="Times New Roman" w:eastAsia="Times New Roman" w:hAnsi="Times New Roman"/>
          <w:sz w:val="18"/>
          <w:szCs w:val="18"/>
          <w:b w:val="1"/>
          <w:bCs w:val="1"/>
          <w:color w:val="auto"/>
        </w:rPr>
        <w:t>Released Claims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color w:val="auto"/>
        </w:rPr>
        <w:t>In furtherance of this release, each Credit Party expressly acknowledges and waives the provisions of California Civil Code Section 1542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similar provision under the laws of any state), which states:</w:t>
      </w:r>
    </w:p>
    <w:p>
      <w:pPr>
        <w:spacing w:after="0" w:line="159" w:lineRule="exact"/>
        <w:rPr>
          <w:sz w:val="20"/>
          <w:szCs w:val="20"/>
          <w:color w:val="auto"/>
        </w:rPr>
      </w:pPr>
    </w:p>
    <w:p>
      <w:pPr>
        <w:jc w:val="both"/>
        <w:ind w:left="1220"/>
        <w:spacing w:after="0" w:line="261"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color w:val="auto"/>
        </w:rPr>
        <w:t>By entering into this release, each Credit Party recognizes that no facts or representations are ever absolutely certain and it may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 facts in addition to or different from those which it presently knows or believes to be true, but that it is the intention of such Credit Party hereby to fully, finally and forever settle and release all matters, disputes and differences, known or unknown, suspected or unsuspected in relation to the Released Claims; accordingly, if such Credit Party should subsequently discover that any fact that it relied upon in entering into this release was untrue, or that any understanding of the facts was incorrect, such Credit Party shall not be entitled to set aside this release by reason thereof, regardless of any claim of mistake of fact or law or any other circumstances whatsoever. Each Credit Party acknowledges that it is not relying upon and has not relied upon any representation or statement made by Collateral Agent or Lenders with respect to the facts underlying this release or with regard to any of such party’s rights or asserted rights.</w:t>
      </w:r>
    </w:p>
    <w:p>
      <w:pPr>
        <w:spacing w:after="0" w:line="185" w:lineRule="exact"/>
        <w:rPr>
          <w:sz w:val="20"/>
          <w:szCs w:val="20"/>
          <w:color w:val="auto"/>
        </w:rPr>
      </w:pPr>
    </w:p>
    <w:p>
      <w:pPr>
        <w:jc w:val="both"/>
        <w:ind w:firstLine="8"/>
        <w:spacing w:after="0" w:line="268" w:lineRule="auto"/>
        <w:tabs>
          <w:tab w:leader="none" w:pos="50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Loan Document. </w:t>
      </w:r>
      <w:r>
        <w:rPr>
          <w:rFonts w:ascii="Times New Roman" w:cs="Times New Roman" w:eastAsia="Times New Roman" w:hAnsi="Times New Roman"/>
          <w:sz w:val="18"/>
          <w:szCs w:val="18"/>
          <w:color w:val="auto"/>
        </w:rPr>
        <w:t>Credit Parties, Lenders and Collateral Agent agree that this Amendment shall be a Loan Document. Except as expressly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the Loan Agreement and the other Loan Documents shall continue in full force and effect without alteration or amendment. This Amendment and the Loan Documents represent the entire agreement about this subject matter and supersede prior negotiations or agreements.</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50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This Amendment shall be deemed effective upon the due execution and delivery to Collateral Agent and Lenders of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each party hereto.</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50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Amendment may be executed in any number of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together, shall constitute one and the same instrument. Delivery by electronic transmission (e.g. “.pdf”) of an executed counterpart of this Amendment shall be effective as a manually executed counterpart signature thereof.</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50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Amendment and the rights and obligations of the parties hereto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California.</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Third Amendment to Loan and Security Agreement to be executed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set forth above.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ALX ONCOLOGY INC.</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s/ Peter Garcia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Peter Garcia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s/ Peter Garcia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Peter Garcia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COLLATERAL AGENT AND LENDER: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Colette H. Featherly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ignature pages continue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Third Amendment to Loan and Security Agreement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FINANCE CREDIT FUND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Oxford Finance Advisors, LLC, its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Colette H. Featherly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FINANCE FUNDING 2023-1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Colette H. Featherly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FIRST-CITIZENS BANK &amp; TRUST COMPANY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Peter Sletteland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Sletteland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Third Amendment to Loan and Security Agreement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229870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590"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2023-12-26T15:14:09Z</dcterms:created>
  <dcterms:modified xsi:type="dcterms:W3CDTF">2023-12-26T15:14:09Z</dcterms:modified>
</cp:coreProperties>
</file>