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820" w:type="dxa"/>
            <w:vAlign w:val="bottom"/>
          </w:tcPr>
          <w:p>
            <w:pPr>
              <w:jc w:val="center"/>
              <w:ind w:left="1601"/>
              <w:spacing w:after="0"/>
              <w:rPr>
                <w:sz w:val="20"/>
                <w:szCs w:val="20"/>
                <w:color w:val="auto"/>
              </w:rPr>
            </w:pPr>
            <w:r>
              <w:rPr>
                <w:rFonts w:ascii="Times New Roman" w:cs="Times New Roman" w:eastAsia="Times New Roman" w:hAnsi="Times New Roman"/>
                <w:sz w:val="18"/>
                <w:szCs w:val="18"/>
                <w:b w:val="1"/>
                <w:bCs w:val="1"/>
                <w:color w:val="auto"/>
                <w:w w:val="98"/>
              </w:rPr>
              <w:t>85-0642577</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0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2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2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8"/>
              </w:rPr>
              <w:t>323 Allerton Avenue,</w:t>
            </w:r>
          </w:p>
        </w:tc>
        <w:tc>
          <w:tcPr>
            <w:tcW w:w="24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27"/>
        </w:trPr>
        <w:tc>
          <w:tcPr>
            <w:tcW w:w="3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2400" w:type="dxa"/>
            <w:vAlign w:val="bottom"/>
          </w:tcPr>
          <w:p>
            <w:pPr>
              <w:spacing w:after="0"/>
              <w:rPr>
                <w:sz w:val="19"/>
                <w:szCs w:val="19"/>
                <w:color w:val="auto"/>
              </w:rPr>
            </w:pPr>
          </w:p>
        </w:tc>
        <w:tc>
          <w:tcPr>
            <w:tcW w:w="2820" w:type="dxa"/>
            <w:vAlign w:val="bottom"/>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35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0" w:type="dxa"/>
            <w:vAlign w:val="bottom"/>
          </w:tcPr>
          <w:p>
            <w:pPr>
              <w:spacing w:after="0"/>
              <w:rPr>
                <w:sz w:val="16"/>
                <w:szCs w:val="16"/>
                <w:color w:val="auto"/>
              </w:rPr>
            </w:pPr>
          </w:p>
        </w:tc>
        <w:tc>
          <w:tcPr>
            <w:tcW w:w="28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466-7125</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March 10, 2023, the Federal Deposit Insurance Corporation (“FDIC”) issued a press release announcing that the FDIC has been appointed as receiver for Silicon Valley Bank (“SVB”). ALX Oncology Holding Inc. (the “Company”) and its subsidiaries have cash in operating accounts with SVB. The Company believes that its direct exposure to SVB’s receivership is immaterial given that the aggregate amount of the Company’s cash held at SVB that is not FDIC insured is less than 0.8% of its total current cash, cash equivalents and investments. The majority of the Company’s cash, cash equivalents and investments are deposited in custodial accounts held by U.S. Bank for which SVB Asset Management (“SAM”) is the advisor. SAM is a SEC-registered investment adviser and manages client assets with a fiduciary standard of care. All SAM-managed cash, securities, and other assets are held in segregated custody accounts in the name of the Company or its subsidiary and SVB does not have a claim to those funds.</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previously disclosed, on October 27, 2022, the Company entered into a loan and security agreement (the “Loan Agreement”) among the Company, as borrower, and Oxford Finance LLC (“Oxford”), as collateral agent, and Oxford Finance LLC, Oxford Finance Credit Fund II LP, and SVB, as the lenders. The Loan Agreement provides for a secured term loan facility in an aggregate principal amount of up to $100 million, with 50% of the funding coming from SVB. Given the receivership of SVB, the Company will be analyzing its options with respect to SVB’s position under the Loan Agreement over time.</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7.01 on this Form 8-K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2023</w:t>
            </w:r>
          </w:p>
        </w:tc>
        <w:tc>
          <w:tcPr>
            <w:tcW w:w="74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Peter Garcia</w:t>
            </w:r>
          </w:p>
        </w:tc>
      </w:tr>
      <w:tr>
        <w:trPr>
          <w:trHeight w:val="201"/>
        </w:trPr>
        <w:tc>
          <w:tcPr>
            <w:tcW w:w="36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96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Peter Garcia</w:t>
            </w:r>
          </w:p>
        </w:tc>
      </w:tr>
      <w:tr>
        <w:trPr>
          <w:trHeight w:val="238"/>
        </w:trPr>
        <w:tc>
          <w:tcPr>
            <w:tcW w:w="3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2023-03-13T07:05:26Z</dcterms:created>
  <dcterms:modified xsi:type="dcterms:W3CDTF">2023-03-13T07:05:26Z</dcterms:modified>
</cp:coreProperties>
</file>