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left="440" w:right="420"/>
        <w:spacing w:after="0" w:line="260" w:lineRule="auto"/>
        <w:rPr>
          <w:sz w:val="20"/>
          <w:szCs w:val="20"/>
          <w:color w:val="auto"/>
        </w:rPr>
      </w:pPr>
      <w:r>
        <w:rPr>
          <w:rFonts w:ascii="Arial" w:cs="Arial" w:eastAsia="Arial" w:hAnsi="Arial"/>
          <w:sz w:val="14"/>
          <w:szCs w:val="14"/>
          <w:b w:val="1"/>
          <w:bCs w:val="1"/>
          <w:color w:val="auto"/>
        </w:rPr>
        <w:t>Amendment No. 1 to Draft Registration Statement, as confidentially submitted to the Securities and Exchange Commission on June 12, 2020. This draft registration statement has not been publicly filed with the Securities and Exchange Commission and all information herein remains strictly confidential.</w:t>
      </w:r>
    </w:p>
    <w:p>
      <w:pPr>
        <w:spacing w:after="0" w:line="155" w:lineRule="exact"/>
        <w:rPr>
          <w:sz w:val="24"/>
          <w:szCs w:val="24"/>
          <w:color w:val="auto"/>
        </w:rPr>
      </w:pPr>
    </w:p>
    <w:p>
      <w:pPr>
        <w:ind w:left="90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jc w:val="center"/>
        <w:ind w:right="-99"/>
        <w:spacing w:after="0" w:line="234" w:lineRule="auto"/>
        <w:rPr>
          <w:sz w:val="20"/>
          <w:szCs w:val="20"/>
          <w:color w:val="auto"/>
        </w:rPr>
      </w:pPr>
      <w:r>
        <w:rPr>
          <w:rFonts w:ascii="Arial" w:cs="Arial" w:eastAsia="Arial" w:hAnsi="Arial"/>
          <w:sz w:val="17"/>
          <w:szCs w:val="17"/>
          <w:b w:val="1"/>
          <w:bCs w:val="1"/>
          <w:i w:val="1"/>
          <w:iCs w:val="1"/>
          <w:color w:val="auto"/>
        </w:rPr>
        <w:t>Under</w:t>
      </w:r>
    </w:p>
    <w:p>
      <w:pPr>
        <w:jc w:val="center"/>
        <w:ind w:right="-9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ALX ONCOLOGY HOLDINGS INC.</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0"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85-0642577</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bl>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Jaume Pons, Ph.D.</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ALX Oncology Holdings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8" w:lineRule="exact"/>
        <w:rPr>
          <w:sz w:val="24"/>
          <w:szCs w:val="24"/>
          <w:color w:val="auto"/>
        </w:rPr>
      </w:pPr>
    </w:p>
    <w:tbl>
      <w:tblPr>
        <w:tblLayout w:type="fixed"/>
        <w:tblInd w:w="60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3500" w:type="dxa"/>
            <w:vAlign w:val="bottom"/>
          </w:tcPr>
          <w:p>
            <w:pPr>
              <w:ind w:left="1300"/>
              <w:spacing w:after="0"/>
              <w:rPr>
                <w:sz w:val="20"/>
                <w:szCs w:val="20"/>
                <w:color w:val="auto"/>
              </w:rPr>
            </w:pPr>
            <w:r>
              <w:rPr>
                <w:rFonts w:ascii="Arial" w:cs="Arial" w:eastAsia="Arial" w:hAnsi="Arial"/>
                <w:sz w:val="14"/>
                <w:szCs w:val="14"/>
                <w:b w:val="1"/>
                <w:bCs w:val="1"/>
                <w:i w:val="1"/>
                <w:iCs w:val="1"/>
                <w:color w:val="auto"/>
              </w:rPr>
              <w:t>Copies to:</w:t>
            </w:r>
          </w:p>
        </w:tc>
        <w:tc>
          <w:tcPr>
            <w:tcW w:w="2980" w:type="dxa"/>
            <w:vAlign w:val="bottom"/>
          </w:tcPr>
          <w:p>
            <w:pPr>
              <w:spacing w:after="0"/>
              <w:rPr>
                <w:sz w:val="16"/>
                <w:szCs w:val="16"/>
                <w:color w:val="auto"/>
              </w:rPr>
            </w:pPr>
          </w:p>
        </w:tc>
      </w:tr>
      <w:tr>
        <w:trPr>
          <w:trHeight w:val="201"/>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Kenneth A. Clark</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Peter Garcia</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Dave Peinsipp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Tony Jeffries</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Kristin E. VanderPas</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Michael E. Coke</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ALX Oncology Holdings Inc.</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Laura Berezin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Christina L. Poulsen</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866 Malcolm Road, Suite 100</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Denny Won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Wilson Sonsini Goodrich &amp; Rosati, P.C.</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Burlingame, California 94010</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 Page Mill Road</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650-466-7125</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101 California Street</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Palo Alto, California 94304</w:t>
            </w:r>
          </w:p>
        </w:tc>
        <w:tc>
          <w:tcPr>
            <w:tcW w:w="3500" w:type="dxa"/>
            <w:vAlign w:val="bottom"/>
          </w:tcPr>
          <w:p>
            <w:pPr>
              <w:spacing w:after="0"/>
              <w:rPr>
                <w:sz w:val="14"/>
                <w:szCs w:val="14"/>
                <w:color w:val="auto"/>
              </w:rPr>
            </w:pP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San Francisco, California 94111</w:t>
            </w:r>
          </w:p>
        </w:tc>
      </w:tr>
      <w:tr>
        <w:trPr>
          <w:trHeight w:val="190"/>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650-493-9300</w:t>
            </w:r>
          </w:p>
        </w:tc>
        <w:tc>
          <w:tcPr>
            <w:tcW w:w="3500" w:type="dxa"/>
            <w:vAlign w:val="bottom"/>
          </w:tcPr>
          <w:p>
            <w:pPr>
              <w:spacing w:after="0"/>
              <w:rPr>
                <w:sz w:val="16"/>
                <w:szCs w:val="16"/>
                <w:color w:val="auto"/>
              </w:rPr>
            </w:pP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415-693-2000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110490</wp:posOffset>
            </wp:positionV>
            <wp:extent cx="2245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73"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0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2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240" w:type="dxa"/>
            <w:vAlign w:val="bottom"/>
          </w:tcPr>
          <w:p>
            <w:pPr>
              <w:ind w:left="32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 w:lineRule="exact"/>
        <w:rPr>
          <w:sz w:val="24"/>
          <w:szCs w:val="24"/>
          <w:color w:val="auto"/>
        </w:r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100330</wp:posOffset>
            </wp:positionV>
            <wp:extent cx="2245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CALCULATION OF REGISTRATION FEE</w:t>
      </w:r>
    </w:p>
    <w:p>
      <w:pPr>
        <w:spacing w:after="0" w:line="6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29"/>
        </w:trPr>
        <w:tc>
          <w:tcPr>
            <w:tcW w:w="77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640" w:type="dxa"/>
            <w:vAlign w:val="bottom"/>
          </w:tcPr>
          <w:p>
            <w:pPr>
              <w:spacing w:after="0"/>
              <w:rPr>
                <w:sz w:val="11"/>
                <w:szCs w:val="11"/>
                <w:color w:val="auto"/>
              </w:rPr>
            </w:pPr>
          </w:p>
        </w:tc>
      </w:tr>
      <w:tr>
        <w:trPr>
          <w:trHeight w:val="162"/>
        </w:trPr>
        <w:tc>
          <w:tcPr>
            <w:tcW w:w="77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640" w:type="dxa"/>
            <w:vAlign w:val="bottom"/>
          </w:tcPr>
          <w:p>
            <w:pPr>
              <w:spacing w:after="0"/>
              <w:rPr>
                <w:sz w:val="14"/>
                <w:szCs w:val="14"/>
                <w:color w:val="auto"/>
              </w:rPr>
            </w:pPr>
          </w:p>
        </w:tc>
      </w:tr>
      <w:tr>
        <w:trPr>
          <w:trHeight w:val="162"/>
        </w:trPr>
        <w:tc>
          <w:tcPr>
            <w:tcW w:w="7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64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Aggregate</w:t>
            </w:r>
          </w:p>
        </w:tc>
        <w:tc>
          <w:tcPr>
            <w:tcW w:w="164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640" w:type="dxa"/>
            <w:vAlign w:val="bottom"/>
            <w:tcBorders>
              <w:bottom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1"/>
                <w:szCs w:val="21"/>
                <w:b w:val="1"/>
                <w:bCs w:val="1"/>
                <w:color w:val="auto"/>
                <w:vertAlign w:val="superscript"/>
              </w:rPr>
              <w:t>(1)(2)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Registration Fee</w:t>
            </w:r>
          </w:p>
        </w:tc>
      </w:tr>
      <w:tr>
        <w:trPr>
          <w:trHeight w:val="156"/>
        </w:trPr>
        <w:tc>
          <w:tcPr>
            <w:tcW w:w="77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$ 0.001 par value</w:t>
            </w:r>
          </w:p>
        </w:tc>
        <w:tc>
          <w:tcPr>
            <w:tcW w:w="1640" w:type="dxa"/>
            <w:vAlign w:val="bottom"/>
            <w:tcBorders>
              <w:bottom w:val="single" w:sz="8" w:color="auto"/>
              <w:right w:val="single" w:sz="8" w:color="auto"/>
            </w:tcBorders>
          </w:tcPr>
          <w:p>
            <w:pPr>
              <w:jc w:val="right"/>
              <w:ind w:right="1070"/>
              <w:spacing w:after="0" w:line="155"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1068"/>
              <w:spacing w:after="0" w:line="155" w:lineRule="exact"/>
              <w:rPr>
                <w:sz w:val="20"/>
                <w:szCs w:val="20"/>
                <w:color w:val="auto"/>
              </w:rPr>
            </w:pPr>
            <w:r>
              <w:rPr>
                <w:rFonts w:ascii="Arial" w:cs="Arial" w:eastAsia="Arial" w:hAnsi="Arial"/>
                <w:sz w:val="14"/>
                <w:szCs w:val="14"/>
                <w:color w:val="auto"/>
              </w:rPr>
              <w:t>$</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offering price of any additional shares of common stock that the underwriters have the option to purchase.</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6" w:lineRule="exact"/>
        <w:rPr>
          <w:sz w:val="24"/>
          <w:szCs w:val="24"/>
          <w:color w:val="auto"/>
        </w:rPr>
      </w:pPr>
    </w:p>
    <w:p>
      <w:pPr>
        <w:jc w:val="both"/>
        <w:ind w:left="120" w:right="160"/>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04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b w:val="1"/>
          <w:bCs w:val="1"/>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28" w:lineRule="exact"/>
        <w:rPr>
          <w:sz w:val="20"/>
          <w:szCs w:val="20"/>
          <w:color w:val="auto"/>
        </w:rPr>
      </w:pPr>
    </w:p>
    <w:tbl>
      <w:tblPr>
        <w:tblLayout w:type="fixed"/>
        <w:tblInd w:w="6720" w:type="dxa"/>
        <w:tblCellMar>
          <w:top w:w="0" w:type="dxa"/>
          <w:left w:w="0" w:type="dxa"/>
          <w:bottom w:w="0" w:type="dxa"/>
          <w:right w:w="0" w:type="dxa"/>
        </w:tblCellMar>
      </w:tblPr>
      <w:tr>
        <w:trPr>
          <w:trHeight w:val="217"/>
        </w:trPr>
        <w:tc>
          <w:tcPr>
            <w:tcW w:w="3480" w:type="dxa"/>
            <w:vAlign w:val="bottom"/>
          </w:tcPr>
          <w:p>
            <w:pPr>
              <w:spacing w:after="0"/>
              <w:rPr>
                <w:sz w:val="20"/>
                <w:szCs w:val="20"/>
                <w:color w:val="auto"/>
              </w:rPr>
            </w:pPr>
            <w:r>
              <w:rPr>
                <w:rFonts w:ascii="Arial" w:cs="Arial" w:eastAsia="Arial" w:hAnsi="Arial"/>
                <w:sz w:val="18"/>
                <w:szCs w:val="18"/>
                <w:color w:val="C21128"/>
              </w:rPr>
              <w:t>SUBJECT TO COMPLETION, DATED</w:t>
            </w:r>
          </w:p>
        </w:tc>
        <w:tc>
          <w:tcPr>
            <w:tcW w:w="940" w:type="dxa"/>
            <w:vAlign w:val="bottom"/>
          </w:tcPr>
          <w:p>
            <w:pPr>
              <w:jc w:val="right"/>
              <w:spacing w:after="0"/>
              <w:rPr>
                <w:sz w:val="20"/>
                <w:szCs w:val="20"/>
                <w:color w:val="auto"/>
              </w:rPr>
            </w:pPr>
            <w:r>
              <w:rPr>
                <w:rFonts w:ascii="Arial" w:cs="Arial" w:eastAsia="Arial" w:hAnsi="Arial"/>
                <w:sz w:val="18"/>
                <w:szCs w:val="18"/>
                <w:color w:val="C21128"/>
              </w:rPr>
              <w:t>, 2020</w:t>
            </w:r>
          </w:p>
        </w:tc>
      </w:tr>
    </w:tbl>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140" w:lineRule="exact"/>
        <w:rPr>
          <w:sz w:val="20"/>
          <w:szCs w:val="20"/>
          <w:color w:val="auto"/>
        </w:rPr>
      </w:pPr>
    </w:p>
    <w:p>
      <w:pPr>
        <w:ind w:left="56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182245</wp:posOffset>
            </wp:positionV>
            <wp:extent cx="2065655" cy="1080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6565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5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We are offering shares of our common stock. This is our initial public offering of our common stock, and no public market currently exists for our common stock. We expect the initial public offering price to be between $ and $ per share. We have applied to list our common stock on the Nasdaq Global Select Market under the symbol “ALXO.”</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44" w:lineRule="exact"/>
        <w:rPr>
          <w:sz w:val="20"/>
          <w:szCs w:val="20"/>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Investing in our common stock involves a high degree of risk. Please read “</w:t>
      </w:r>
      <w:hyperlink w:anchor="page14">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beginning on page 11 of this prospectus.</w:t>
      </w:r>
    </w:p>
    <w:p>
      <w:pPr>
        <w:spacing w:after="0" w:line="139" w:lineRule="exact"/>
        <w:rPr>
          <w:sz w:val="20"/>
          <w:szCs w:val="20"/>
          <w:color w:val="auto"/>
        </w:rPr>
      </w:pPr>
    </w:p>
    <w:p>
      <w:pPr>
        <w:ind w:left="120" w:right="30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Initial Public Offering Price</w:t>
            </w:r>
          </w:p>
        </w:tc>
        <w:tc>
          <w:tcPr>
            <w:tcW w:w="1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4"/>
        </w:trPr>
        <w:tc>
          <w:tcPr>
            <w:tcW w:w="564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Underwriting Discounts and Commissions</w:t>
            </w:r>
          </w:p>
        </w:tc>
        <w:tc>
          <w:tcPr>
            <w:tcW w:w="2120" w:type="dxa"/>
            <w:vAlign w:val="bottom"/>
            <w:gridSpan w:val="2"/>
            <w:shd w:val="clear" w:color="auto" w:fill="CCEEFF"/>
          </w:tcPr>
          <w:p>
            <w:pPr>
              <w:jc w:val="right"/>
              <w:ind w:right="767"/>
              <w:spacing w:after="0" w:line="4" w:lineRule="exact"/>
              <w:rPr>
                <w:sz w:val="20"/>
                <w:szCs w:val="20"/>
                <w:color w:val="auto"/>
              </w:rPr>
            </w:pPr>
            <w:r>
              <w:rPr>
                <w:rFonts w:ascii="Arial" w:cs="Arial" w:eastAsia="Arial" w:hAnsi="Arial"/>
                <w:sz w:val="1"/>
                <w:szCs w:val="1"/>
                <w:color w:val="auto"/>
              </w:rPr>
              <w:t>$</w:t>
            </w:r>
          </w:p>
        </w:tc>
        <w:tc>
          <w:tcPr>
            <w:tcW w:w="1440" w:type="dxa"/>
            <w:vAlign w:val="bottom"/>
            <w:gridSpan w:val="2"/>
            <w:shd w:val="clear" w:color="auto" w:fill="CCEEFF"/>
          </w:tcPr>
          <w:p>
            <w:pPr>
              <w:jc w:val="right"/>
              <w:ind w:right="787"/>
              <w:spacing w:after="0" w:line="4" w:lineRule="exact"/>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r>
      <w:tr>
        <w:trPr>
          <w:trHeight w:val="173"/>
        </w:trPr>
        <w:tc>
          <w:tcPr>
            <w:tcW w:w="5640" w:type="dxa"/>
            <w:vAlign w:val="bottom"/>
          </w:tcPr>
          <w:p>
            <w:pPr>
              <w:jc w:val="right"/>
              <w:ind w:right="2238"/>
              <w:spacing w:after="0"/>
              <w:rPr>
                <w:sz w:val="20"/>
                <w:szCs w:val="20"/>
                <w:color w:val="auto"/>
              </w:rPr>
            </w:pPr>
            <w:r>
              <w:rPr>
                <w:rFonts w:ascii="Arial" w:cs="Arial" w:eastAsia="Arial" w:hAnsi="Arial"/>
                <w:sz w:val="15"/>
                <w:szCs w:val="15"/>
                <w:color w:val="auto"/>
              </w:rPr>
              <w:t>(1)</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Proceeds to ALX Oncology Holdings Inc., before expenses</w:t>
            </w:r>
          </w:p>
        </w:tc>
        <w:tc>
          <w:tcPr>
            <w:tcW w:w="2120" w:type="dxa"/>
            <w:vAlign w:val="bottom"/>
            <w:gridSpan w:val="2"/>
            <w:shd w:val="clear" w:color="auto" w:fill="CCEEFF"/>
          </w:tcPr>
          <w:p>
            <w:pPr>
              <w:jc w:val="right"/>
              <w:ind w:right="767"/>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78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540" w:hanging="249"/>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“Underwriting” beginning on page 155 for additional information regarding underwriter compensation.</w:t>
      </w:r>
    </w:p>
    <w:p>
      <w:pPr>
        <w:spacing w:after="0" w:line="134" w:lineRule="exact"/>
        <w:rPr>
          <w:sz w:val="20"/>
          <w:szCs w:val="20"/>
          <w:color w:val="auto"/>
        </w:rPr>
      </w:pPr>
    </w:p>
    <w:p>
      <w:pPr>
        <w:ind w:left="120"/>
        <w:spacing w:after="0"/>
        <w:tabs>
          <w:tab w:leader="none" w:pos="6620" w:val="left"/>
        </w:tabs>
        <w:rPr>
          <w:sz w:val="20"/>
          <w:szCs w:val="20"/>
          <w:color w:val="auto"/>
        </w:rPr>
      </w:pPr>
      <w:r>
        <w:rPr>
          <w:rFonts w:ascii="Arial" w:cs="Arial" w:eastAsia="Arial" w:hAnsi="Arial"/>
          <w:sz w:val="17"/>
          <w:szCs w:val="17"/>
          <w:color w:val="auto"/>
        </w:rPr>
        <w:t>Delivery of the shares of common stock is expected to be made on or about</w:t>
      </w:r>
      <w:r>
        <w:rPr>
          <w:sz w:val="20"/>
          <w:szCs w:val="20"/>
          <w:color w:val="auto"/>
        </w:rPr>
        <w:tab/>
      </w:r>
      <w:r>
        <w:rPr>
          <w:rFonts w:ascii="Arial" w:cs="Arial" w:eastAsia="Arial" w:hAnsi="Arial"/>
          <w:sz w:val="17"/>
          <w:szCs w:val="17"/>
          <w:color w:val="auto"/>
        </w:rPr>
        <w:t>, 2020. We have granted the underwriters an option for a</w:t>
      </w:r>
    </w:p>
    <w:p>
      <w:pPr>
        <w:ind w:left="120"/>
        <w:spacing w:after="0" w:line="232" w:lineRule="auto"/>
        <w:tabs>
          <w:tab w:leader="none" w:pos="4220" w:val="left"/>
        </w:tabs>
        <w:rPr>
          <w:sz w:val="20"/>
          <w:szCs w:val="20"/>
          <w:color w:val="auto"/>
        </w:rPr>
      </w:pPr>
      <w:r>
        <w:rPr>
          <w:rFonts w:ascii="Arial" w:cs="Arial" w:eastAsia="Arial" w:hAnsi="Arial"/>
          <w:sz w:val="17"/>
          <w:szCs w:val="17"/>
          <w:color w:val="auto"/>
        </w:rPr>
        <w:t>period of 30 days to purchase an additional</w:t>
      </w:r>
      <w:r>
        <w:rPr>
          <w:sz w:val="20"/>
          <w:szCs w:val="20"/>
          <w:color w:val="auto"/>
        </w:rPr>
        <w:tab/>
      </w:r>
      <w:r>
        <w:rPr>
          <w:rFonts w:ascii="Arial" w:cs="Arial" w:eastAsia="Arial" w:hAnsi="Arial"/>
          <w:sz w:val="17"/>
          <w:szCs w:val="17"/>
          <w:color w:val="auto"/>
        </w:rPr>
        <w:t>shares of our common stock. If the underwriters exercise the option in full, the total</w:t>
      </w:r>
    </w:p>
    <w:p>
      <w:pPr>
        <w:ind w:left="120"/>
        <w:spacing w:after="0"/>
        <w:tabs>
          <w:tab w:leader="none" w:pos="5740" w:val="left"/>
          <w:tab w:leader="none" w:pos="10680" w:val="left"/>
        </w:tabs>
        <w:rPr>
          <w:sz w:val="20"/>
          <w:szCs w:val="20"/>
          <w:color w:val="auto"/>
        </w:rPr>
      </w:pPr>
      <w:r>
        <w:rPr>
          <w:rFonts w:ascii="Arial" w:cs="Arial" w:eastAsia="Arial" w:hAnsi="Arial"/>
          <w:sz w:val="17"/>
          <w:szCs w:val="17"/>
          <w:color w:val="auto"/>
        </w:rPr>
        <w:t>underwriting discounts and commissions payable by us will be $</w:t>
      </w:r>
      <w:r>
        <w:rPr>
          <w:sz w:val="20"/>
          <w:szCs w:val="20"/>
          <w:color w:val="auto"/>
        </w:rPr>
        <w:tab/>
      </w:r>
      <w:r>
        <w:rPr>
          <w:rFonts w:ascii="Arial" w:cs="Arial" w:eastAsia="Arial" w:hAnsi="Arial"/>
          <w:sz w:val="17"/>
          <w:szCs w:val="17"/>
          <w:color w:val="auto"/>
        </w:rPr>
        <w:t>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140"/>
          </w:cols>
          <w:pgMar w:left="320" w:top="459" w:right="439" w:bottom="1440" w:gutter="0" w:footer="0" w:header="0"/>
        </w:sectPr>
      </w:pPr>
    </w:p>
    <w:p>
      <w:pPr>
        <w:spacing w:after="0" w:line="162"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Piper Sandler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Cantor</w:t>
      </w:r>
    </w:p>
    <w:p>
      <w:pPr>
        <w:spacing w:after="0" w:line="187" w:lineRule="exact"/>
        <w:rPr>
          <w:sz w:val="20"/>
          <w:szCs w:val="20"/>
          <w:color w:val="auto"/>
        </w:rPr>
      </w:pPr>
    </w:p>
    <w:p>
      <w:pPr>
        <w:sectPr>
          <w:pgSz w:w="11900" w:h="16838" w:orient="portrait"/>
          <w:cols w:equalWidth="0" w:num="4">
            <w:col w:w="2140" w:space="720"/>
            <w:col w:w="3040" w:space="720"/>
            <w:col w:w="2760" w:space="720"/>
            <w:col w:w="104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25"/>
          <w:szCs w:val="25"/>
          <w:b w:val="1"/>
          <w:bCs w:val="1"/>
          <w:color w:val="auto"/>
        </w:rPr>
        <w:t>LifeSci Capital</w:t>
      </w:r>
    </w:p>
    <w:p>
      <w:pPr>
        <w:sectPr>
          <w:pgSz w:w="11900" w:h="16838" w:orient="portrait"/>
          <w:cols w:equalWidth="0" w:num="1">
            <w:col w:w="11140"/>
          </w:cols>
          <w:pgMar w:left="320" w:top="459" w:right="439" w:bottom="1440" w:gutter="0" w:footer="0" w:header="0"/>
          <w:type w:val="continuous"/>
        </w:sectPr>
      </w:pPr>
    </w:p>
    <w:p>
      <w:pPr>
        <w:spacing w:after="0" w:line="250"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ectPr>
          <w:pgSz w:w="11900" w:h="16838" w:orient="portrait"/>
          <w:cols w:equalWidth="0" w:num="2">
            <w:col w:w="5740" w:space="720"/>
            <w:col w:w="468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560" w:type="dxa"/>
            <w:vAlign w:val="bottom"/>
            <w:vMerge w:val="restart"/>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6"/>
        </w:trPr>
        <w:tc>
          <w:tcPr>
            <w:tcW w:w="10560" w:type="dxa"/>
            <w:vAlign w:val="bottom"/>
            <w:vMerge w:val="continue"/>
          </w:tcPr>
          <w:p>
            <w:pPr>
              <w:spacing w:after="0"/>
              <w:rPr>
                <w:sz w:val="15"/>
                <w:szCs w:val="15"/>
                <w:color w:val="auto"/>
              </w:rPr>
            </w:pPr>
          </w:p>
        </w:tc>
        <w:tc>
          <w:tcPr>
            <w:tcW w:w="4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RISK FACTORS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SPECIAL NOTE REGARDING FORWARD-LOOKING STATEMENTS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MARKET, INDUSTRY AND OTHER DATA</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USE OF PROCEEDS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DIVIDEND POLICY</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CAPITALIZATION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DILUTION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SELECTED CONSOLIDATED FINANCIAL DATA</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BUSINESS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26">
              <w:r>
                <w:rPr>
                  <w:rFonts w:ascii="Arial" w:cs="Arial" w:eastAsia="Arial" w:hAnsi="Arial"/>
                  <w:sz w:val="17"/>
                  <w:szCs w:val="17"/>
                  <w:u w:val="single" w:color="auto"/>
                  <w:color w:val="0000EE"/>
                </w:rPr>
                <w:t>MANAGEMENT</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EXECUTIVE COMPENSATION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0">
              <w:r>
                <w:rPr>
                  <w:rFonts w:ascii="Arial" w:cs="Arial" w:eastAsia="Arial" w:hAnsi="Arial"/>
                  <w:sz w:val="17"/>
                  <w:szCs w:val="17"/>
                  <w:u w:val="single" w:color="auto"/>
                  <w:color w:val="0000EE"/>
                </w:rPr>
                <w:t>CERTAIN RELATIONSHIPS AND RELATED-PARTY TRANSACTIONS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5">
              <w:r>
                <w:rPr>
                  <w:rFonts w:ascii="Arial" w:cs="Arial" w:eastAsia="Arial" w:hAnsi="Arial"/>
                  <w:sz w:val="17"/>
                  <w:szCs w:val="17"/>
                  <w:u w:val="single" w:color="auto"/>
                  <w:color w:val="0000EE"/>
                </w:rPr>
                <w:t>PRINCIPAL STOCKHOLDERS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DESCRIPTION OF CAPITAL STOCK</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2">
              <w:r>
                <w:rPr>
                  <w:rFonts w:ascii="Arial" w:cs="Arial" w:eastAsia="Arial" w:hAnsi="Arial"/>
                  <w:sz w:val="17"/>
                  <w:szCs w:val="17"/>
                  <w:u w:val="single" w:color="auto"/>
                  <w:color w:val="0000EE"/>
                </w:rPr>
                <w:t>SHARES ELIGIBLE FOR FUTURE SALE</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4">
              <w:r>
                <w:rPr>
                  <w:rFonts w:ascii="Arial" w:cs="Arial" w:eastAsia="Arial" w:hAnsi="Arial"/>
                  <w:sz w:val="17"/>
                  <w:szCs w:val="17"/>
                  <w:u w:val="single" w:color="auto"/>
                  <w:color w:val="0000EE"/>
                </w:rPr>
                <w:t>MATERIAL U.S. FEDERAL INCOME AND TAX CONSIDERATIONS FOR NON-U.S. HOLDERS OF OUR COMMON STOCK</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8">
              <w:r>
                <w:rPr>
                  <w:rFonts w:ascii="Arial" w:cs="Arial" w:eastAsia="Arial" w:hAnsi="Arial"/>
                  <w:sz w:val="17"/>
                  <w:szCs w:val="17"/>
                  <w:u w:val="single" w:color="auto"/>
                  <w:color w:val="0000EE"/>
                </w:rPr>
                <w:t>UNDERWRITING</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LEGAL MATTERS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EXPERTS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WHERE YOU CAN FIND ADDITIONAL INFORMATION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5"/>
        </w:trPr>
        <w:tc>
          <w:tcPr>
            <w:tcW w:w="10560" w:type="dxa"/>
            <w:vAlign w:val="bottom"/>
          </w:tcPr>
          <w:p>
            <w:pPr>
              <w:spacing w:after="0"/>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INDEX TO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6" w:lineRule="exact"/>
        <w:rPr>
          <w:sz w:val="20"/>
          <w:szCs w:val="20"/>
          <w:color w:val="auto"/>
        </w:rPr>
      </w:pPr>
    </w:p>
    <w:p>
      <w:pPr>
        <w:jc w:val="both"/>
        <w:ind w:left="120" w:right="600"/>
        <w:spacing w:after="0" w:line="249" w:lineRule="auto"/>
        <w:rPr>
          <w:sz w:val="20"/>
          <w:szCs w:val="20"/>
          <w:color w:val="auto"/>
        </w:rPr>
      </w:pPr>
      <w:r>
        <w:rPr>
          <w:rFonts w:ascii="Arial" w:cs="Arial" w:eastAsia="Arial" w:hAnsi="Arial"/>
          <w:sz w:val="17"/>
          <w:szCs w:val="17"/>
          <w:b w:val="1"/>
          <w:bCs w:val="1"/>
          <w:color w:val="auto"/>
        </w:rPr>
        <w:t>Through and including , 2020 (the 25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common stock offered hereby. Our business, financial condition, results of operations and prospects may have changed since that date.</w:t>
      </w:r>
    </w:p>
    <w:p>
      <w:pPr>
        <w:spacing w:after="0" w:line="15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27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PROSPECTUS SUMMARY</w:t>
      </w:r>
    </w:p>
    <w:p>
      <w:pPr>
        <w:spacing w:after="0" w:line="320"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and our consolidated financial statements and related notes. In this prospectus, unless the context requires otherwise, references to “we,” “us,” “our,” “ALX,” “ALX Oncology,” or “the Company” refer to ALX Oncology Holdings Inc. and its subsidiaries on a combined basis.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Overview</w:t>
      </w:r>
    </w:p>
    <w:p>
      <w:pPr>
        <w:spacing w:after="0" w:line="81" w:lineRule="exact"/>
        <w:rPr>
          <w:sz w:val="20"/>
          <w:szCs w:val="20"/>
          <w:color w:val="auto"/>
        </w:rPr>
      </w:pPr>
    </w:p>
    <w:p>
      <w:pPr>
        <w:ind w:left="300" w:right="2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300" w:right="6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signal regulatory protein alpha, or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Clinical data to date in ALX148 have not shown dose-dependent hematologic toxicities, which are characteristic of other CD47 blockers that incorporate an active Fc domain.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Pipeline</w:t>
      </w:r>
    </w:p>
    <w:p>
      <w:pPr>
        <w:spacing w:after="0" w:line="81" w:lineRule="exact"/>
        <w:rPr>
          <w:sz w:val="20"/>
          <w:szCs w:val="20"/>
          <w:color w:val="auto"/>
        </w:rPr>
      </w:pPr>
    </w:p>
    <w:p>
      <w:pPr>
        <w:ind w:left="300" w:right="10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ALX148 for the Treatment of MDS and AML</w:t>
      </w:r>
    </w:p>
    <w:p>
      <w:pPr>
        <w:spacing w:after="0" w:line="93" w:lineRule="exact"/>
        <w:rPr>
          <w:sz w:val="20"/>
          <w:szCs w:val="20"/>
          <w:color w:val="auto"/>
        </w:rPr>
      </w:pPr>
    </w:p>
    <w:p>
      <w:pPr>
        <w:ind w:left="300" w:right="20"/>
        <w:spacing w:after="0" w:line="235" w:lineRule="auto"/>
        <w:rPr>
          <w:sz w:val="20"/>
          <w:szCs w:val="20"/>
          <w:color w:val="auto"/>
        </w:rPr>
      </w:pPr>
      <w:r>
        <w:rPr>
          <w:rFonts w:ascii="Arial" w:cs="Arial" w:eastAsia="Arial" w:hAnsi="Arial"/>
          <w:sz w:val="17"/>
          <w:szCs w:val="17"/>
          <w:color w:val="auto"/>
        </w:rPr>
        <w:t>We plan to advance ALX148 for the treatment of MDS, a hematologic malignancy affecting over 70,000 people in the United States. We initially explored the treatment of patients with hematologic malignancies in our ongoing Phase 1b trial of ALX148 in combination with rituximab, an anti-CD20 agent in subjects with relapsed/refractory Non-Hodgkin’s lymphoma, or NHL. ALX148 demonstrated a higher response rate at higher doses and achieved a 54.6% objective response rate, or ORR, in the highest dose (15 mg/kg once per week) cohort. We view this ORR as compelling evidence for the role of ALX148 in treating hematologic malignancies and as 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04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4044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20"/>
        <w:spacing w:after="0" w:line="234" w:lineRule="auto"/>
        <w:rPr>
          <w:sz w:val="20"/>
          <w:szCs w:val="20"/>
          <w:color w:val="auto"/>
        </w:rPr>
      </w:pPr>
      <w:r>
        <w:rPr>
          <w:rFonts w:ascii="Arial" w:cs="Arial" w:eastAsia="Arial" w:hAnsi="Arial"/>
          <w:sz w:val="17"/>
          <w:szCs w:val="17"/>
          <w:color w:val="auto"/>
        </w:rPr>
        <w:t>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MDS, albeit with high rates of cytopenias. We have conducted preclinical studies of ALX148 combined with azacitidine, a standard of care agent for the treatment of MDS, that support our clinical development plan in MDS. Our studies and those of others show that azacitidine increases calreticulin display, an “eat me” signal, in tumor models. The addition of ALX148 to azacitidine shows increased phagocytic activity in vitro and tumor growth inhibition in mouse models as compared to azacitidine alone. We are planning to advance ALX148 into a Phase 1b/2 trial in combination with azacitidine for the first-line treatment of subjects with higher-risk MDS by the end of 2020.</w:t>
      </w:r>
    </w:p>
    <w:p>
      <w:pPr>
        <w:spacing w:after="0" w:line="97"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We also plan to develop ALX148 for the treatment of AML, a hematologic malignancy affecting over 35,000 people in the United States with an expected 20,000 newly diagnosed patients and over 11,000 deaths from the disease in 2020. Over half of these patients are diagnosed at age 65 or older. ALX148’s potential for the treatment of patients with AML is supported by our existing data in NHL, preclinical studies of ALX148 in combination with azacitidine or venetoclax, and clinical evidence from other CD47 blocking agents studied in AML. The addition of ALX148 to venetoclax in preclinical studies also increased tumor growth inhibition as compared to single-agent venetoclax. Both azacitidine and venetoclax are standard of care options for patients with AML who are not candidates for intensive induction chemotherapy regimens. Consequently, we view our preclinical studies as supportive of ALX148’s potential role as a tolerable combination agent that may increase the activity of standard of care agents in an unfit, older population. We are planning to advance ALX148 into a Phase 1b/2 trial in combination with standard of care agents in the first-line treatment of subjects with AML in 2021.</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ALX148 for the Treatment of Solid Tumors</w:t>
      </w:r>
    </w:p>
    <w:p>
      <w:pPr>
        <w:spacing w:after="0" w:line="81" w:lineRule="exact"/>
        <w:rPr>
          <w:sz w:val="20"/>
          <w:szCs w:val="20"/>
          <w:color w:val="auto"/>
        </w:rPr>
      </w:pPr>
    </w:p>
    <w:p>
      <w:pPr>
        <w:ind w:left="300" w:right="80"/>
        <w:spacing w:after="0" w:line="233" w:lineRule="auto"/>
        <w:rPr>
          <w:sz w:val="20"/>
          <w:szCs w:val="20"/>
          <w:color w:val="auto"/>
        </w:rPr>
      </w:pPr>
      <w:r>
        <w:rPr>
          <w:rFonts w:ascii="Arial" w:cs="Arial" w:eastAsia="Arial" w:hAnsi="Arial"/>
          <w:sz w:val="17"/>
          <w:szCs w:val="17"/>
          <w:color w:val="auto"/>
        </w:rPr>
        <w:t>ALX148 has generated promising clinical data in solid tumors in combinations with a leading tumor antigen targeting antibody, a leading checkpoint inhibitor and chemotherapy. We believe that ALX148 induces multiple responses that bridge innate and adaptive immunity. We are investigating ALX148 for the first-line treatment of head and neck squamous cell carcinoma, or HNSCC and for second-line treatment of human epidermal growth factor receptor 2, or HER2-positive gastric/gastroesophageal junction, or GEJ, carcinoma. In the United States there are over 38,000 people living with metastatic HNSCC, and there are over 25,000 people living with metastatic gastric/GEJ carcinoma. In Phase 1b clinical trials, ALX148 has demonstrated both promising levels of anti-tumor activity and tolerability in combination with other broadly utilized cancer agents. Based on these results, the Food &amp; Drug Administration, or FDA, has granted Fast Track designation for ALX148 for both the treatment of patients with HNSCC in the first-line setting and for HER2-positive advanced gastric/GEJ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of ALX148 in solid tumors. We are planning to advance ALX148 into Phase 2 trials in subjects with HNSCC in combination with pembrolizumab, marketed as Keytruda, the market leading anti-programmed cell death protein-1, or PD-1, checkpoint inhibitor, in the first half of 2021, and gastric/GEJ carcinoma in combination with trastuzumab, marketed as Herceptin, the market-leading anti-HER2 antibody, in the second half of 2021.</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1120" w:right="80" w:hanging="403"/>
        <w:spacing w:after="0" w:line="249"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plan to initiate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1b/2 trial of ALX148, in combination with azacitidine, for the first-line treatment of patients with higher-risk MDS by the end of 2020 and in combination with standard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81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40" w:right="40"/>
        <w:spacing w:after="0" w:line="235" w:lineRule="auto"/>
        <w:rPr>
          <w:sz w:val="20"/>
          <w:szCs w:val="20"/>
          <w:color w:val="auto"/>
        </w:rPr>
      </w:pPr>
      <w:r>
        <w:rPr>
          <w:rFonts w:ascii="Arial" w:cs="Arial" w:eastAsia="Arial" w:hAnsi="Arial"/>
          <w:sz w:val="17"/>
          <w:szCs w:val="17"/>
          <w:color w:val="auto"/>
        </w:rPr>
        <w:t>care agents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high-risk MDS. Similarly, we believe ALX148 combination therapies could address the significant unmet need for more active tolerable regimens in the majority of patients with AML who are not fit for intensive induction chemotherapy.</w:t>
      </w:r>
    </w:p>
    <w:p>
      <w:pPr>
        <w:spacing w:after="0" w:line="6" w:lineRule="exact"/>
        <w:rPr>
          <w:sz w:val="20"/>
          <w:szCs w:val="20"/>
          <w:color w:val="auto"/>
        </w:rPr>
      </w:pPr>
    </w:p>
    <w:p>
      <w:pPr>
        <w:ind w:left="1120" w:right="40" w:hanging="403"/>
        <w:spacing w:after="0" w:line="236"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other CD47 blocking approaches in solid tumors. We have generated encouraging data in subjects with HNSCC treated with ALX148 in combination with a PD-1 checkpoint inhibitor and in subjects with HER2-positive gastric/GEJ cancer, who have progressed on prior HER2-targeted therapy and chemotherapy, treated in combination with a HER2-targeted antibody. We have initiated additional Phase 1b cohorts for the first-line treatment of subjects with HNSCC and patients with HER2-positive gastric/GEJ cancer, with Phase 1b data expected in 2021. The FDA has granted ALX148 Fast Track designation in first-line HNSCC and advanced HER2 positive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randomized Phase 2 trial of ALX148, trastuzumab and chemotherapy in first-line HER2-positive gastric/GEJ cancer to inform future paths to registration in this indication.</w:t>
      </w:r>
    </w:p>
    <w:p>
      <w:pPr>
        <w:spacing w:after="0" w:line="5" w:lineRule="exact"/>
        <w:rPr>
          <w:rFonts w:ascii="MS PGothic" w:cs="MS PGothic" w:eastAsia="MS PGothic" w:hAnsi="MS PGothic"/>
          <w:sz w:val="13"/>
          <w:szCs w:val="13"/>
          <w:color w:val="auto"/>
        </w:rPr>
      </w:pPr>
    </w:p>
    <w:p>
      <w:pPr>
        <w:ind w:left="1120" w:right="60" w:hanging="403"/>
        <w:spacing w:after="0" w:line="244"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engage the immune 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1120" w:right="60" w:hanging="403"/>
        <w:spacing w:after="0" w:line="238"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our future product candidates with other novel agents owned fully or in part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80" w:lineRule="exact"/>
        <w:rPr>
          <w:sz w:val="20"/>
          <w:szCs w:val="20"/>
          <w:color w:val="auto"/>
        </w:rPr>
      </w:pPr>
    </w:p>
    <w:p>
      <w:pPr>
        <w:ind w:left="300"/>
        <w:spacing w:after="0" w:line="232"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Rinat’s (a subsidiary of Pfizer), invented fremanezumab (FDA approved in 2018), tanezumab (Biologics License Application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w:t>
      </w:r>
    </w:p>
    <w:p>
      <w:pPr>
        <w:ind w:left="300"/>
        <w:spacing w:after="0"/>
        <w:rPr>
          <w:sz w:val="20"/>
          <w:szCs w:val="20"/>
          <w:color w:val="auto"/>
        </w:rPr>
      </w:pPr>
      <w:r>
        <w:rPr>
          <w:rFonts w:ascii="Arial" w:cs="Arial" w:eastAsia="Arial" w:hAnsi="Arial"/>
          <w:sz w:val="17"/>
          <w:szCs w:val="17"/>
          <w:color w:val="auto"/>
        </w:rPr>
        <w:t>preferred stock to investors including venBio, Lightstone Ventures, Vivo Capital, Logos Capital, Janus Henderson,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44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Foresite Capital, Stanford University, Cormorant Asset Management, BVF Partners, HBM Healthcare Investments and the Longevity Fund.</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80" w:lineRule="exact"/>
        <w:rPr>
          <w:sz w:val="20"/>
          <w:szCs w:val="20"/>
          <w:color w:val="auto"/>
        </w:rPr>
      </w:pPr>
    </w:p>
    <w:p>
      <w:pPr>
        <w:ind w:left="300" w:right="520"/>
        <w:spacing w:after="0" w:line="243"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185" w:lineRule="exact"/>
        <w:rPr>
          <w:sz w:val="20"/>
          <w:szCs w:val="20"/>
          <w:color w:val="auto"/>
        </w:rPr>
      </w:pPr>
    </w:p>
    <w:p>
      <w:pPr>
        <w:ind w:left="1120" w:right="54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22" w:lineRule="exact"/>
        <w:rPr>
          <w:rFonts w:ascii="MS PGothic" w:cs="MS PGothic" w:eastAsia="MS PGothic" w:hAnsi="MS PGothic"/>
          <w:sz w:val="13"/>
          <w:szCs w:val="13"/>
          <w:color w:val="auto"/>
        </w:rPr>
      </w:pPr>
    </w:p>
    <w:p>
      <w:pPr>
        <w:ind w:left="1120" w:right="400" w:hanging="403"/>
        <w:spacing w:after="0" w:line="238"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34" w:lineRule="exact"/>
        <w:rPr>
          <w:rFonts w:ascii="MS PGothic" w:cs="MS PGothic" w:eastAsia="MS PGothic" w:hAnsi="MS PGothic"/>
          <w:sz w:val="13"/>
          <w:szCs w:val="13"/>
          <w:color w:val="auto"/>
        </w:rPr>
      </w:pPr>
    </w:p>
    <w:p>
      <w:pPr>
        <w:ind w:left="1120" w:right="48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22" w:lineRule="exact"/>
        <w:rPr>
          <w:rFonts w:ascii="MS PGothic" w:cs="MS PGothic" w:eastAsia="MS PGothic" w:hAnsi="MS PGothic"/>
          <w:sz w:val="13"/>
          <w:szCs w:val="13"/>
          <w:color w:val="auto"/>
        </w:rPr>
      </w:pPr>
    </w:p>
    <w:p>
      <w:pPr>
        <w:ind w:left="1120" w:right="54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22" w:lineRule="exact"/>
        <w:rPr>
          <w:rFonts w:ascii="MS PGothic" w:cs="MS PGothic" w:eastAsia="MS PGothic" w:hAnsi="MS PGothic"/>
          <w:sz w:val="13"/>
          <w:szCs w:val="13"/>
          <w:color w:val="auto"/>
        </w:rPr>
      </w:pPr>
    </w:p>
    <w:p>
      <w:pPr>
        <w:ind w:left="1120" w:right="96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22" w:lineRule="exact"/>
        <w:rPr>
          <w:rFonts w:ascii="MS PGothic" w:cs="MS PGothic" w:eastAsia="MS PGothic" w:hAnsi="MS PGothic"/>
          <w:sz w:val="13"/>
          <w:szCs w:val="13"/>
          <w:color w:val="auto"/>
        </w:rPr>
      </w:pPr>
    </w:p>
    <w:p>
      <w:pPr>
        <w:ind w:left="1120" w:right="50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22" w:lineRule="exact"/>
        <w:rPr>
          <w:rFonts w:ascii="MS PGothic" w:cs="MS PGothic" w:eastAsia="MS PGothic" w:hAnsi="MS PGothic"/>
          <w:sz w:val="13"/>
          <w:szCs w:val="13"/>
          <w:color w:val="auto"/>
        </w:rPr>
      </w:pPr>
    </w:p>
    <w:p>
      <w:pPr>
        <w:ind w:left="1120" w:right="3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22" w:lineRule="exact"/>
        <w:rPr>
          <w:rFonts w:ascii="MS PGothic" w:cs="MS PGothic" w:eastAsia="MS PGothic" w:hAnsi="MS PGothic"/>
          <w:sz w:val="13"/>
          <w:szCs w:val="13"/>
          <w:color w:val="auto"/>
        </w:rPr>
      </w:pPr>
    </w:p>
    <w:p>
      <w:pPr>
        <w:ind w:left="1120" w:right="2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22" w:lineRule="exact"/>
        <w:rPr>
          <w:rFonts w:ascii="MS PGothic" w:cs="MS PGothic" w:eastAsia="MS PGothic" w:hAnsi="MS PGothic"/>
          <w:sz w:val="13"/>
          <w:szCs w:val="13"/>
          <w:color w:val="auto"/>
        </w:rPr>
      </w:pPr>
    </w:p>
    <w:p>
      <w:pPr>
        <w:ind w:left="11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22" w:lineRule="exact"/>
        <w:rPr>
          <w:rFonts w:ascii="MS PGothic" w:cs="MS PGothic" w:eastAsia="MS PGothic" w:hAnsi="MS PGothic"/>
          <w:sz w:val="13"/>
          <w:szCs w:val="13"/>
          <w:color w:val="auto"/>
        </w:rPr>
      </w:pPr>
    </w:p>
    <w:p>
      <w:pPr>
        <w:ind w:left="1120" w:right="20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w:t>
      </w:r>
    </w:p>
    <w:p>
      <w:pPr>
        <w:spacing w:after="0" w:line="22" w:lineRule="exact"/>
        <w:rPr>
          <w:rFonts w:ascii="MS PGothic" w:cs="MS PGothic" w:eastAsia="MS PGothic" w:hAnsi="MS PGothic"/>
          <w:sz w:val="13"/>
          <w:szCs w:val="13"/>
          <w:color w:val="auto"/>
        </w:rPr>
      </w:pPr>
    </w:p>
    <w:p>
      <w:pPr>
        <w:ind w:left="1120" w:right="1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 and History</w:t>
      </w:r>
    </w:p>
    <w:p>
      <w:pPr>
        <w:spacing w:after="0" w:line="93" w:lineRule="exact"/>
        <w:rPr>
          <w:sz w:val="20"/>
          <w:szCs w:val="20"/>
          <w:color w:val="auto"/>
        </w:rPr>
      </w:pPr>
    </w:p>
    <w:p>
      <w:pPr>
        <w:ind w:left="300" w:right="80"/>
        <w:spacing w:after="0" w:line="234"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ALX Oncology Holdings Inc. as they did in ALX Oncology Limited immediately prior to the reorganization. We present the information included in this prospectus as that of ALX Oncology Holdings Inc. unless such information refers to a date prior to April 1, 2020, in which case it will reflect that of our predecessor company. In addition, we present our capitalization information as “preferred stock” and “common stock” of ALX Oncology Holdings Inc., while we present 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100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381000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720"/>
        <w:spacing w:after="0" w:line="331" w:lineRule="auto"/>
        <w:rPr>
          <w:sz w:val="20"/>
          <w:szCs w:val="20"/>
          <w:color w:val="auto"/>
        </w:rPr>
      </w:pPr>
      <w:r>
        <w:rPr>
          <w:rFonts w:ascii="Arial" w:cs="Arial" w:eastAsia="Arial" w:hAnsi="Arial"/>
          <w:sz w:val="17"/>
          <w:szCs w:val="17"/>
          <w:color w:val="auto"/>
        </w:rPr>
        <w:t>capitalization information from a date prior to April 1, 2020 as “preferred shares” and “ordinary shares” of ALX Oncology Limited. Our principal executive offices are located at 866 Malcolm Road, Suite 100, Burlingame, California 94010. Our telephone number is</w:t>
      </w:r>
    </w:p>
    <w:p>
      <w:pPr>
        <w:spacing w:after="0" w:line="1" w:lineRule="exact"/>
        <w:rPr>
          <w:sz w:val="20"/>
          <w:szCs w:val="20"/>
          <w:color w:val="auto"/>
        </w:rPr>
      </w:pPr>
    </w:p>
    <w:p>
      <w:pPr>
        <w:ind w:left="300" w:right="80"/>
        <w:spacing w:after="0" w:line="243" w:lineRule="auto"/>
        <w:rPr>
          <w:sz w:val="20"/>
          <w:szCs w:val="20"/>
          <w:color w:val="auto"/>
        </w:rPr>
      </w:pPr>
      <w:r>
        <w:rPr>
          <w:rFonts w:ascii="Arial" w:cs="Arial" w:eastAsia="Arial" w:hAnsi="Arial"/>
          <w:sz w:val="17"/>
          <w:szCs w:val="17"/>
          <w:color w:val="auto"/>
        </w:rPr>
        <w:t>650-466-7125. Our website address is http://alxoncology.com. Information contained on, or that can be accessed through, our website is not incorporated by reference into this prospectus and should not be considered to be part of this prospectus.</w:t>
      </w:r>
    </w:p>
    <w:p>
      <w:pPr>
        <w:spacing w:after="0" w:line="144" w:lineRule="exact"/>
        <w:rPr>
          <w:sz w:val="20"/>
          <w:szCs w:val="20"/>
          <w:color w:val="auto"/>
        </w:rPr>
      </w:pPr>
    </w:p>
    <w:p>
      <w:pPr>
        <w:ind w:left="300" w:right="140"/>
        <w:spacing w:after="0" w:line="235" w:lineRule="auto"/>
        <w:rPr>
          <w:sz w:val="20"/>
          <w:szCs w:val="20"/>
          <w:color w:val="auto"/>
        </w:rPr>
      </w:pPr>
      <w:r>
        <w:rPr>
          <w:rFonts w:ascii="Arial" w:cs="Arial" w:eastAsia="Arial" w:hAnsi="Arial"/>
          <w:sz w:val="17"/>
          <w:szCs w:val="17"/>
          <w:color w:val="auto"/>
        </w:rPr>
        <w:t xml:space="preserve">We use ALX Oncology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0" w:lineRule="exact"/>
        <w:rPr>
          <w:sz w:val="20"/>
          <w:szCs w:val="20"/>
          <w:color w:val="auto"/>
        </w:rPr>
      </w:pPr>
    </w:p>
    <w:p>
      <w:pPr>
        <w:ind w:left="300"/>
        <w:spacing w:after="0" w:line="232"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consolidated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w:t>
      </w:r>
    </w:p>
    <w:p>
      <w:pPr>
        <w:spacing w:after="0" w:line="1" w:lineRule="exact"/>
        <w:rPr>
          <w:sz w:val="20"/>
          <w:szCs w:val="20"/>
          <w:color w:val="auto"/>
        </w:rPr>
      </w:pPr>
    </w:p>
    <w:p>
      <w:pPr>
        <w:ind w:left="300" w:right="180" w:hanging="2"/>
        <w:spacing w:after="0" w:line="238" w:lineRule="auto"/>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331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4020" w:type="dxa"/>
            <w:vAlign w:val="bottom"/>
          </w:tcPr>
          <w:p>
            <w:pPr>
              <w:spacing w:after="0"/>
              <w:rPr>
                <w:sz w:val="20"/>
                <w:szCs w:val="20"/>
                <w:color w:val="auto"/>
              </w:rPr>
            </w:pPr>
            <w:r>
              <w:rPr>
                <w:rFonts w:ascii="Arial" w:cs="Arial" w:eastAsia="Arial" w:hAnsi="Arial"/>
                <w:sz w:val="17"/>
                <w:szCs w:val="17"/>
                <w:color w:val="auto"/>
              </w:rPr>
              <w:t>Common stock offered</w:t>
            </w:r>
          </w:p>
        </w:tc>
        <w:tc>
          <w:tcPr>
            <w:tcW w:w="120" w:type="dxa"/>
            <w:vAlign w:val="bottom"/>
          </w:tcPr>
          <w:p>
            <w:pPr>
              <w:spacing w:after="0"/>
              <w:rPr>
                <w:sz w:val="17"/>
                <w:szCs w:val="17"/>
                <w:color w:val="auto"/>
              </w:rPr>
            </w:pPr>
          </w:p>
        </w:tc>
        <w:tc>
          <w:tcPr>
            <w:tcW w:w="2180" w:type="dxa"/>
            <w:vAlign w:val="bottom"/>
          </w:tcPr>
          <w:p>
            <w:pPr>
              <w:ind w:left="700"/>
              <w:spacing w:after="0"/>
              <w:rPr>
                <w:sz w:val="20"/>
                <w:szCs w:val="20"/>
                <w:color w:val="auto"/>
              </w:rPr>
            </w:pPr>
            <w:r>
              <w:rPr>
                <w:rFonts w:ascii="Arial" w:cs="Arial" w:eastAsia="Arial" w:hAnsi="Arial"/>
                <w:sz w:val="17"/>
                <w:szCs w:val="17"/>
                <w:color w:val="auto"/>
              </w:rPr>
              <w:t>shares.</w:t>
            </w:r>
          </w:p>
        </w:tc>
        <w:tc>
          <w:tcPr>
            <w:tcW w:w="13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89"/>
        </w:trPr>
        <w:tc>
          <w:tcPr>
            <w:tcW w:w="4020" w:type="dxa"/>
            <w:vAlign w:val="bottom"/>
          </w:tcPr>
          <w:p>
            <w:pPr>
              <w:spacing w:after="0"/>
              <w:rPr>
                <w:sz w:val="20"/>
                <w:szCs w:val="20"/>
                <w:color w:val="auto"/>
              </w:rPr>
            </w:pPr>
            <w:r>
              <w:rPr>
                <w:rFonts w:ascii="Arial" w:cs="Arial" w:eastAsia="Arial" w:hAnsi="Arial"/>
                <w:sz w:val="17"/>
                <w:szCs w:val="17"/>
                <w:color w:val="auto"/>
              </w:rPr>
              <w:t>Underwriters’ option to purchase additional shares of</w:t>
            </w:r>
          </w:p>
        </w:tc>
        <w:tc>
          <w:tcPr>
            <w:tcW w:w="120" w:type="dxa"/>
            <w:vAlign w:val="bottom"/>
          </w:tcPr>
          <w:p>
            <w:pPr>
              <w:spacing w:after="0"/>
              <w:rPr>
                <w:sz w:val="24"/>
                <w:szCs w:val="24"/>
                <w:color w:val="auto"/>
              </w:rPr>
            </w:pPr>
          </w:p>
        </w:tc>
        <w:tc>
          <w:tcPr>
            <w:tcW w:w="2180" w:type="dxa"/>
            <w:vAlign w:val="bottom"/>
          </w:tcPr>
          <w:p>
            <w:pPr>
              <w:ind w:left="700"/>
              <w:spacing w:after="0"/>
              <w:rPr>
                <w:sz w:val="20"/>
                <w:szCs w:val="20"/>
                <w:color w:val="auto"/>
              </w:rPr>
            </w:pPr>
            <w:r>
              <w:rPr>
                <w:rFonts w:ascii="Arial" w:cs="Arial" w:eastAsia="Arial" w:hAnsi="Arial"/>
                <w:sz w:val="17"/>
                <w:szCs w:val="17"/>
                <w:color w:val="auto"/>
              </w:rPr>
              <w:t>shares.</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5"/>
        </w:trPr>
        <w:tc>
          <w:tcPr>
            <w:tcW w:w="4020" w:type="dxa"/>
            <w:vAlign w:val="bottom"/>
          </w:tcPr>
          <w:p>
            <w:pPr>
              <w:ind w:left="80"/>
              <w:spacing w:after="0"/>
              <w:rPr>
                <w:sz w:val="20"/>
                <w:szCs w:val="20"/>
                <w:color w:val="auto"/>
              </w:rPr>
            </w:pPr>
            <w:r>
              <w:rPr>
                <w:rFonts w:ascii="Arial" w:cs="Arial" w:eastAsia="Arial" w:hAnsi="Arial"/>
                <w:sz w:val="17"/>
                <w:szCs w:val="17"/>
                <w:color w:val="auto"/>
              </w:rPr>
              <w:t>common stock</w:t>
            </w: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89"/>
        </w:trPr>
        <w:tc>
          <w:tcPr>
            <w:tcW w:w="4020" w:type="dxa"/>
            <w:vAlign w:val="bottom"/>
          </w:tcPr>
          <w:p>
            <w:pPr>
              <w:spacing w:after="0"/>
              <w:rPr>
                <w:sz w:val="20"/>
                <w:szCs w:val="20"/>
                <w:color w:val="auto"/>
              </w:rPr>
            </w:pPr>
            <w:r>
              <w:rPr>
                <w:rFonts w:ascii="Arial" w:cs="Arial" w:eastAsia="Arial" w:hAnsi="Arial"/>
                <w:sz w:val="17"/>
                <w:szCs w:val="17"/>
                <w:color w:val="auto"/>
              </w:rPr>
              <w:t>Common stock to be outstanding after the offering</w:t>
            </w:r>
          </w:p>
        </w:tc>
        <w:tc>
          <w:tcPr>
            <w:tcW w:w="120" w:type="dxa"/>
            <w:vAlign w:val="bottom"/>
          </w:tcPr>
          <w:p>
            <w:pPr>
              <w:spacing w:after="0"/>
              <w:rPr>
                <w:sz w:val="24"/>
                <w:szCs w:val="24"/>
                <w:color w:val="auto"/>
              </w:rPr>
            </w:pPr>
          </w:p>
        </w:tc>
        <w:tc>
          <w:tcPr>
            <w:tcW w:w="2180" w:type="dxa"/>
            <w:vAlign w:val="bottom"/>
          </w:tcPr>
          <w:p>
            <w:pPr>
              <w:ind w:left="700"/>
              <w:spacing w:after="0"/>
              <w:rPr>
                <w:sz w:val="20"/>
                <w:szCs w:val="20"/>
                <w:color w:val="auto"/>
              </w:rPr>
            </w:pPr>
            <w:r>
              <w:rPr>
                <w:rFonts w:ascii="Arial" w:cs="Arial" w:eastAsia="Arial" w:hAnsi="Arial"/>
                <w:sz w:val="17"/>
                <w:szCs w:val="17"/>
                <w:color w:val="auto"/>
              </w:rPr>
              <w:t>shares (or</w:t>
            </w:r>
          </w:p>
        </w:tc>
        <w:tc>
          <w:tcPr>
            <w:tcW w:w="4300" w:type="dxa"/>
            <w:vAlign w:val="bottom"/>
            <w:gridSpan w:val="2"/>
          </w:tcPr>
          <w:p>
            <w:pPr>
              <w:ind w:left="140"/>
              <w:spacing w:after="0"/>
              <w:rPr>
                <w:sz w:val="20"/>
                <w:szCs w:val="20"/>
                <w:color w:val="auto"/>
              </w:rPr>
            </w:pPr>
            <w:r>
              <w:rPr>
                <w:rFonts w:ascii="Arial" w:cs="Arial" w:eastAsia="Arial" w:hAnsi="Arial"/>
                <w:sz w:val="17"/>
                <w:szCs w:val="17"/>
                <w:color w:val="auto"/>
              </w:rPr>
              <w:t>shares if the underwriters exercise in full their option to</w:t>
            </w:r>
          </w:p>
        </w:tc>
      </w:tr>
      <w:tr>
        <w:trPr>
          <w:trHeight w:val="205"/>
        </w:trPr>
        <w:tc>
          <w:tcPr>
            <w:tcW w:w="4020" w:type="dxa"/>
            <w:vAlign w:val="bottom"/>
          </w:tcPr>
          <w:p>
            <w:pPr>
              <w:spacing w:after="0"/>
              <w:rPr>
                <w:sz w:val="17"/>
                <w:szCs w:val="17"/>
                <w:color w:val="auto"/>
              </w:rPr>
            </w:pPr>
          </w:p>
        </w:tc>
        <w:tc>
          <w:tcPr>
            <w:tcW w:w="2300" w:type="dxa"/>
            <w:vAlign w:val="bottom"/>
            <w:gridSpan w:val="2"/>
          </w:tcPr>
          <w:p>
            <w:pPr>
              <w:ind w:left="20"/>
              <w:spacing w:after="0"/>
              <w:rPr>
                <w:sz w:val="20"/>
                <w:szCs w:val="20"/>
                <w:color w:val="auto"/>
              </w:rPr>
            </w:pPr>
            <w:r>
              <w:rPr>
                <w:rFonts w:ascii="Arial" w:cs="Arial" w:eastAsia="Arial" w:hAnsi="Arial"/>
                <w:sz w:val="17"/>
                <w:szCs w:val="17"/>
                <w:color w:val="auto"/>
              </w:rPr>
              <w:t>purchase additional shares).</w:t>
            </w:r>
          </w:p>
        </w:tc>
        <w:tc>
          <w:tcPr>
            <w:tcW w:w="13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Use of proceeds</w:t>
            </w:r>
          </w:p>
        </w:tc>
        <w:tc>
          <w:tcPr>
            <w:tcW w:w="6600" w:type="dxa"/>
            <w:vAlign w:val="bottom"/>
            <w:gridSpan w:val="4"/>
          </w:tcPr>
          <w:p>
            <w:pPr>
              <w:ind w:left="20"/>
              <w:spacing w:after="0"/>
              <w:rPr>
                <w:sz w:val="20"/>
                <w:szCs w:val="20"/>
                <w:color w:val="auto"/>
              </w:rPr>
            </w:pPr>
            <w:r>
              <w:rPr>
                <w:rFonts w:ascii="Arial" w:cs="Arial" w:eastAsia="Arial" w:hAnsi="Arial"/>
                <w:sz w:val="17"/>
                <w:szCs w:val="17"/>
                <w:color w:val="auto"/>
              </w:rPr>
              <w:t>We estimate that the net proceeds to us from this offering will be approximately</w:t>
            </w:r>
          </w:p>
        </w:tc>
      </w:tr>
      <w:tr>
        <w:trPr>
          <w:trHeight w:val="189"/>
        </w:trPr>
        <w:tc>
          <w:tcPr>
            <w:tcW w:w="4020" w:type="dxa"/>
            <w:vAlign w:val="bottom"/>
          </w:tcPr>
          <w:p>
            <w:pPr>
              <w:spacing w:after="0"/>
              <w:rPr>
                <w:sz w:val="16"/>
                <w:szCs w:val="16"/>
                <w:color w:val="auto"/>
              </w:rPr>
            </w:pPr>
          </w:p>
        </w:tc>
        <w:tc>
          <w:tcPr>
            <w:tcW w:w="120" w:type="dxa"/>
            <w:vAlign w:val="bottom"/>
          </w:tcPr>
          <w:p>
            <w:pPr>
              <w:ind w:left="20"/>
              <w:spacing w:after="0" w:line="189" w:lineRule="exact"/>
              <w:rPr>
                <w:sz w:val="20"/>
                <w:szCs w:val="20"/>
                <w:color w:val="auto"/>
              </w:rPr>
            </w:pPr>
            <w:r>
              <w:rPr>
                <w:rFonts w:ascii="Arial" w:cs="Arial" w:eastAsia="Arial" w:hAnsi="Arial"/>
                <w:sz w:val="17"/>
                <w:szCs w:val="17"/>
                <w:color w:val="auto"/>
                <w:w w:val="84"/>
              </w:rPr>
              <w:t>$</w:t>
            </w:r>
          </w:p>
        </w:tc>
        <w:tc>
          <w:tcPr>
            <w:tcW w:w="6480" w:type="dxa"/>
            <w:vAlign w:val="bottom"/>
            <w:gridSpan w:val="3"/>
          </w:tcPr>
          <w:p>
            <w:pPr>
              <w:jc w:val="center"/>
              <w:spacing w:after="0" w:line="189" w:lineRule="exact"/>
              <w:rPr>
                <w:sz w:val="20"/>
                <w:szCs w:val="20"/>
                <w:color w:val="auto"/>
              </w:rPr>
            </w:pPr>
            <w:r>
              <w:rPr>
                <w:rFonts w:ascii="Arial" w:cs="Arial" w:eastAsia="Arial" w:hAnsi="Arial"/>
                <w:sz w:val="17"/>
                <w:szCs w:val="17"/>
                <w:color w:val="auto"/>
              </w:rPr>
              <w:t>million, based upon the assumed initial public offering price of $</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per share, which is the midpoint of the price range set forth on the cover page of this</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prospectus, after deducting the underwriting discounts and commissions and estimated</w:t>
            </w:r>
          </w:p>
        </w:tc>
      </w:tr>
      <w:tr>
        <w:trPr>
          <w:trHeight w:val="205"/>
        </w:trPr>
        <w:tc>
          <w:tcPr>
            <w:tcW w:w="4020" w:type="dxa"/>
            <w:vAlign w:val="bottom"/>
          </w:tcPr>
          <w:p>
            <w:pPr>
              <w:spacing w:after="0"/>
              <w:rPr>
                <w:sz w:val="17"/>
                <w:szCs w:val="17"/>
                <w:color w:val="auto"/>
              </w:rPr>
            </w:pPr>
          </w:p>
        </w:tc>
        <w:tc>
          <w:tcPr>
            <w:tcW w:w="3600" w:type="dxa"/>
            <w:vAlign w:val="bottom"/>
            <w:gridSpan w:val="3"/>
          </w:tcPr>
          <w:p>
            <w:pPr>
              <w:ind w:left="20"/>
              <w:spacing w:after="0"/>
              <w:rPr>
                <w:sz w:val="20"/>
                <w:szCs w:val="20"/>
                <w:color w:val="auto"/>
              </w:rPr>
            </w:pPr>
            <w:r>
              <w:rPr>
                <w:rFonts w:ascii="Arial" w:cs="Arial" w:eastAsia="Arial" w:hAnsi="Arial"/>
                <w:sz w:val="17"/>
                <w:szCs w:val="17"/>
                <w:color w:val="auto"/>
              </w:rPr>
              <w:t>offering expenses payable by us.</w:t>
            </w:r>
          </w:p>
        </w:tc>
        <w:tc>
          <w:tcPr>
            <w:tcW w:w="3000" w:type="dxa"/>
            <w:vAlign w:val="bottom"/>
          </w:tcPr>
          <w:p>
            <w:pPr>
              <w:spacing w:after="0"/>
              <w:rPr>
                <w:sz w:val="17"/>
                <w:szCs w:val="17"/>
                <w:color w:val="auto"/>
              </w:rPr>
            </w:pPr>
          </w:p>
        </w:tc>
      </w:tr>
      <w:tr>
        <w:trPr>
          <w:trHeight w:val="376"/>
        </w:trPr>
        <w:tc>
          <w:tcPr>
            <w:tcW w:w="4020" w:type="dxa"/>
            <w:vAlign w:val="bottom"/>
          </w:tcPr>
          <w:p>
            <w:pPr>
              <w:spacing w:after="0"/>
              <w:rPr>
                <w:sz w:val="24"/>
                <w:szCs w:val="24"/>
                <w:color w:val="auto"/>
              </w:rPr>
            </w:pPr>
          </w:p>
        </w:tc>
        <w:tc>
          <w:tcPr>
            <w:tcW w:w="6600" w:type="dxa"/>
            <w:vAlign w:val="bottom"/>
            <w:gridSpan w:val="4"/>
          </w:tcPr>
          <w:p>
            <w:pPr>
              <w:ind w:left="20"/>
              <w:spacing w:after="0"/>
              <w:rPr>
                <w:sz w:val="20"/>
                <w:szCs w:val="20"/>
                <w:color w:val="auto"/>
              </w:rPr>
            </w:pPr>
            <w:r>
              <w:rPr>
                <w:rFonts w:ascii="Arial" w:cs="Arial" w:eastAsia="Arial" w:hAnsi="Arial"/>
                <w:sz w:val="17"/>
                <w:szCs w:val="17"/>
                <w:color w:val="auto"/>
              </w:rPr>
              <w:t>We currently intend to use the net proceeds from this offering, together with our</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existing cash and cash equivalents, to fund the development of ALX148 through Phase</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1b and Phase 2 clinical trials in several indications, as well as for working capital and</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other general corporate activities. See “Use of Proceeds” on page 64 for a more</w:t>
            </w:r>
          </w:p>
        </w:tc>
      </w:tr>
      <w:tr>
        <w:trPr>
          <w:trHeight w:val="205"/>
        </w:trPr>
        <w:tc>
          <w:tcPr>
            <w:tcW w:w="4020" w:type="dxa"/>
            <w:vAlign w:val="bottom"/>
          </w:tcPr>
          <w:p>
            <w:pPr>
              <w:spacing w:after="0"/>
              <w:rPr>
                <w:sz w:val="17"/>
                <w:szCs w:val="17"/>
                <w:color w:val="auto"/>
              </w:rPr>
            </w:pPr>
          </w:p>
        </w:tc>
        <w:tc>
          <w:tcPr>
            <w:tcW w:w="6600" w:type="dxa"/>
            <w:vAlign w:val="bottom"/>
            <w:gridSpan w:val="4"/>
          </w:tcPr>
          <w:p>
            <w:pPr>
              <w:ind w:left="20"/>
              <w:spacing w:after="0"/>
              <w:rPr>
                <w:sz w:val="20"/>
                <w:szCs w:val="20"/>
                <w:color w:val="auto"/>
              </w:rPr>
            </w:pPr>
            <w:r>
              <w:rPr>
                <w:rFonts w:ascii="Arial" w:cs="Arial" w:eastAsia="Arial" w:hAnsi="Arial"/>
                <w:sz w:val="17"/>
                <w:szCs w:val="17"/>
                <w:color w:val="auto"/>
              </w:rPr>
              <w:t>complete description of the intended use of proceeds from this offering.</w:t>
            </w: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Risk factors</w:t>
            </w:r>
          </w:p>
        </w:tc>
        <w:tc>
          <w:tcPr>
            <w:tcW w:w="6600" w:type="dxa"/>
            <w:vAlign w:val="bottom"/>
            <w:gridSpan w:val="4"/>
          </w:tcPr>
          <w:p>
            <w:pPr>
              <w:ind w:left="20"/>
              <w:spacing w:after="0"/>
              <w:rPr>
                <w:sz w:val="20"/>
                <w:szCs w:val="20"/>
                <w:color w:val="auto"/>
              </w:rPr>
            </w:pPr>
            <w:r>
              <w:rPr>
                <w:rFonts w:ascii="Arial" w:cs="Arial" w:eastAsia="Arial" w:hAnsi="Arial"/>
                <w:sz w:val="17"/>
                <w:szCs w:val="17"/>
                <w:color w:val="auto"/>
              </w:rPr>
              <w:t>See “Risk Factors” beginning on page 11 and other information included in this</w:t>
            </w:r>
          </w:p>
        </w:tc>
      </w:tr>
      <w:tr>
        <w:trPr>
          <w:trHeight w:val="189"/>
        </w:trPr>
        <w:tc>
          <w:tcPr>
            <w:tcW w:w="4020" w:type="dxa"/>
            <w:vAlign w:val="bottom"/>
          </w:tcPr>
          <w:p>
            <w:pPr>
              <w:spacing w:after="0"/>
              <w:rPr>
                <w:sz w:val="16"/>
                <w:szCs w:val="16"/>
                <w:color w:val="auto"/>
              </w:rPr>
            </w:pPr>
          </w:p>
        </w:tc>
        <w:tc>
          <w:tcPr>
            <w:tcW w:w="660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prospectus for a discussion of factors that you should consider carefully before</w:t>
            </w:r>
          </w:p>
        </w:tc>
      </w:tr>
      <w:tr>
        <w:trPr>
          <w:trHeight w:val="205"/>
        </w:trPr>
        <w:tc>
          <w:tcPr>
            <w:tcW w:w="4020" w:type="dxa"/>
            <w:vAlign w:val="bottom"/>
          </w:tcPr>
          <w:p>
            <w:pPr>
              <w:spacing w:after="0"/>
              <w:rPr>
                <w:sz w:val="17"/>
                <w:szCs w:val="17"/>
                <w:color w:val="auto"/>
              </w:rPr>
            </w:pPr>
          </w:p>
        </w:tc>
        <w:tc>
          <w:tcPr>
            <w:tcW w:w="3600" w:type="dxa"/>
            <w:vAlign w:val="bottom"/>
            <w:gridSpan w:val="3"/>
          </w:tcPr>
          <w:p>
            <w:pPr>
              <w:ind w:left="20"/>
              <w:spacing w:after="0"/>
              <w:rPr>
                <w:sz w:val="20"/>
                <w:szCs w:val="20"/>
                <w:color w:val="auto"/>
              </w:rPr>
            </w:pPr>
            <w:r>
              <w:rPr>
                <w:rFonts w:ascii="Arial" w:cs="Arial" w:eastAsia="Arial" w:hAnsi="Arial"/>
                <w:sz w:val="17"/>
                <w:szCs w:val="17"/>
                <w:color w:val="auto"/>
              </w:rPr>
              <w:t>deciding to invest in our common stock.</w:t>
            </w:r>
          </w:p>
        </w:tc>
        <w:tc>
          <w:tcPr>
            <w:tcW w:w="3000" w:type="dxa"/>
            <w:vAlign w:val="bottom"/>
          </w:tcPr>
          <w:p>
            <w:pPr>
              <w:spacing w:after="0"/>
              <w:rPr>
                <w:sz w:val="17"/>
                <w:szCs w:val="17"/>
                <w:color w:val="auto"/>
              </w:rPr>
            </w:pP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Proposed Nasdaq Global Select Market trading</w:t>
            </w:r>
          </w:p>
        </w:tc>
        <w:tc>
          <w:tcPr>
            <w:tcW w:w="2300" w:type="dxa"/>
            <w:vAlign w:val="bottom"/>
            <w:gridSpan w:val="2"/>
          </w:tcPr>
          <w:p>
            <w:pPr>
              <w:ind w:left="20"/>
              <w:spacing w:after="0"/>
              <w:rPr>
                <w:sz w:val="20"/>
                <w:szCs w:val="20"/>
                <w:color w:val="auto"/>
              </w:rPr>
            </w:pPr>
            <w:r>
              <w:rPr>
                <w:rFonts w:ascii="Arial" w:cs="Arial" w:eastAsia="Arial" w:hAnsi="Arial"/>
                <w:sz w:val="17"/>
                <w:szCs w:val="17"/>
                <w:color w:val="auto"/>
              </w:rPr>
              <w:t>“ALXO”</w:t>
            </w:r>
          </w:p>
        </w:tc>
        <w:tc>
          <w:tcPr>
            <w:tcW w:w="13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5"/>
        </w:trPr>
        <w:tc>
          <w:tcPr>
            <w:tcW w:w="4020" w:type="dxa"/>
            <w:vAlign w:val="bottom"/>
          </w:tcPr>
          <w:p>
            <w:pPr>
              <w:ind w:left="80"/>
              <w:spacing w:after="0"/>
              <w:rPr>
                <w:sz w:val="20"/>
                <w:szCs w:val="20"/>
                <w:color w:val="auto"/>
              </w:rPr>
            </w:pPr>
            <w:r>
              <w:rPr>
                <w:rFonts w:ascii="Arial" w:cs="Arial" w:eastAsia="Arial" w:hAnsi="Arial"/>
                <w:sz w:val="17"/>
                <w:szCs w:val="17"/>
                <w:color w:val="auto"/>
              </w:rPr>
              <w:t>symbol</w:t>
            </w: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49"/>
        </w:trPr>
        <w:tc>
          <w:tcPr>
            <w:tcW w:w="7620" w:type="dxa"/>
            <w:vAlign w:val="bottom"/>
            <w:gridSpan w:val="4"/>
          </w:tcPr>
          <w:p>
            <w:pPr>
              <w:spacing w:after="0"/>
              <w:rPr>
                <w:sz w:val="20"/>
                <w:szCs w:val="20"/>
                <w:color w:val="auto"/>
              </w:rPr>
            </w:pPr>
            <w:r>
              <w:rPr>
                <w:rFonts w:ascii="Arial" w:cs="Arial" w:eastAsia="Arial" w:hAnsi="Arial"/>
                <w:sz w:val="17"/>
                <w:szCs w:val="17"/>
                <w:color w:val="auto"/>
              </w:rPr>
              <w:t>The number of shares of our common stock to be outstanding after this offering is based on the</w:t>
            </w:r>
          </w:p>
        </w:tc>
        <w:tc>
          <w:tcPr>
            <w:tcW w:w="3000" w:type="dxa"/>
            <w:vAlign w:val="bottom"/>
          </w:tcPr>
          <w:p>
            <w:pPr>
              <w:ind w:left="420"/>
              <w:spacing w:after="0"/>
              <w:rPr>
                <w:sz w:val="20"/>
                <w:szCs w:val="20"/>
                <w:color w:val="auto"/>
              </w:rPr>
            </w:pPr>
            <w:r>
              <w:rPr>
                <w:rFonts w:ascii="Arial" w:cs="Arial" w:eastAsia="Arial" w:hAnsi="Arial"/>
                <w:sz w:val="17"/>
                <w:szCs w:val="17"/>
                <w:color w:val="auto"/>
              </w:rPr>
              <w:t>shares of our common stock</w:t>
            </w: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7"/>
                <w:szCs w:val="17"/>
                <w:color w:val="auto"/>
              </w:rPr>
              <w:t>outstanding as of March 31, 2020 (including</w:t>
            </w:r>
          </w:p>
        </w:tc>
        <w:tc>
          <w:tcPr>
            <w:tcW w:w="120" w:type="dxa"/>
            <w:vAlign w:val="bottom"/>
          </w:tcPr>
          <w:p>
            <w:pPr>
              <w:spacing w:after="0"/>
              <w:rPr>
                <w:sz w:val="16"/>
                <w:szCs w:val="16"/>
                <w:color w:val="auto"/>
              </w:rPr>
            </w:pPr>
          </w:p>
        </w:tc>
        <w:tc>
          <w:tcPr>
            <w:tcW w:w="6480" w:type="dxa"/>
            <w:vAlign w:val="bottom"/>
            <w:gridSpan w:val="3"/>
          </w:tcPr>
          <w:p>
            <w:pPr>
              <w:jc w:val="center"/>
              <w:spacing w:after="0" w:line="189" w:lineRule="exact"/>
              <w:rPr>
                <w:sz w:val="20"/>
                <w:szCs w:val="20"/>
                <w:color w:val="auto"/>
              </w:rPr>
            </w:pPr>
            <w:r>
              <w:rPr>
                <w:rFonts w:ascii="Arial" w:cs="Arial" w:eastAsia="Arial" w:hAnsi="Arial"/>
                <w:sz w:val="17"/>
                <w:szCs w:val="17"/>
                <w:color w:val="auto"/>
              </w:rPr>
              <w:t>shares of common stock that are subject to a right of repurchase and our convertible</w:t>
            </w:r>
          </w:p>
        </w:tc>
      </w:tr>
    </w:tbl>
    <w:p>
      <w:pPr>
        <w:ind w:left="300"/>
        <w:spacing w:after="0"/>
        <w:rPr>
          <w:sz w:val="20"/>
          <w:szCs w:val="20"/>
          <w:color w:val="auto"/>
        </w:rPr>
      </w:pPr>
      <w:r>
        <w:rPr>
          <w:rFonts w:ascii="Arial" w:cs="Arial" w:eastAsia="Arial" w:hAnsi="Arial"/>
          <w:sz w:val="17"/>
          <w:szCs w:val="17"/>
          <w:color w:val="auto"/>
        </w:rPr>
        <w:t>preferred stock on an as-converted basis), and excludes:</w:t>
      </w:r>
    </w:p>
    <w:p>
      <w:pPr>
        <w:spacing w:after="0" w:line="196" w:lineRule="exact"/>
        <w:rPr>
          <w:sz w:val="20"/>
          <w:szCs w:val="20"/>
          <w:color w:val="auto"/>
        </w:rPr>
      </w:pPr>
    </w:p>
    <w:p>
      <w:pPr>
        <w:ind w:left="1120" w:right="100" w:hanging="403"/>
        <w:spacing w:after="0" w:line="243"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21,063,923 shares of common stock issuable upon exercise of options outstanding as of March 31, 2020, at a weighted-average exercise price of $0.47 per share;</w:t>
      </w:r>
    </w:p>
    <w:p>
      <w:pPr>
        <w:spacing w:after="0" w:line="22" w:lineRule="exact"/>
        <w:rPr>
          <w:rFonts w:ascii="MS PGothic" w:cs="MS PGothic" w:eastAsia="MS PGothic" w:hAnsi="MS PGothic"/>
          <w:sz w:val="13"/>
          <w:szCs w:val="13"/>
          <w:color w:val="auto"/>
        </w:rPr>
      </w:pPr>
    </w:p>
    <w:p>
      <w:pPr>
        <w:ind w:left="1120" w:right="520" w:hanging="403"/>
        <w:spacing w:after="0" w:line="243"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4,150,000 shares of common stock issuable upon exercise of options granted after March 31, 2020, at a weighted-average exercise price of $0.75 per share;</w:t>
      </w:r>
    </w:p>
    <w:p>
      <w:pPr>
        <w:spacing w:after="0" w:line="22" w:lineRule="exact"/>
        <w:rPr>
          <w:rFonts w:ascii="MS PGothic" w:cs="MS PGothic" w:eastAsia="MS PGothic" w:hAnsi="MS PGothic"/>
          <w:sz w:val="13"/>
          <w:szCs w:val="13"/>
          <w:color w:val="auto"/>
        </w:rPr>
      </w:pPr>
    </w:p>
    <w:p>
      <w:pPr>
        <w:ind w:left="1120" w:right="280" w:hanging="403"/>
        <w:spacing w:after="0" w:line="238"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403,348 shares of our convertible preferred stock that were outstanding as of March 31, 2020 that will be converted into warrants to purchase an aggregate of 403,348 shares of our common stock, with an exercise price of $1.4432 per share; and</w:t>
      </w:r>
    </w:p>
    <w:p>
      <w:pPr>
        <w:spacing w:after="0" w:line="25" w:lineRule="exact"/>
        <w:rPr>
          <w:rFonts w:ascii="MS PGothic" w:cs="MS PGothic" w:eastAsia="MS PGothic" w:hAnsi="MS PGothic"/>
          <w:sz w:val="13"/>
          <w:szCs w:val="13"/>
          <w:color w:val="auto"/>
        </w:rPr>
      </w:pPr>
    </w:p>
    <w:p>
      <w:pPr>
        <w:ind w:left="1120" w:right="100" w:hanging="403"/>
        <w:spacing w:after="0" w:line="236"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1,277,036 shares of common stock reserved for issuance pursuant to future awards under our 2020 Equity Incentive Plan, or the 2020 Plan, including the amendment thereto that will become effective immediately prior to the completion of this offering, and any additional shares that become available under our 2020 Plan pursuant to provisions thereof that automatically increase the share reserve under the plan each year.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8643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186436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or the context otherwise requires, this prospectus reflects and assumes the following:</w:t>
      </w:r>
    </w:p>
    <w:p>
      <w:pPr>
        <w:spacing w:after="0" w:line="177" w:lineRule="exact"/>
        <w:rPr>
          <w:sz w:val="20"/>
          <w:szCs w:val="20"/>
          <w:color w:val="auto"/>
        </w:rPr>
      </w:pPr>
    </w:p>
    <w:p>
      <w:pPr>
        <w:ind w:left="720"/>
        <w:spacing w:after="0"/>
        <w:tabs>
          <w:tab w:leader="none" w:pos="1100" w:val="left"/>
          <w:tab w:leader="none" w:pos="20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-for-1 reverse stock split to be effected prior to the closing of this offering;</w:t>
      </w:r>
    </w:p>
    <w:p>
      <w:pPr>
        <w:spacing w:after="0" w:line="53" w:lineRule="exact"/>
        <w:rPr>
          <w:sz w:val="20"/>
          <w:szCs w:val="20"/>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no exercise of the outstanding options and the warrants described above;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no exercise by the underwriters of their option to purchase additional shares of our common stock;</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of our outstanding shares of convertible preferred stock, including cumulative dividends, into an</w:t>
      </w:r>
    </w:p>
    <w:p>
      <w:pPr>
        <w:sectPr>
          <w:pgSz w:w="11900" w:h="16838" w:orient="portrait"/>
          <w:cols w:equalWidth="0" w:num="1">
            <w:col w:w="10740"/>
          </w:cols>
          <w:pgMar w:left="320" w:top="459" w:right="839" w:bottom="1440" w:gutter="0" w:footer="0" w:header="0"/>
        </w:sectPr>
      </w:pPr>
    </w:p>
    <w:p>
      <w:pPr>
        <w:spacing w:after="0" w:line="3" w:lineRule="exact"/>
        <w:rPr>
          <w:sz w:val="20"/>
          <w:szCs w:val="20"/>
          <w:color w:val="auto"/>
        </w:rPr>
      </w:pPr>
    </w:p>
    <w:p>
      <w:pPr>
        <w:ind w:left="1120"/>
        <w:spacing w:after="0"/>
        <w:tabs>
          <w:tab w:leader="none" w:pos="2920" w:val="left"/>
        </w:tabs>
        <w:rPr>
          <w:sz w:val="20"/>
          <w:szCs w:val="20"/>
          <w:color w:val="auto"/>
        </w:rPr>
      </w:pPr>
      <w:r>
        <w:rPr>
          <w:rFonts w:ascii="Arial" w:cs="Arial" w:eastAsia="Arial" w:hAnsi="Arial"/>
          <w:sz w:val="17"/>
          <w:szCs w:val="17"/>
          <w:color w:val="auto"/>
        </w:rPr>
        <w:t>aggregate of</w:t>
      </w:r>
      <w:r>
        <w:rPr>
          <w:sz w:val="20"/>
          <w:szCs w:val="20"/>
          <w:color w:val="auto"/>
        </w:rPr>
        <w:tab/>
      </w:r>
      <w:r>
        <w:rPr>
          <w:rFonts w:ascii="Arial" w:cs="Arial" w:eastAsia="Arial" w:hAnsi="Arial"/>
          <w:sz w:val="17"/>
          <w:szCs w:val="17"/>
          <w:color w:val="auto"/>
        </w:rPr>
        <w:t>shares of common stock, which will occur immediately prior to the completion of this offering;</w:t>
      </w:r>
    </w:p>
    <w:p>
      <w:pPr>
        <w:sectPr>
          <w:pgSz w:w="11900" w:h="16838" w:orient="portrait"/>
          <w:cols w:equalWidth="0" w:num="1">
            <w:col w:w="10740"/>
          </w:cols>
          <w:pgMar w:left="320" w:top="459" w:right="839" w:bottom="1440" w:gutter="0" w:footer="0" w:header="0"/>
          <w:type w:val="continuous"/>
        </w:sectPr>
      </w:pPr>
    </w:p>
    <w:p>
      <w:pPr>
        <w:spacing w:after="0" w:line="6" w:lineRule="exact"/>
        <w:rPr>
          <w:sz w:val="20"/>
          <w:szCs w:val="20"/>
          <w:color w:val="auto"/>
        </w:rPr>
      </w:pPr>
    </w:p>
    <w:p>
      <w:pPr>
        <w:ind w:left="7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warrants to purchase an aggregate of shares of our convertible preferred stock that will be converted into warrants to purchase an aggregate of shares of our common stock, which will occur immediately prior to the completion of this offering; and</w:t>
      </w:r>
    </w:p>
    <w:p>
      <w:pPr>
        <w:spacing w:after="0" w:line="200" w:lineRule="exact"/>
        <w:rPr>
          <w:sz w:val="20"/>
          <w:szCs w:val="20"/>
          <w:color w:val="auto"/>
        </w:rPr>
      </w:pPr>
    </w:p>
    <w:p>
      <w:pPr>
        <w:sectPr>
          <w:pgSz w:w="11900" w:h="16838" w:orient="portrait"/>
          <w:cols w:equalWidth="0" w:num="2">
            <w:col w:w="800" w:space="320"/>
            <w:col w:w="9620"/>
          </w:cols>
          <w:pgMar w:left="320" w:top="459" w:right="839" w:bottom="1440" w:gutter="0" w:footer="0" w:header="0"/>
          <w:type w:val="continuous"/>
        </w:sectPr>
      </w:pPr>
    </w:p>
    <w:p>
      <w:pPr>
        <w:spacing w:after="0" w:line="17" w:lineRule="exact"/>
        <w:rPr>
          <w:sz w:val="20"/>
          <w:szCs w:val="20"/>
          <w:color w:val="auto"/>
        </w:rPr>
      </w:pPr>
    </w:p>
    <w:p>
      <w:pPr>
        <w:ind w:left="1120" w:right="460" w:hanging="403"/>
        <w:spacing w:after="0" w:line="243" w:lineRule="auto"/>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and the adoption of our amended and restated bylaws, each of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740"/>
          </w:cols>
          <w:pgMar w:left="320" w:top="459" w:right="8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6" w:lineRule="exact"/>
        <w:rPr>
          <w:sz w:val="20"/>
          <w:szCs w:val="20"/>
          <w:color w:val="auto"/>
        </w:rPr>
      </w:pPr>
    </w:p>
    <w:p>
      <w:pPr>
        <w:ind w:left="300" w:right="240"/>
        <w:spacing w:after="0" w:line="233"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derived the summary consolidated statements of operations and comprehensive loss data for the years ended December 31, 2018 and December 31, 2019, and consolidated balance sheet data as of December 31, 2019, from our audited consolidated financial statements included elsewhere in this prospectus. We have derived the consolidated statements of operations and comprehensive loss data for the three months ended March 31, 2019 and March 31, 2020, and the consolidated balance sheet data as of March 31, 2020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financial data. Our historical results are not necessarily indicative of the results that may be expected in the future. You should read the following summary consolidated financial data in conjunction with our consolidated financial statements and the related notes appearing elsewhere in this prospectus and the information in the sections titled “Selected Consolidated Financial Data” and “Management’s Discussion and Analysis of Financial Condition and Results of Operations.”</w:t>
      </w: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7"/>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Consolidated Statements of Operations and</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20" w:type="dxa"/>
            <w:vAlign w:val="bottom"/>
            <w:gridSpan w:val="2"/>
          </w:tcPr>
          <w:p>
            <w:pPr>
              <w:ind w:left="180"/>
              <w:spacing w:after="0"/>
              <w:rPr>
                <w:sz w:val="20"/>
                <w:szCs w:val="20"/>
                <w:color w:val="auto"/>
              </w:rPr>
            </w:pPr>
            <w:r>
              <w:rPr>
                <w:rFonts w:ascii="Arial" w:cs="Arial" w:eastAsia="Arial" w:hAnsi="Arial"/>
                <w:sz w:val="14"/>
                <w:szCs w:val="14"/>
                <w:b w:val="1"/>
                <w:bCs w:val="1"/>
                <w:color w:val="auto"/>
              </w:rPr>
              <w:t>Comprehensive Loss Data:</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760" w:type="dxa"/>
            <w:vAlign w:val="bottom"/>
            <w:gridSpan w:val="8"/>
          </w:tcPr>
          <w:p>
            <w:pPr>
              <w:jc w:val="right"/>
              <w:ind w:right="12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2,067</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4,796</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1,032</w:t>
            </w:r>
          </w:p>
        </w:tc>
        <w:tc>
          <w:tcPr>
            <w:tcW w:w="5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655</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16,306</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3,733</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3,828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2,601</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3,313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588</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1,473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240" w:type="dxa"/>
            <w:vAlign w:val="bottom"/>
          </w:tcPr>
          <w:p>
            <w:pPr>
              <w:ind w:left="1020"/>
              <w:spacing w:after="0"/>
              <w:rPr>
                <w:sz w:val="20"/>
                <w:szCs w:val="20"/>
                <w:color w:val="auto"/>
              </w:rPr>
            </w:pPr>
            <w:r>
              <w:rPr>
                <w:rFonts w:ascii="Arial" w:cs="Arial" w:eastAsia="Arial" w:hAnsi="Arial"/>
                <w:sz w:val="17"/>
                <w:szCs w:val="17"/>
                <w:color w:val="auto"/>
              </w:rPr>
              <w:t>Total operating expenses</w:t>
            </w: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(13,684)</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(19,183)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(4,227)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(5,242)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(5)</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7"/>
                <w:szCs w:val="17"/>
                <w:color w:val="auto"/>
              </w:rPr>
              <w:t>Loss before income taxes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(13,686)</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(19,209)</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7"/>
                <w:szCs w:val="17"/>
                <w:color w:val="auto"/>
              </w:rPr>
              <w:t>(4,229)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(5,450)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(45)</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(34)</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20"/>
              <w:spacing w:after="0" w:line="189" w:lineRule="exact"/>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loss and comprehensive loss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(13,731)</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(19,243)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7"/>
                <w:szCs w:val="17"/>
                <w:color w:val="auto"/>
              </w:rPr>
              <w:t>(4,238)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(5,454)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Cumulative dividends allocated to preferred</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shareholders</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(3,671)</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(4,028)</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loss attributable to ordinary shareholders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(17,402)</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7"/>
                <w:szCs w:val="17"/>
                <w:color w:val="auto"/>
              </w:rPr>
              <w:t>(23,271)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7"/>
                <w:szCs w:val="17"/>
                <w:color w:val="auto"/>
              </w:rPr>
              <w:t>(5,143)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(7,437)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424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shareholders, 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(0.96)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(0.26)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ind w:left="180"/>
              <w:spacing w:after="0"/>
              <w:rPr>
                <w:sz w:val="20"/>
                <w:szCs w:val="20"/>
                <w:color w:val="auto"/>
              </w:rPr>
            </w:pPr>
            <w:r>
              <w:rPr>
                <w:rFonts w:ascii="Arial" w:cs="Arial" w:eastAsia="Arial" w:hAnsi="Arial"/>
                <w:sz w:val="17"/>
                <w:szCs w:val="17"/>
                <w:color w:val="auto"/>
              </w:rPr>
              <w:t>Weighted-average shares used to compute net loss</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240" w:type="dxa"/>
            <w:vAlign w:val="bottom"/>
          </w:tcPr>
          <w:p>
            <w:pPr>
              <w:ind w:left="260"/>
              <w:spacing w:after="0" w:line="189" w:lineRule="exact"/>
              <w:rPr>
                <w:sz w:val="20"/>
                <w:szCs w:val="20"/>
                <w:color w:val="auto"/>
              </w:rPr>
            </w:pPr>
            <w:r>
              <w:rPr>
                <w:rFonts w:ascii="Arial" w:cs="Arial" w:eastAsia="Arial" w:hAnsi="Arial"/>
                <w:sz w:val="17"/>
                <w:szCs w:val="17"/>
                <w:color w:val="auto"/>
              </w:rPr>
              <w:t>per share attributable to ordinary shareholders,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240" w:type="dxa"/>
            <w:vAlign w:val="bottom"/>
          </w:tcPr>
          <w:p>
            <w:pPr>
              <w:ind w:left="260"/>
              <w:spacing w:after="0"/>
              <w:rPr>
                <w:sz w:val="20"/>
                <w:szCs w:val="20"/>
                <w:color w:val="auto"/>
              </w:rPr>
            </w:pPr>
            <w:r>
              <w:rPr>
                <w:rFonts w:ascii="Arial" w:cs="Arial" w:eastAsia="Arial" w:hAnsi="Arial"/>
                <w:sz w:val="17"/>
                <w:szCs w:val="17"/>
                <w:color w:val="auto"/>
              </w:rPr>
              <w:t>basic and diluted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18,102,402</w:t>
            </w:r>
          </w:p>
        </w:tc>
        <w:tc>
          <w:tcPr>
            <w:tcW w:w="140" w:type="dxa"/>
            <w:vAlign w:val="bottom"/>
          </w:tcPr>
          <w:p>
            <w:pPr>
              <w:spacing w:after="0"/>
              <w:rPr>
                <w:sz w:val="16"/>
                <w:szCs w:val="16"/>
                <w:color w:val="auto"/>
              </w:rPr>
            </w:pPr>
          </w:p>
        </w:tc>
        <w:tc>
          <w:tcPr>
            <w:tcW w:w="1880" w:type="dxa"/>
            <w:vAlign w:val="bottom"/>
            <w:gridSpan w:val="4"/>
          </w:tcPr>
          <w:p>
            <w:pPr>
              <w:jc w:val="right"/>
              <w:ind w:right="360"/>
              <w:spacing w:after="0"/>
              <w:rPr>
                <w:sz w:val="20"/>
                <w:szCs w:val="20"/>
                <w:color w:val="auto"/>
              </w:rPr>
            </w:pPr>
            <w:r>
              <w:rPr>
                <w:rFonts w:ascii="Arial" w:cs="Arial" w:eastAsia="Arial" w:hAnsi="Arial"/>
                <w:sz w:val="17"/>
                <w:szCs w:val="17"/>
                <w:color w:val="auto"/>
              </w:rPr>
              <w:t>20,245,115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19,749,549</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20,684,025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5"/>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117"/>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33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2060" w:type="dxa"/>
            <w:vAlign w:val="bottom"/>
          </w:tcPr>
          <w:p>
            <w:pPr>
              <w:jc w:val="center"/>
              <w:ind w:right="2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w:t>
            </w:r>
          </w:p>
        </w:tc>
        <w:tc>
          <w:tcPr>
            <w:tcW w:w="400" w:type="dxa"/>
            <w:vAlign w:val="bottom"/>
          </w:tcPr>
          <w:p>
            <w:pPr>
              <w:spacing w:after="0"/>
              <w:rPr>
                <w:sz w:val="15"/>
                <w:szCs w:val="15"/>
                <w:color w:val="auto"/>
              </w:rPr>
            </w:pPr>
          </w:p>
        </w:tc>
        <w:tc>
          <w:tcPr>
            <w:tcW w:w="24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5"/>
                <w:szCs w:val="15"/>
                <w:color w:val="auto"/>
              </w:rPr>
            </w:pPr>
          </w:p>
        </w:tc>
        <w:tc>
          <w:tcPr>
            <w:tcW w:w="2060" w:type="dxa"/>
            <w:vAlign w:val="bottom"/>
          </w:tcPr>
          <w:p>
            <w:pPr>
              <w:jc w:val="center"/>
              <w:ind w:right="26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5320" w:type="dxa"/>
            <w:vAlign w:val="bottom"/>
            <w:vMerge w:val="continue"/>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320" w:type="dxa"/>
            <w:vAlign w:val="bottom"/>
          </w:tcPr>
          <w:p>
            <w:pPr>
              <w:spacing w:after="0"/>
              <w:rPr>
                <w:sz w:val="20"/>
                <w:szCs w:val="20"/>
                <w:color w:val="auto"/>
              </w:rPr>
            </w:pPr>
            <w:r>
              <w:rPr>
                <w:rFonts w:ascii="Arial" w:cs="Arial" w:eastAsia="Arial" w:hAnsi="Arial"/>
                <w:sz w:val="14"/>
                <w:szCs w:val="14"/>
                <w:b w:val="1"/>
                <w:bCs w:val="1"/>
                <w:color w:val="auto"/>
              </w:rPr>
              <w:t>Comprehensive Loss Data:</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2018</w:t>
            </w:r>
          </w:p>
        </w:tc>
        <w:tc>
          <w:tcPr>
            <w:tcW w:w="1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0" w:type="dxa"/>
            <w:vAlign w:val="bottom"/>
            <w:gridSpan w:val="4"/>
          </w:tcPr>
          <w:p>
            <w:pPr>
              <w:jc w:val="right"/>
              <w:ind w:right="748"/>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tcPr>
          <w:p>
            <w:pPr>
              <w:jc w:val="center"/>
              <w:ind w:right="26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7"/>
          <w:szCs w:val="17"/>
          <w:color w:val="auto"/>
        </w:rPr>
        <w:t>Pro forma net loss attributable to ordinary shareholders, basic</w:t>
      </w:r>
    </w:p>
    <w:tbl>
      <w:tblPr>
        <w:tblLayout w:type="fixed"/>
        <w:tblInd w:w="300" w:type="dxa"/>
        <w:tblCellMar>
          <w:top w:w="0" w:type="dxa"/>
          <w:left w:w="0" w:type="dxa"/>
          <w:bottom w:w="0" w:type="dxa"/>
          <w:right w:w="0" w:type="dxa"/>
        </w:tblCellMar>
      </w:tblPr>
      <w:tr>
        <w:trPr>
          <w:trHeight w:val="135"/>
        </w:trPr>
        <w:tc>
          <w:tcPr>
            <w:tcW w:w="5460" w:type="dxa"/>
            <w:vAlign w:val="bottom"/>
          </w:tcPr>
          <w:p>
            <w:pPr>
              <w:jc w:val="right"/>
              <w:ind w:right="3217"/>
              <w:spacing w:after="0" w:line="135" w:lineRule="exact"/>
              <w:rPr>
                <w:sz w:val="20"/>
                <w:szCs w:val="20"/>
                <w:color w:val="auto"/>
              </w:rPr>
            </w:pPr>
            <w:r>
              <w:rPr>
                <w:rFonts w:ascii="Arial" w:cs="Arial" w:eastAsia="Arial" w:hAnsi="Arial"/>
                <w:sz w:val="15"/>
                <w:szCs w:val="15"/>
                <w:color w:val="auto"/>
              </w:rPr>
              <w:t>(1)</w:t>
            </w:r>
          </w:p>
        </w:tc>
        <w:tc>
          <w:tcPr>
            <w:tcW w:w="1000" w:type="dxa"/>
            <w:vAlign w:val="bottom"/>
            <w:gridSpan w:val="2"/>
            <w:vMerge w:val="restart"/>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vMerge w:val="restart"/>
          </w:tcPr>
          <w:p>
            <w:pPr>
              <w:jc w:val="right"/>
              <w:ind w:right="860"/>
              <w:spacing w:after="0" w:line="189" w:lineRule="exact"/>
              <w:rPr>
                <w:sz w:val="20"/>
                <w:szCs w:val="20"/>
                <w:color w:val="auto"/>
              </w:rPr>
            </w:pPr>
            <w:r>
              <w:rPr>
                <w:rFonts w:ascii="Arial" w:cs="Arial" w:eastAsia="Arial" w:hAnsi="Arial"/>
                <w:sz w:val="17"/>
                <w:szCs w:val="17"/>
                <w:color w:val="auto"/>
              </w:rPr>
              <w:t>(0.20)</w:t>
            </w:r>
          </w:p>
        </w:tc>
        <w:tc>
          <w:tcPr>
            <w:tcW w:w="1120" w:type="dxa"/>
            <w:vAlign w:val="bottom"/>
            <w:gridSpan w:val="2"/>
            <w:vMerge w:val="restart"/>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54"/>
        </w:trPr>
        <w:tc>
          <w:tcPr>
            <w:tcW w:w="5460" w:type="dxa"/>
            <w:vAlign w:val="bottom"/>
          </w:tcPr>
          <w:p>
            <w:pPr>
              <w:ind w:left="260"/>
              <w:spacing w:after="0" w:line="54" w:lineRule="exact"/>
              <w:rPr>
                <w:sz w:val="20"/>
                <w:szCs w:val="20"/>
                <w:color w:val="auto"/>
              </w:rPr>
            </w:pPr>
            <w:r>
              <w:rPr>
                <w:rFonts w:ascii="Arial" w:cs="Arial" w:eastAsia="Arial" w:hAnsi="Arial"/>
                <w:sz w:val="6"/>
                <w:szCs w:val="6"/>
                <w:color w:val="auto"/>
              </w:rPr>
              <w:t>and diluted (unaudited)</w:t>
            </w:r>
          </w:p>
        </w:tc>
        <w:tc>
          <w:tcPr>
            <w:tcW w:w="1000" w:type="dxa"/>
            <w:vAlign w:val="bottom"/>
            <w:gridSpan w:val="2"/>
            <w:vMerge w:val="continue"/>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pro forma net</w:t>
            </w: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60" w:type="dxa"/>
            <w:vAlign w:val="bottom"/>
          </w:tcPr>
          <w:p>
            <w:pPr>
              <w:ind w:left="260"/>
              <w:spacing w:after="0"/>
              <w:rPr>
                <w:sz w:val="20"/>
                <w:szCs w:val="20"/>
                <w:color w:val="auto"/>
              </w:rPr>
            </w:pPr>
            <w:r>
              <w:rPr>
                <w:rFonts w:ascii="Arial" w:cs="Arial" w:eastAsia="Arial" w:hAnsi="Arial"/>
                <w:sz w:val="17"/>
                <w:szCs w:val="17"/>
                <w:color w:val="auto"/>
              </w:rPr>
              <w:t>loss per share attributable to ordinary shareholders, basic</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94,274,058</w:t>
            </w: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144,442,583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460" w:type="dxa"/>
            <w:vAlign w:val="bottom"/>
          </w:tcPr>
          <w:p>
            <w:pPr>
              <w:jc w:val="right"/>
              <w:ind w:right="3217"/>
              <w:spacing w:after="0" w:line="131" w:lineRule="exact"/>
              <w:rPr>
                <w:sz w:val="20"/>
                <w:szCs w:val="20"/>
                <w:color w:val="auto"/>
              </w:rPr>
            </w:pPr>
            <w:r>
              <w:rPr>
                <w:rFonts w:ascii="Arial" w:cs="Arial" w:eastAsia="Arial" w:hAnsi="Arial"/>
                <w:sz w:val="15"/>
                <w:szCs w:val="15"/>
                <w:color w:val="auto"/>
              </w:rPr>
              <w:t>(1)</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460" w:type="dxa"/>
            <w:vAlign w:val="bottom"/>
          </w:tcPr>
          <w:p>
            <w:pPr>
              <w:ind w:left="260"/>
              <w:spacing w:after="0" w:line="54" w:lineRule="exact"/>
              <w:rPr>
                <w:sz w:val="20"/>
                <w:szCs w:val="20"/>
                <w:color w:val="auto"/>
              </w:rPr>
            </w:pPr>
            <w:r>
              <w:rPr>
                <w:rFonts w:ascii="Arial" w:cs="Arial" w:eastAsia="Arial" w:hAnsi="Arial"/>
                <w:sz w:val="6"/>
                <w:szCs w:val="6"/>
                <w:color w:val="auto"/>
              </w:rPr>
              <w:t>and diluted (unaudited)</w:t>
            </w:r>
          </w:p>
        </w:tc>
        <w:tc>
          <w:tcPr>
            <w:tcW w:w="8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700" w:right="120" w:hanging="267"/>
        <w:spacing w:after="0" w:line="249"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12 to our audited consolidated financial statements and the Note 8 of our unaudited interim condensed consolidated financial statements included elsewhere in this prospectus for an explanation of the method used to calculate historical and pro forma basic and diluted net loss per share, and the weighted-average number of shares used in the computation of the per share amounts and unaudited pro forma information.</w:t>
      </w:r>
    </w:p>
    <w:p>
      <w:pPr>
        <w:spacing w:after="0" w:line="200" w:lineRule="exact"/>
        <w:rPr>
          <w:sz w:val="20"/>
          <w:szCs w:val="20"/>
          <w:color w:val="auto"/>
        </w:rPr>
      </w:pPr>
    </w:p>
    <w:p>
      <w:pPr>
        <w:spacing w:after="0" w:line="226"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980" w:type="dxa"/>
            <w:vAlign w:val="bottom"/>
            <w:gridSpan w:val="4"/>
          </w:tcPr>
          <w:p>
            <w:pPr>
              <w:jc w:val="center"/>
              <w:ind w:right="1000"/>
              <w:spacing w:after="0"/>
              <w:rPr>
                <w:sz w:val="20"/>
                <w:szCs w:val="20"/>
                <w:color w:val="auto"/>
              </w:rPr>
            </w:pPr>
            <w:r>
              <w:rPr>
                <w:rFonts w:ascii="Arial" w:cs="Arial" w:eastAsia="Arial" w:hAnsi="Arial"/>
                <w:sz w:val="14"/>
                <w:szCs w:val="14"/>
                <w:b w:val="1"/>
                <w:bCs w:val="1"/>
                <w:color w:val="auto"/>
              </w:rPr>
              <w:t>AS OF MARCH 31, 2020</w:t>
            </w:r>
          </w:p>
        </w:tc>
      </w:tr>
      <w:tr>
        <w:trPr>
          <w:trHeight w:val="139"/>
        </w:trPr>
        <w:tc>
          <w:tcPr>
            <w:tcW w:w="636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ind w:left="300"/>
              <w:spacing w:after="0" w:line="13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9"/>
        </w:trPr>
        <w:tc>
          <w:tcPr>
            <w:tcW w:w="6360" w:type="dxa"/>
            <w:vAlign w:val="bottom"/>
          </w:tcPr>
          <w:p>
            <w:pPr>
              <w:spacing w:after="0"/>
              <w:rPr>
                <w:sz w:val="15"/>
                <w:szCs w:val="15"/>
                <w:color w:val="auto"/>
              </w:rPr>
            </w:pPr>
          </w:p>
        </w:tc>
        <w:tc>
          <w:tcPr>
            <w:tcW w:w="980" w:type="dxa"/>
            <w:vAlign w:val="bottom"/>
          </w:tcPr>
          <w:p>
            <w:pPr>
              <w:jc w:val="right"/>
              <w:ind w:right="216"/>
              <w:spacing w:after="0"/>
              <w:rPr>
                <w:sz w:val="20"/>
                <w:szCs w:val="20"/>
                <w:color w:val="auto"/>
              </w:rPr>
            </w:pPr>
            <w:r>
              <w:rPr>
                <w:rFonts w:ascii="Arial" w:cs="Arial" w:eastAsia="Arial" w:hAnsi="Arial"/>
                <w:sz w:val="14"/>
                <w:szCs w:val="14"/>
                <w:b w:val="1"/>
                <w:bCs w:val="1"/>
                <w:color w:val="auto"/>
              </w:rPr>
              <w:t>ACTUAL</w:t>
            </w:r>
          </w:p>
        </w:tc>
        <w:tc>
          <w:tcPr>
            <w:tcW w:w="1620" w:type="dxa"/>
            <w:vAlign w:val="bottom"/>
            <w:gridSpan w:val="2"/>
          </w:tcPr>
          <w:p>
            <w:pPr>
              <w:ind w:left="260"/>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1360" w:type="dxa"/>
            <w:vAlign w:val="bottom"/>
            <w:gridSpan w:val="2"/>
          </w:tcPr>
          <w:p>
            <w:pPr>
              <w:ind w:left="160"/>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56"/>
        </w:trPr>
        <w:tc>
          <w:tcPr>
            <w:tcW w:w="636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(unaudited)</w:t>
            </w:r>
          </w:p>
        </w:tc>
        <w:tc>
          <w:tcPr>
            <w:tcW w:w="13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6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36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980" w:type="dxa"/>
            <w:vAlign w:val="bottom"/>
          </w:tcPr>
          <w:p>
            <w:pPr>
              <w:jc w:val="right"/>
              <w:ind w:right="156"/>
              <w:spacing w:after="0" w:line="189" w:lineRule="exact"/>
              <w:rPr>
                <w:sz w:val="20"/>
                <w:szCs w:val="20"/>
                <w:color w:val="auto"/>
              </w:rPr>
            </w:pPr>
            <w:r>
              <w:rPr>
                <w:rFonts w:ascii="Arial" w:cs="Arial" w:eastAsia="Arial" w:hAnsi="Arial"/>
                <w:sz w:val="17"/>
                <w:szCs w:val="17"/>
                <w:color w:val="auto"/>
              </w:rPr>
              <w:t>$105,035</w:t>
            </w:r>
          </w:p>
        </w:tc>
        <w:tc>
          <w:tcPr>
            <w:tcW w:w="420" w:type="dxa"/>
            <w:vAlign w:val="bottom"/>
          </w:tcPr>
          <w:p>
            <w:pPr>
              <w:ind w:left="240"/>
              <w:spacing w:after="0" w:line="189" w:lineRule="exact"/>
              <w:rPr>
                <w:sz w:val="20"/>
                <w:szCs w:val="20"/>
                <w:color w:val="auto"/>
              </w:rPr>
            </w:pPr>
            <w:r>
              <w:rPr>
                <w:rFonts w:ascii="Arial" w:cs="Arial" w:eastAsia="Arial" w:hAnsi="Arial"/>
                <w:sz w:val="17"/>
                <w:szCs w:val="17"/>
                <w:color w:val="auto"/>
              </w:rPr>
              <w:t>$</w:t>
            </w: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105,035</w:t>
            </w:r>
          </w:p>
        </w:tc>
        <w:tc>
          <w:tcPr>
            <w:tcW w:w="1300" w:type="dxa"/>
            <w:vAlign w:val="bottom"/>
          </w:tcPr>
          <w:p>
            <w:pPr>
              <w:ind w:left="16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(3)</w:t>
            </w:r>
          </w:p>
        </w:tc>
        <w:tc>
          <w:tcPr>
            <w:tcW w:w="980" w:type="dxa"/>
            <w:vAlign w:val="bottom"/>
            <w:shd w:val="clear" w:color="auto" w:fill="CCEEFF"/>
          </w:tcPr>
          <w:p>
            <w:pPr>
              <w:jc w:val="right"/>
              <w:ind w:right="156"/>
              <w:spacing w:after="0" w:line="189" w:lineRule="exact"/>
              <w:rPr>
                <w:sz w:val="20"/>
                <w:szCs w:val="20"/>
                <w:color w:val="auto"/>
              </w:rPr>
            </w:pPr>
            <w:r>
              <w:rPr>
                <w:rFonts w:ascii="Arial" w:cs="Arial" w:eastAsia="Arial" w:hAnsi="Arial"/>
                <w:sz w:val="17"/>
                <w:szCs w:val="17"/>
                <w:color w:val="auto"/>
              </w:rPr>
              <w:t>103,423</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58"/>
              <w:spacing w:after="0" w:line="189" w:lineRule="exact"/>
              <w:rPr>
                <w:sz w:val="20"/>
                <w:szCs w:val="20"/>
                <w:color w:val="auto"/>
              </w:rPr>
            </w:pPr>
            <w:r>
              <w:rPr>
                <w:rFonts w:ascii="Arial" w:cs="Arial" w:eastAsia="Arial" w:hAnsi="Arial"/>
                <w:sz w:val="17"/>
                <w:szCs w:val="17"/>
                <w:color w:val="auto"/>
              </w:rPr>
              <w:t>103,423</w:t>
            </w: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36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980" w:type="dxa"/>
            <w:vAlign w:val="bottom"/>
          </w:tcPr>
          <w:p>
            <w:pPr>
              <w:jc w:val="right"/>
              <w:ind w:right="156"/>
              <w:spacing w:after="0" w:line="189" w:lineRule="exact"/>
              <w:rPr>
                <w:sz w:val="20"/>
                <w:szCs w:val="20"/>
                <w:color w:val="auto"/>
              </w:rPr>
            </w:pPr>
            <w:r>
              <w:rPr>
                <w:rFonts w:ascii="Arial" w:cs="Arial" w:eastAsia="Arial" w:hAnsi="Arial"/>
                <w:sz w:val="17"/>
                <w:szCs w:val="17"/>
                <w:color w:val="auto"/>
              </w:rPr>
              <w:t>108,399</w:t>
            </w:r>
          </w:p>
        </w:tc>
        <w:tc>
          <w:tcPr>
            <w:tcW w:w="420" w:type="dxa"/>
            <w:vAlign w:val="bottom"/>
          </w:tcPr>
          <w:p>
            <w:pPr>
              <w:spacing w:after="0"/>
              <w:rPr>
                <w:sz w:val="16"/>
                <w:szCs w:val="16"/>
                <w:color w:val="auto"/>
              </w:rPr>
            </w:pP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108,399</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980" w:type="dxa"/>
            <w:vAlign w:val="bottom"/>
            <w:shd w:val="clear" w:color="auto" w:fill="CCEEFF"/>
          </w:tcPr>
          <w:p>
            <w:pPr>
              <w:jc w:val="right"/>
              <w:ind w:right="156"/>
              <w:spacing w:after="0" w:line="189" w:lineRule="exact"/>
              <w:rPr>
                <w:sz w:val="20"/>
                <w:szCs w:val="20"/>
                <w:color w:val="auto"/>
              </w:rPr>
            </w:pPr>
            <w:r>
              <w:rPr>
                <w:rFonts w:ascii="Arial" w:cs="Arial" w:eastAsia="Arial" w:hAnsi="Arial"/>
                <w:sz w:val="17"/>
                <w:szCs w:val="17"/>
                <w:color w:val="auto"/>
              </w:rPr>
              <w:t>9,282</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58"/>
              <w:spacing w:after="0" w:line="189" w:lineRule="exact"/>
              <w:rPr>
                <w:sz w:val="20"/>
                <w:szCs w:val="20"/>
                <w:color w:val="auto"/>
              </w:rPr>
            </w:pPr>
            <w:r>
              <w:rPr>
                <w:rFonts w:ascii="Arial" w:cs="Arial" w:eastAsia="Arial" w:hAnsi="Arial"/>
                <w:sz w:val="17"/>
                <w:szCs w:val="17"/>
                <w:color w:val="auto"/>
              </w:rPr>
              <w:t>8,835</w:t>
            </w: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360" w:type="dxa"/>
            <w:vAlign w:val="bottom"/>
          </w:tcPr>
          <w:p>
            <w:pPr>
              <w:spacing w:after="0" w:line="189" w:lineRule="exact"/>
              <w:rPr>
                <w:sz w:val="20"/>
                <w:szCs w:val="20"/>
                <w:color w:val="auto"/>
              </w:rPr>
            </w:pPr>
            <w:r>
              <w:rPr>
                <w:rFonts w:ascii="Arial" w:cs="Arial" w:eastAsia="Arial" w:hAnsi="Arial"/>
                <w:sz w:val="17"/>
                <w:szCs w:val="17"/>
                <w:color w:val="auto"/>
              </w:rPr>
              <w:t>Convertible preferred shares</w:t>
            </w:r>
          </w:p>
        </w:tc>
        <w:tc>
          <w:tcPr>
            <w:tcW w:w="980" w:type="dxa"/>
            <w:vAlign w:val="bottom"/>
          </w:tcPr>
          <w:p>
            <w:pPr>
              <w:jc w:val="right"/>
              <w:ind w:right="156"/>
              <w:spacing w:after="0" w:line="189" w:lineRule="exact"/>
              <w:rPr>
                <w:sz w:val="20"/>
                <w:szCs w:val="20"/>
                <w:color w:val="auto"/>
              </w:rPr>
            </w:pPr>
            <w:r>
              <w:rPr>
                <w:rFonts w:ascii="Arial" w:cs="Arial" w:eastAsia="Arial" w:hAnsi="Arial"/>
                <w:sz w:val="17"/>
                <w:szCs w:val="17"/>
                <w:color w:val="auto"/>
              </w:rPr>
              <w:t>175,043</w:t>
            </w:r>
          </w:p>
        </w:tc>
        <w:tc>
          <w:tcPr>
            <w:tcW w:w="420" w:type="dxa"/>
            <w:vAlign w:val="bottom"/>
          </w:tcPr>
          <w:p>
            <w:pPr>
              <w:spacing w:after="0"/>
              <w:rPr>
                <w:sz w:val="16"/>
                <w:szCs w:val="16"/>
                <w:color w:val="auto"/>
              </w:rPr>
            </w:pP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w:t>
            </w: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980" w:type="dxa"/>
            <w:vAlign w:val="bottom"/>
            <w:shd w:val="clear" w:color="auto" w:fill="CCEEFF"/>
          </w:tcPr>
          <w:p>
            <w:pPr>
              <w:jc w:val="right"/>
              <w:ind w:right="96"/>
              <w:spacing w:after="0" w:line="189" w:lineRule="exact"/>
              <w:rPr>
                <w:sz w:val="20"/>
                <w:szCs w:val="20"/>
                <w:color w:val="auto"/>
              </w:rPr>
            </w:pPr>
            <w:r>
              <w:rPr>
                <w:rFonts w:ascii="Arial" w:cs="Arial" w:eastAsia="Arial" w:hAnsi="Arial"/>
                <w:sz w:val="17"/>
                <w:szCs w:val="17"/>
                <w:color w:val="auto"/>
              </w:rPr>
              <w:t>(78,236)</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98"/>
              <w:spacing w:after="0" w:line="189" w:lineRule="exact"/>
              <w:rPr>
                <w:sz w:val="20"/>
                <w:szCs w:val="20"/>
                <w:color w:val="auto"/>
              </w:rPr>
            </w:pPr>
            <w:r>
              <w:rPr>
                <w:rFonts w:ascii="Arial" w:cs="Arial" w:eastAsia="Arial" w:hAnsi="Arial"/>
                <w:sz w:val="17"/>
                <w:szCs w:val="17"/>
                <w:color w:val="auto"/>
              </w:rPr>
              <w:t>(92,968)</w:t>
            </w:r>
          </w:p>
        </w:tc>
        <w:tc>
          <w:tcPr>
            <w:tcW w:w="1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636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980" w:type="dxa"/>
            <w:vAlign w:val="bottom"/>
          </w:tcPr>
          <w:p>
            <w:pPr>
              <w:jc w:val="right"/>
              <w:ind w:right="96"/>
              <w:spacing w:after="0"/>
              <w:rPr>
                <w:sz w:val="20"/>
                <w:szCs w:val="20"/>
                <w:color w:val="auto"/>
              </w:rPr>
            </w:pPr>
            <w:r>
              <w:rPr>
                <w:rFonts w:ascii="Arial" w:cs="Arial" w:eastAsia="Arial" w:hAnsi="Arial"/>
                <w:sz w:val="17"/>
                <w:szCs w:val="17"/>
                <w:color w:val="auto"/>
              </w:rPr>
              <w:t>(75,926)</w:t>
            </w:r>
          </w:p>
        </w:tc>
        <w:tc>
          <w:tcPr>
            <w:tcW w:w="420" w:type="dxa"/>
            <w:vAlign w:val="bottom"/>
          </w:tcPr>
          <w:p>
            <w:pPr>
              <w:spacing w:after="0"/>
              <w:rPr>
                <w:sz w:val="17"/>
                <w:szCs w:val="17"/>
                <w:color w:val="auto"/>
              </w:rPr>
            </w:pPr>
          </w:p>
        </w:tc>
        <w:tc>
          <w:tcPr>
            <w:tcW w:w="1200" w:type="dxa"/>
            <w:vAlign w:val="bottom"/>
          </w:tcPr>
          <w:p>
            <w:pPr>
              <w:jc w:val="right"/>
              <w:ind w:right="258"/>
              <w:spacing w:after="0"/>
              <w:rPr>
                <w:sz w:val="20"/>
                <w:szCs w:val="20"/>
                <w:color w:val="auto"/>
              </w:rPr>
            </w:pPr>
            <w:r>
              <w:rPr>
                <w:rFonts w:ascii="Arial" w:cs="Arial" w:eastAsia="Arial" w:hAnsi="Arial"/>
                <w:sz w:val="17"/>
                <w:szCs w:val="17"/>
                <w:color w:val="auto"/>
              </w:rPr>
              <w:t>99,564</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59" w:lineRule="exact"/>
        <w:rPr>
          <w:sz w:val="20"/>
          <w:szCs w:val="20"/>
          <w:color w:val="auto"/>
        </w:rPr>
      </w:pPr>
    </w:p>
    <w:p>
      <w:pPr>
        <w:ind w:left="1120" w:hanging="268"/>
        <w:spacing w:after="0" w:line="247" w:lineRule="auto"/>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 forma consolidated balance sheet data in the table above reflects the conversion of our outstanding shares of our convertible preferred stock and cumulative dividends into 154,917,050 shares of our common stock, the resulting reclassification of the convertible preferred stock immediately prior to the completion of this offering and the reclassification of our convertible preferred stock warrant liability to additional paid-in capital immediately prior to the completion of this offering.</w:t>
      </w:r>
    </w:p>
    <w:p>
      <w:pPr>
        <w:spacing w:after="0" w:line="25" w:lineRule="exact"/>
        <w:rPr>
          <w:rFonts w:ascii="Arial" w:cs="Arial" w:eastAsia="Arial" w:hAnsi="Arial"/>
          <w:sz w:val="14"/>
          <w:szCs w:val="14"/>
          <w:color w:val="auto"/>
        </w:rPr>
      </w:pPr>
    </w:p>
    <w:p>
      <w:pPr>
        <w:ind w:left="1120" w:hanging="268"/>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in the table above reflects the pro forma adjustments described in footnote (1) above plus the</w:t>
      </w:r>
    </w:p>
    <w:p>
      <w:pPr>
        <w:spacing w:after="0" w:line="1" w:lineRule="exact"/>
        <w:rPr>
          <w:sz w:val="20"/>
          <w:szCs w:val="20"/>
          <w:color w:val="auto"/>
        </w:rPr>
      </w:pPr>
    </w:p>
    <w:p>
      <w:pPr>
        <w:ind w:left="1120" w:right="220"/>
        <w:spacing w:after="0" w:line="241" w:lineRule="auto"/>
        <w:rPr>
          <w:sz w:val="20"/>
          <w:szCs w:val="20"/>
          <w:color w:val="auto"/>
        </w:rPr>
      </w:pPr>
      <w:r>
        <w:rPr>
          <w:rFonts w:ascii="Arial" w:cs="Arial" w:eastAsia="Arial" w:hAnsi="Arial"/>
          <w:sz w:val="14"/>
          <w:szCs w:val="14"/>
          <w:color w:val="auto"/>
        </w:rPr>
        <w:t>sale and issuance by us of shares of our common stock in this offering, based upon the assumed initial public offering price of $ per share, which is the midpoint of the price range set forth on the cover page of this prospectus, after deducting the underwriting discounts and commissions and</w:t>
      </w:r>
    </w:p>
    <w:p>
      <w:pPr>
        <w:spacing w:after="0" w:line="1" w:lineRule="exact"/>
        <w:rPr>
          <w:sz w:val="20"/>
          <w:szCs w:val="20"/>
          <w:color w:val="auto"/>
        </w:rPr>
      </w:pPr>
    </w:p>
    <w:p>
      <w:pPr>
        <w:ind w:left="1120" w:right="260"/>
        <w:spacing w:after="0" w:line="241" w:lineRule="auto"/>
        <w:rPr>
          <w:sz w:val="20"/>
          <w:szCs w:val="20"/>
          <w:color w:val="auto"/>
        </w:rPr>
      </w:pPr>
      <w:r>
        <w:rPr>
          <w:rFonts w:ascii="Arial" w:cs="Arial" w:eastAsia="Arial" w:hAnsi="Arial"/>
          <w:sz w:val="14"/>
          <w:szCs w:val="14"/>
          <w:color w:val="auto"/>
        </w:rPr>
        <w:t>estimated offering expenses payable by us. Each $1.00 increase or decrease in the assumed initial public offering price of $ per share would increase or decrease, as applicable, the pro forma as adjusted amount of each of cash and cash equivalents, working capital, total assets and total</w:t>
      </w:r>
    </w:p>
    <w:p>
      <w:pPr>
        <w:spacing w:after="0" w:line="1" w:lineRule="exact"/>
        <w:rPr>
          <w:sz w:val="20"/>
          <w:szCs w:val="20"/>
          <w:color w:val="auto"/>
        </w:rPr>
      </w:pPr>
    </w:p>
    <w:p>
      <w:pPr>
        <w:jc w:val="both"/>
        <w:ind w:left="1120" w:right="40"/>
        <w:spacing w:after="0" w:line="241" w:lineRule="auto"/>
        <w:rPr>
          <w:sz w:val="20"/>
          <w:szCs w:val="20"/>
          <w:color w:val="auto"/>
        </w:rPr>
      </w:pPr>
      <w:r>
        <w:rPr>
          <w:rFonts w:ascii="Arial" w:cs="Arial" w:eastAsia="Arial" w:hAnsi="Arial"/>
          <w:sz w:val="14"/>
          <w:szCs w:val="14"/>
          <w:color w:val="auto"/>
        </w:rPr>
        <w:t>stockholders’ equity (deficit) by approximately $ million, assuming that the number of shares offered by us, as set forth on the cover page of this prospectus, remains the same and after deducting the underwriting discounts and commissions. Similarly, each increase or decrease of 1.0 million shares in the number of shares offered by us would increase or decrease, as applicable, each of cash and cash equivalents, working capital, total assets and</w:t>
      </w:r>
    </w:p>
    <w:p>
      <w:pPr>
        <w:spacing w:after="0" w:line="1" w:lineRule="exact"/>
        <w:rPr>
          <w:sz w:val="20"/>
          <w:szCs w:val="20"/>
          <w:color w:val="auto"/>
        </w:rPr>
      </w:pPr>
    </w:p>
    <w:p>
      <w:pPr>
        <w:jc w:val="both"/>
        <w:ind w:left="1120" w:right="20"/>
        <w:spacing w:after="0" w:line="249" w:lineRule="auto"/>
        <w:rPr>
          <w:sz w:val="20"/>
          <w:szCs w:val="20"/>
          <w:color w:val="auto"/>
        </w:rPr>
      </w:pPr>
      <w:r>
        <w:rPr>
          <w:rFonts w:ascii="Arial" w:cs="Arial" w:eastAsia="Arial" w:hAnsi="Arial"/>
          <w:sz w:val="14"/>
          <w:szCs w:val="14"/>
          <w:color w:val="auto"/>
        </w:rPr>
        <w:t>total stockholders’ equity (deficit) by approximately $ million, assuming the assumed initial public offering price of $ per share remains the same, and after deducting the underwriting discounts and commissions. The pro forma as adjusted information discussed above is illustrative only and will be adjusted based on the actual public offering price and other terms of this offering determined at pricing.</w:t>
      </w:r>
    </w:p>
    <w:p>
      <w:pPr>
        <w:spacing w:after="0" w:line="25" w:lineRule="exact"/>
        <w:rPr>
          <w:sz w:val="20"/>
          <w:szCs w:val="20"/>
          <w:color w:val="auto"/>
        </w:rPr>
      </w:pPr>
    </w:p>
    <w:p>
      <w:pPr>
        <w:ind w:left="1120" w:right="440" w:hanging="268"/>
        <w:spacing w:after="0" w:line="258"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160"/>
        <w:spacing w:after="0" w:line="237"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titled “Management’s Discussion and Analysis of Financial Condition and Results of Operations” in this prospectus,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73" w:lineRule="exact"/>
        <w:rPr>
          <w:sz w:val="20"/>
          <w:szCs w:val="20"/>
          <w:color w:val="auto"/>
        </w:rPr>
      </w:pPr>
    </w:p>
    <w:p>
      <w:pPr>
        <w:ind w:left="120" w:right="880"/>
        <w:spacing w:after="0" w:line="267" w:lineRule="auto"/>
        <w:rPr>
          <w:sz w:val="20"/>
          <w:szCs w:val="20"/>
          <w:color w:val="auto"/>
        </w:rPr>
      </w:pPr>
      <w:r>
        <w:rPr>
          <w:rFonts w:ascii="Arial" w:cs="Arial" w:eastAsia="Arial" w:hAnsi="Arial"/>
          <w:sz w:val="17"/>
          <w:szCs w:val="17"/>
          <w:b w:val="1"/>
          <w:bCs w:val="1"/>
          <w:i w:val="1"/>
          <w:iCs w:val="1"/>
          <w:color w:val="auto"/>
        </w:rPr>
        <w:t>We have incurred significant net losses since our inception, and we expect to continue to incur significant net losses for the foreseeable future.</w:t>
      </w:r>
    </w:p>
    <w:p>
      <w:pPr>
        <w:spacing w:after="0" w:line="125"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convertible preferred stock. Our net loss was $19.2 million for the year ended December 31, 2019, and $5.5 million for the three months ended March 31, 2020. As of March 31, 2020, we had an accumulated deficit of $78.2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3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U.S. Food and Drug Administration, or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Commencing upon the closing of this offering,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As of March 31, 2020, we had working capital of $103.4 million and cash and cash equivalents of $105.0 million. Based on our current operating plan, we believe that the proceeds from this offering, together with our existing cash and cash equivalents, will be sufficient to fund our operations</w:t>
      </w:r>
    </w:p>
    <w:p>
      <w:pPr>
        <w:ind w:left="120" w:right="60"/>
        <w:spacing w:after="0" w:line="236" w:lineRule="auto"/>
        <w:rPr>
          <w:sz w:val="20"/>
          <w:szCs w:val="20"/>
          <w:color w:val="auto"/>
        </w:rPr>
      </w:pPr>
      <w:r>
        <w:rPr>
          <w:rFonts w:ascii="Arial" w:cs="Arial" w:eastAsia="Arial" w:hAnsi="Arial"/>
          <w:sz w:val="17"/>
          <w:szCs w:val="17"/>
          <w:color w:val="auto"/>
        </w:rPr>
        <w:t>for at least the next months.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49"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We plan to use the net proceeds from this offering to advance the clinical development of ALX148, as well as for working capital and other general corporate purposes. This may include additional research,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The net proceeds from this offering, together with our cash, may not be sufficient to fund all of the actions that are necessary to complete the development of ALX148 or our other programs.</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In addition, our Loan and Security Agreement, or the Loan Agreement, with Silicon Valley Bank, or SVB, and WestRiver Innovation Lending Fund VIII, LP, or WestRiver, and collectively, the Lenders, restricts our ability to incur additional indebtedness without the consent of the Lenders.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54"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2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190" w:lineRule="exact"/>
        <w:rPr>
          <w:sz w:val="20"/>
          <w:szCs w:val="20"/>
          <w:color w:val="auto"/>
        </w:rPr>
      </w:pPr>
    </w:p>
    <w:p>
      <w:pPr>
        <w:ind w:left="980" w:right="18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successful and timely completion of preclinical and clinical development of our lead product candidate, ALX148, and our other future product candidates;</w:t>
      </w:r>
    </w:p>
    <w:p>
      <w:pPr>
        <w:spacing w:after="0" w:line="22" w:lineRule="exact"/>
        <w:rPr>
          <w:rFonts w:ascii="MS PGothic" w:cs="MS PGothic" w:eastAsia="MS PGothic" w:hAnsi="MS PGothic"/>
          <w:sz w:val="13"/>
          <w:szCs w:val="13"/>
          <w:color w:val="auto"/>
        </w:rPr>
      </w:pPr>
    </w:p>
    <w:p>
      <w:pPr>
        <w:ind w:left="980" w:right="102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establishing and maintaining relationships with contract research organizations, or CROs, and clinical sites for the clinical development of ALX148 and our other future product candidates;</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timely receipt of marketing approvals from applicable regulatory authorities for any product candidates for which we successfully complete clinical development;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extent of any required post-marketing approval commitments to applicable regulatory authorities;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25"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25" w:lineRule="exact"/>
        <w:rPr>
          <w:rFonts w:ascii="MS PGothic" w:cs="MS PGothic" w:eastAsia="MS PGothic" w:hAnsi="MS PGothic"/>
          <w:sz w:val="13"/>
          <w:szCs w:val="13"/>
          <w:color w:val="auto"/>
        </w:rPr>
      </w:pPr>
    </w:p>
    <w:p>
      <w:pPr>
        <w:ind w:left="980" w:right="92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successful commercial launch following any marketing approval, including the development of a commercial infrastructure, whether in-house or with one or more collaborators;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 continued acceptable safety profile following any marketing approval;</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commercial acceptance of ALX148 and any future product candidates as viable treatment options by patients, the medical community and third-party payors;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obtaining favorable coverage and adequate reimbursement by third-party payors for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addressing any competing therapies and technological and market developments;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identifying, assessing, acquiring and developing new product candidates;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obtaining, maintaining and expanding patent protection, trade secret protection and regulatory exclusivity, both in the United States and internationally;</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protecting our rights in our intellectual property portfolio, including our licensed intellectual property;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defending against third-party interference or infringement claims, if any;</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entering into, on favorable terms, any collaboration, licensing or other arrangements that may be necessary or desirable to develop, manufacture or commercialize our product candidates;</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negotiating favorable terms in any collaboration, licensing or other arrangements that may be necessary to develop, manufacture or commercialize our product candidate;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attracting, hiring and retaining qualified personnel.</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73"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141"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myelodysplastic syndromes, or MDS, acute myeloid leukemia, or AML, head and neck squamous cell carcinoma, or HNSCC, or gastric/gastroesophageal junction, or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133"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trails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8"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125"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5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spacing w:after="0" w:line="185"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obtaining approval to commence a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reaching agreement on acceptable terms with prospective CROs and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obtaining institutional review board approval at each clinical trial site;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adding necessary new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recruiting suitable patients to participate in a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failing in having clinical trial sites or patients comply with trial protocols;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suffering clinical trial sites or patients dropping out of trials;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manufacturing sufficient quantities of product candidate for use in clinical trials.</w:t>
      </w:r>
    </w:p>
    <w:p>
      <w:pPr>
        <w:spacing w:after="0" w:line="156"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receipt of marketing approval or our ability to commercialize our product candidates, including:</w:t>
      </w:r>
    </w:p>
    <w:p>
      <w:pPr>
        <w:spacing w:after="0" w:line="185"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receipt of feedback from regulatory authorities that requires us to modify the design of our clinical trials;</w:t>
      </w:r>
    </w:p>
    <w:p>
      <w:pPr>
        <w:spacing w:after="0" w:line="34" w:lineRule="exact"/>
        <w:rPr>
          <w:rFonts w:ascii="MS PGothic" w:cs="MS PGothic" w:eastAsia="MS PGothic" w:hAnsi="MS PGothic"/>
          <w:sz w:val="13"/>
          <w:szCs w:val="13"/>
          <w:color w:val="auto"/>
        </w:rPr>
      </w:pPr>
    </w:p>
    <w:p>
      <w:pPr>
        <w:ind w:left="980" w:right="90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negative or inconclusive clinical trial results that may require us to conduct additional clinical trials or abandon certain drug development programs;</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number of patients required for clinical trials being larger than anticipated, enrollment in these clinical trials being slower than anticipated or subjects dropping out of these clinical trials at a higher rate than anticipated;</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delays in clinical trials due to outbreaks or public health crises, such as the COVID-19 pandemic, that impact both trial site operations and patient selection;</w:t>
      </w:r>
    </w:p>
    <w:p>
      <w:pPr>
        <w:spacing w:after="0" w:line="22"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cost of clinical trials of our product candidates are greater than anticipated;</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supply or quality of our product candidates or other materials necessary to conduct clinical trials of our product candidates being insufficient or inadequate;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regulators revising the requirements for approving our product candidates.</w:t>
      </w:r>
    </w:p>
    <w:p>
      <w:pPr>
        <w:spacing w:after="0" w:line="156"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47"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and/or retention of patients in clinical trials, our regulatory submissions or receipt of necessary marketing approvals could be delayed or prevented.</w:t>
      </w:r>
    </w:p>
    <w:p>
      <w:pPr>
        <w:spacing w:after="0" w:line="125"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comparable</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international regulatory authorities. Patient enrollment is a significant factor in the timing of clinical trials. In particular, because certain of our clinical trials of ALX148 are focused on indications with small patient populations, our ability to enroll eligible patients may be limited or may result in slower enrollment than we anticipate. 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may also be affected by other factors, including:</w:t>
      </w:r>
    </w:p>
    <w:p>
      <w:pPr>
        <w:spacing w:after="0" w:line="190" w:lineRule="exact"/>
        <w:rPr>
          <w:sz w:val="20"/>
          <w:szCs w:val="20"/>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size and nature of the patient population;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severity of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availability and efficacy or potency of approved drugs for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patient eligibility criteria for the trial in question;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perceived risks and benefits of the product candidate under study;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efforts to facilitate timely enrollment in clinical trials by us and the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patient referral practices of physicians;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ability to monitor patients adequately during and after treatment;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proximity of clinical trial sites to prospective patients;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risk of patients enrolled in clinical trials dropping out before completion; and</w:t>
      </w:r>
    </w:p>
    <w:p>
      <w:pPr>
        <w:spacing w:after="0" w:line="34" w:lineRule="exact"/>
        <w:rPr>
          <w:rFonts w:ascii="MS PGothic" w:cs="MS PGothic" w:eastAsia="MS PGothic" w:hAnsi="MS PGothic"/>
          <w:sz w:val="13"/>
          <w:szCs w:val="13"/>
          <w:color w:val="auto"/>
        </w:rPr>
      </w:pPr>
    </w:p>
    <w:p>
      <w:pPr>
        <w:ind w:left="980" w:right="600" w:hanging="432"/>
        <w:spacing w:after="0" w:line="243"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inability or delay in enrollment of patients due to a variety of reasons, including outbreaks and public health crises, such as the COVID-19 pandemic.</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27"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40"/>
        <w:spacing w:after="0" w:line="249" w:lineRule="auto"/>
        <w:rPr>
          <w:sz w:val="20"/>
          <w:szCs w:val="20"/>
          <w:color w:val="auto"/>
        </w:rPr>
      </w:pPr>
      <w:r>
        <w:rPr>
          <w:rFonts w:ascii="Arial" w:cs="Arial" w:eastAsia="Arial" w:hAnsi="Arial"/>
          <w:sz w:val="17"/>
          <w:szCs w:val="17"/>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ALX148 and any of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occurred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patient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132" w:lineRule="exact"/>
        <w:rPr>
          <w:sz w:val="20"/>
          <w:szCs w:val="20"/>
          <w:color w:val="auto"/>
        </w:rPr>
      </w:pPr>
    </w:p>
    <w:p>
      <w:pPr>
        <w:ind w:left="120" w:right="560"/>
        <w:spacing w:after="0" w:line="267"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4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13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 and oversight.</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4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191"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delays in or the rejection of product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restrictions on the products, manufacturers or manufacturing process;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warning or untitled letters;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civil and criminal penalties;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injunctions;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suspension or withdrawal of regulatory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product seizures, detentions or import bans;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voluntary or mandatory product recalls and publicity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total or partial suspension of production;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imposition of restrictions on operations, including costly new manufacturing requirements.</w:t>
      </w:r>
    </w:p>
    <w:p>
      <w:pPr>
        <w:spacing w:after="0" w:line="15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occurrence of any of these sanctions, enforcement actions, or penalties described above may inhibit our ability to commercialize our product candidates, even if approved, and generate revenue.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40"/>
        <w:spacing w:after="0" w:line="244"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14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52" w:lineRule="exact"/>
        <w:rPr>
          <w:sz w:val="20"/>
          <w:szCs w:val="20"/>
          <w:color w:val="auto"/>
        </w:rPr>
      </w:pPr>
    </w:p>
    <w:p>
      <w:pPr>
        <w:ind w:left="120" w:right="540"/>
        <w:spacing w:after="0" w:line="238" w:lineRule="auto"/>
        <w:rPr>
          <w:sz w:val="20"/>
          <w:szCs w:val="20"/>
          <w:color w:val="auto"/>
        </w:rPr>
      </w:pPr>
      <w:r>
        <w:rPr>
          <w:rFonts w:ascii="Arial" w:cs="Arial" w:eastAsia="Arial" w:hAnsi="Arial"/>
          <w:sz w:val="17"/>
          <w:szCs w:val="17"/>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47"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Material modifications in the methods of product candidate manufacturing or formulation may result in additional costs or delay.</w:t>
      </w:r>
    </w:p>
    <w:p>
      <w:pPr>
        <w:spacing w:after="0" w:line="17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Lack of third-party combination drugs may materially and adversely affect demand for our product candidates.</w:t>
      </w:r>
    </w:p>
    <w:p>
      <w:pPr>
        <w:spacing w:after="0" w:line="17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trials of ALX148 in combination with pembrolizumab for HNSCC and trastuzumab for gastric/GEJ carcinoma. As a result, both the results of our clinical trials and the sales of our drugs may be affected by the availability of these third-party drugs. 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128"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patients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of foreign regulatory authority could determine that any of our clinical trials fail or have failed to comply with applicable cGCPs.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Our business also may be implicated if any of our CROs violates fraud and abuse or false claims laws and regulations or healthcare privacy and security laws.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3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125"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190" w:lineRule="exact"/>
        <w:rPr>
          <w:sz w:val="20"/>
          <w:szCs w:val="20"/>
          <w:color w:val="auto"/>
        </w:rPr>
      </w:pPr>
    </w:p>
    <w:p>
      <w:pPr>
        <w:ind w:left="980" w:right="16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ability of ALX148 and our other product candidates to treat cancer or other applicable targeted diseases, as compared with other available drugs, treatments or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timing of market introduction of the product candidate as well as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a product candidate is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approval of other new therapies for the same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any adverse side effects associated with ALX148 and our other product candidates;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limitations or warnings contained in the labeling approved for ALX148 or our other product candidates by the FDA or foreign regulatory authorities;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size of the target patient population and the willingness of the target patient population to try new therapies and of physicians to prescribe these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strength and effectiveness of marketing and distribution support and timing of market introduction of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publicity for our product candidates and competing products and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pricing and cost-effectiveness in relation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relative convenience and ease of administration;</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ability to obtain sufficient third-party coverage or reimbursement, and the willingness of patients to pay out-of-pocket in the absence of third-party coverage; and</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likelihood that the FDA or any foreign regulatory authority may impose additional requirements that limit the promotion, advertising, distribution or sales of our product candidates.</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12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125"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opportunities for the product candidates we develop, if approved, may be limited to certain smaller patient subsets.</w:t>
      </w:r>
    </w:p>
    <w:p>
      <w:pPr>
        <w:spacing w:after="0" w:line="176"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127"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143"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Our lead product candidate, ALX148, is at an early stage of clinical development and not all adverse effects can be predicted or anticipated. Unforeseen side effects from ALX148 or any of our future product candidates may arise at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Even if any of our product candidates receive marketing approval, if we or others later identify undesirable or unacceptable side effects caused by such products:</w:t>
      </w:r>
    </w:p>
    <w:p>
      <w:pPr>
        <w:spacing w:after="0" w:line="185"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us to take our approved product off the market;</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the addition of labeling statements, specific warnings, contraindication, precaution or field alerts to physicians and pharmacies;</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we may be required to change the way the product is administered, limit the patient population who can use the product or conduct additional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we may be subject to limitations on how we may promote the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sales of the product may decrease significantly;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we may be subject to litigation or product liability claims;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reputation may suffer.</w:t>
      </w:r>
    </w:p>
    <w:p>
      <w:pPr>
        <w:spacing w:after="0" w:line="15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7"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48"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Obtaining and maintaining reimbursement status is time-consuming and costly. No uniform policy for coverage and reimbursement for products exists among third-party payors in the United States. Therefore, coverage and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191"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demand for any products for which we may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set a price that we believe is fair for our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coverage and adequate reimbursement for a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73" w:lineRule="exact"/>
        <w:rPr>
          <w:sz w:val="20"/>
          <w:szCs w:val="20"/>
          <w:color w:val="auto"/>
        </w:rPr>
      </w:pPr>
    </w:p>
    <w:p>
      <w:pPr>
        <w:ind w:left="120" w:right="600"/>
        <w:spacing w:after="0" w:line="267"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188" w:lineRule="exact"/>
        <w:rPr>
          <w:sz w:val="20"/>
          <w:szCs w:val="20"/>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drug;</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withdrawal of the drug from the market or voluntary or mandatory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adverse publicity, fines, warning letters or holds on clinical trials;</w:t>
      </w:r>
    </w:p>
    <w:p>
      <w:pPr>
        <w:spacing w:after="0" w:line="34"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refusal by the FDA or any other applicable regulatory authority to approve pending applications or supplements to approved applications filed by us, or suspension or revocation of product license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drug product seizure or detention, or refusal to permit the import or export of product candidates;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28"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96" w:lineRule="exact"/>
        <w:rPr>
          <w:sz w:val="20"/>
          <w:szCs w:val="20"/>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25"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program may not be sufficiently broad or representative to assure efficacy and potency and safety in the full population for which we seek approval;</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our interpretation of data from preclinical studies or clinical trials;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8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FDA or comparable international regulatory authorities that a product candidate’s risk-benefit ratio for its proposed indication is acceptable;</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or international foreign regulatory authorities may significantly change in a manner rendering our clinical data insufficient for approval.</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28" w:lineRule="exact"/>
        <w:rPr>
          <w:sz w:val="20"/>
          <w:szCs w:val="20"/>
          <w:color w:val="auto"/>
        </w:rPr>
      </w:pPr>
    </w:p>
    <w:p>
      <w:pPr>
        <w:ind w:left="120" w:right="340"/>
        <w:spacing w:after="0" w:line="267" w:lineRule="auto"/>
        <w:rPr>
          <w:sz w:val="20"/>
          <w:szCs w:val="20"/>
          <w:color w:val="auto"/>
        </w:rPr>
      </w:pPr>
      <w:r>
        <w:rPr>
          <w:rFonts w:ascii="Arial" w:cs="Arial" w:eastAsia="Arial" w:hAnsi="Arial"/>
          <w:sz w:val="17"/>
          <w:szCs w:val="17"/>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125"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In February 2020, the FDA granted Fast Track designations to ALX148 for first-line HNSCC and for second-line treatment of advanced human epidermal growth factor receptor 2, or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29"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130"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12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90"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demand for our drugs, if we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ability to receive or set a price that we believe is fair for our drugs;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availability of capital.</w:t>
      </w:r>
    </w:p>
    <w:p>
      <w:pPr>
        <w:spacing w:after="0" w:line="156"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March 2020, the U.S. Supreme Court agreed to hear the case, which is expected to occur in the fall of 2020.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The Department of Health and Human Services, or HHS, has solicited feedback on some of these measures and, at the same, has implemented others under its existing authority. For example, in May 2019, CMS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they would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50"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5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29" w:lineRule="exact"/>
        <w:rPr>
          <w:sz w:val="20"/>
          <w:szCs w:val="20"/>
          <w:color w:val="auto"/>
        </w:rPr>
      </w:pPr>
    </w:p>
    <w:p>
      <w:pPr>
        <w:jc w:val="both"/>
        <w:ind w:left="120" w:right="300"/>
        <w:spacing w:after="0" w:line="244"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4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physicians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194" w:lineRule="exact"/>
        <w:rPr>
          <w:sz w:val="20"/>
          <w:szCs w:val="20"/>
          <w:color w:val="auto"/>
        </w:rPr>
      </w:pPr>
    </w:p>
    <w:p>
      <w:pPr>
        <w:ind w:left="980" w:right="6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w:t>
      </w:r>
    </w:p>
    <w:p>
      <w:pPr>
        <w:spacing w:after="0" w:line="26"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civil False Claims Act, or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28" w:lineRule="exact"/>
        <w:rPr>
          <w:rFonts w:ascii="MS PGothic" w:cs="MS PGothic" w:eastAsia="MS PGothic" w:hAnsi="MS PGothic"/>
          <w:sz w:val="13"/>
          <w:szCs w:val="13"/>
          <w:color w:val="auto"/>
        </w:rPr>
      </w:pPr>
    </w:p>
    <w:p>
      <w:pPr>
        <w:ind w:left="980" w:right="2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8"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U.S. federal Health Insurance Portability and Accountability Act of 1996, or HIPAA, imposes criminal and civil liability for, among other things, knowingly and willfully executing, or attempting to execute, a</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160"/>
        <w:spacing w:after="0" w:line="236" w:lineRule="auto"/>
        <w:rPr>
          <w:sz w:val="20"/>
          <w:szCs w:val="20"/>
          <w:color w:val="auto"/>
        </w:rPr>
      </w:pPr>
      <w:r>
        <w:rPr>
          <w:rFonts w:ascii="Arial" w:cs="Arial" w:eastAsia="Arial" w:hAnsi="Arial"/>
          <w:sz w:val="17"/>
          <w:szCs w:val="17"/>
          <w:color w:val="auto"/>
        </w:rPr>
        <w:t>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8" w:lineRule="exact"/>
        <w:rPr>
          <w:sz w:val="20"/>
          <w:szCs w:val="20"/>
          <w:color w:val="auto"/>
        </w:rPr>
      </w:pPr>
    </w:p>
    <w:p>
      <w:pPr>
        <w:ind w:left="980" w:hanging="432"/>
        <w:spacing w:after="0" w:line="234"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7"/>
          <w:szCs w:val="17"/>
          <w:i w:val="1"/>
          <w:iCs w:val="1"/>
          <w:color w:val="auto"/>
        </w:rPr>
        <w:t>i.e.</w:t>
      </w:r>
      <w:r>
        <w:rPr>
          <w:rFonts w:ascii="Arial" w:cs="Arial" w:eastAsia="Arial" w:hAnsi="Arial"/>
          <w:sz w:val="17"/>
          <w:szCs w:val="17"/>
          <w:color w:val="auto"/>
        </w:rPr>
        <w:t>, health plans, healthcare clearinghouses and healthcare providers, as well as their business associates that perform certain services for or on their behalf involving the use or disclosure of individually identifiable health information with respect to safeguarding the privacy, security and transmission of individually identifiable health information.</w:t>
      </w:r>
    </w:p>
    <w:p>
      <w:pPr>
        <w:spacing w:after="0" w:line="27"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U.S. Federal Food, Drug and Cosmetic Act prohibits, among other things, the adulteration or misbranding of drugs, biologics and medical devices.</w:t>
      </w:r>
    </w:p>
    <w:p>
      <w:pPr>
        <w:spacing w:after="0" w:line="22" w:lineRule="exact"/>
        <w:rPr>
          <w:rFonts w:ascii="MS PGothic" w:cs="MS PGothic" w:eastAsia="MS PGothic" w:hAnsi="MS PGothic"/>
          <w:sz w:val="13"/>
          <w:szCs w:val="13"/>
          <w:color w:val="auto"/>
        </w:rPr>
      </w:pPr>
    </w:p>
    <w:p>
      <w:pPr>
        <w:ind w:left="980" w:right="140" w:hanging="432"/>
        <w:spacing w:after="0" w:line="234"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26" w:lineRule="exact"/>
        <w:rPr>
          <w:rFonts w:ascii="MS PGothic" w:cs="MS PGothic" w:eastAsia="MS PGothic" w:hAnsi="MS PGothic"/>
          <w:sz w:val="13"/>
          <w:szCs w:val="13"/>
          <w:color w:val="auto"/>
        </w:rPr>
      </w:pPr>
    </w:p>
    <w:p>
      <w:pPr>
        <w:ind w:left="980" w:right="80" w:hanging="432"/>
        <w:spacing w:after="0" w:line="235"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26" w:lineRule="exact"/>
        <w:rPr>
          <w:rFonts w:ascii="MS PGothic" w:cs="MS PGothic" w:eastAsia="MS PGothic" w:hAnsi="MS PGothic"/>
          <w:sz w:val="13"/>
          <w:szCs w:val="13"/>
          <w:color w:val="auto"/>
        </w:rPr>
      </w:pPr>
    </w:p>
    <w:p>
      <w:pPr>
        <w:ind w:left="980" w:right="80" w:hanging="432"/>
        <w:spacing w:after="0" w:line="23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3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European and other foreign law equivalents of each of the laws also impose legal requirements, including reporting requirements detailing interactions with and payments to healthcare providers.</w:t>
      </w:r>
    </w:p>
    <w:p>
      <w:pPr>
        <w:spacing w:after="0" w:line="144"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134" w:lineRule="exact"/>
        <w:rPr>
          <w:sz w:val="20"/>
          <w:szCs w:val="20"/>
          <w:color w:val="auto"/>
        </w:rPr>
      </w:pPr>
    </w:p>
    <w:p>
      <w:pPr>
        <w:jc w:val="both"/>
        <w:ind w:left="120" w:right="460"/>
        <w:spacing w:after="0" w:line="249" w:lineRule="auto"/>
        <w:rPr>
          <w:sz w:val="20"/>
          <w:szCs w:val="20"/>
          <w:color w:val="auto"/>
        </w:rPr>
      </w:pPr>
      <w:r>
        <w:rPr>
          <w:rFonts w:ascii="Arial" w:cs="Arial" w:eastAsia="Arial" w:hAnsi="Arial"/>
          <w:sz w:val="17"/>
          <w:szCs w:val="17"/>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131" w:lineRule="exact"/>
        <w:rPr>
          <w:sz w:val="20"/>
          <w:szCs w:val="20"/>
          <w:color w:val="auto"/>
        </w:rPr>
      </w:pPr>
    </w:p>
    <w:p>
      <w:pPr>
        <w:ind w:left="120" w:right="660"/>
        <w:spacing w:after="0" w:line="267"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12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business activities may be subject to the U.S.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5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67"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As we expand our operations, preclinical studies and clinical trials, the CCPA may increase our compliance costs and potential liability. Other states are beginning to consider and pass similar laws.</w:t>
      </w:r>
    </w:p>
    <w:p>
      <w:pPr>
        <w:spacing w:after="0" w:line="1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73"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product candidates and related technology, our business could be materially harmed.</w:t>
      </w:r>
    </w:p>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opposition or derivation proceedings challenging our patent rights or the patent rights of others.</w:t>
      </w:r>
    </w:p>
    <w:p>
      <w:pPr>
        <w:spacing w:after="0" w:line="14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62"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31" w:lineRule="exact"/>
        <w:rPr>
          <w:sz w:val="20"/>
          <w:szCs w:val="20"/>
          <w:color w:val="auto"/>
        </w:rPr>
      </w:pPr>
    </w:p>
    <w:p>
      <w:pPr>
        <w:jc w:val="both"/>
        <w:ind w:left="120" w:right="40"/>
        <w:spacing w:after="0" w:line="24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28"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our ability to protect our product candidates.</w:t>
      </w:r>
    </w:p>
    <w:p>
      <w:pPr>
        <w:spacing w:after="0" w:line="125"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7"/>
          <w:szCs w:val="17"/>
          <w:i w:val="1"/>
          <w:iCs w:val="1"/>
          <w:color w:val="auto"/>
        </w:rPr>
        <w:t>e.g.</w:t>
      </w:r>
      <w:r>
        <w:rPr>
          <w:rFonts w:ascii="Arial" w:cs="Arial" w:eastAsia="Arial" w:hAnsi="Arial"/>
          <w:sz w:val="17"/>
          <w:szCs w:val="17"/>
          <w:color w:val="auto"/>
        </w:rPr>
        <w:t xml:space="preserve">, via post-grant reviews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51" w:lineRule="exact"/>
        <w:rPr>
          <w:sz w:val="20"/>
          <w:szCs w:val="20"/>
          <w:color w:val="auto"/>
        </w:rPr>
      </w:pPr>
    </w:p>
    <w:p>
      <w:pPr>
        <w:jc w:val="both"/>
        <w:ind w:left="120" w:right="440"/>
        <w:spacing w:after="0" w:line="238" w:lineRule="auto"/>
        <w:rPr>
          <w:sz w:val="20"/>
          <w:szCs w:val="20"/>
          <w:color w:val="auto"/>
        </w:rPr>
      </w:pPr>
      <w:r>
        <w:rPr>
          <w:rFonts w:ascii="Arial" w:cs="Arial" w:eastAsia="Arial" w:hAnsi="Arial"/>
          <w:sz w:val="17"/>
          <w:szCs w:val="17"/>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patents covering one or more of our product candidates could be found invalid or unenforceable if challenged.</w:t>
      </w:r>
    </w:p>
    <w:p>
      <w:pPr>
        <w:spacing w:after="0" w:line="17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4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protection, prosecution, assertion and defense for some of our product candidates may be dependent on third parties.</w:t>
      </w:r>
    </w:p>
    <w:p>
      <w:pPr>
        <w:spacing w:after="0" w:line="17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28"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or consultants under such agreements.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49"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 the United States and certain foreign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129"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trade secrets, which could be expensive, time-consuming and unsuccessful.</w:t>
      </w:r>
    </w:p>
    <w:p>
      <w:pPr>
        <w:spacing w:after="0" w:line="125"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50"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following are examples of litigation and other adversarial proceedings or disputes that we could become a party to involving our patents or patents licensed to us:</w:t>
      </w:r>
    </w:p>
    <w:p>
      <w:pPr>
        <w:spacing w:after="0" w:line="185" w:lineRule="exact"/>
        <w:rPr>
          <w:sz w:val="20"/>
          <w:szCs w:val="20"/>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we may initiate litigation or other proceedings against third parties to enforce our patent and trade secret rights;</w:t>
      </w:r>
    </w:p>
    <w:p>
      <w:pPr>
        <w:spacing w:after="0" w:line="34" w:lineRule="exact"/>
        <w:rPr>
          <w:rFonts w:ascii="MS PGothic" w:cs="MS PGothic" w:eastAsia="MS PGothic" w:hAnsi="MS PGothic"/>
          <w:sz w:val="13"/>
          <w:szCs w:val="13"/>
          <w:color w:val="auto"/>
        </w:rPr>
      </w:pPr>
    </w:p>
    <w:p>
      <w:pPr>
        <w:ind w:left="980" w:right="70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22"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22"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or</w:t>
      </w:r>
    </w:p>
    <w:p>
      <w:pPr>
        <w:spacing w:after="0" w:line="22"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47"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Any litigation or other proceedings would be costly and could affect our results of operations and divert the attention of our management and scientific personnel. Some of our competitors may be able to sustain the cost of such</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128"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 consuming and unsuccessful.”</w:t>
      </w:r>
    </w:p>
    <w:p>
      <w:pPr>
        <w:spacing w:after="0" w:line="134" w:lineRule="exact"/>
        <w:rPr>
          <w:sz w:val="20"/>
          <w:szCs w:val="20"/>
          <w:color w:val="auto"/>
        </w:rPr>
      </w:pPr>
    </w:p>
    <w:p>
      <w:pPr>
        <w:ind w:left="120" w:right="260"/>
        <w:spacing w:after="0" w:line="267"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the patents and other proprietary rights of third parties.</w:t>
      </w:r>
    </w:p>
    <w:p>
      <w:pPr>
        <w:spacing w:after="0" w:line="125"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49" w:lineRule="exact"/>
        <w:rPr>
          <w:sz w:val="20"/>
          <w:szCs w:val="20"/>
          <w:color w:val="auto"/>
        </w:rPr>
      </w:pPr>
    </w:p>
    <w:p>
      <w:pPr>
        <w:ind w:left="120" w:right="40"/>
        <w:spacing w:after="0" w:line="241"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SIRPa, pathways, and others that are based on entirely different approaches. These patents and applications could potentially be construed to cover our product candidates and their use. For example, we are aware of a revoked European patent (EP 2 429 574) owned by University Health Network,</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or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49"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5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intellectual property rights will not necessarily provide us with competitive advantages.</w:t>
      </w:r>
    </w:p>
    <w:p>
      <w:pPr>
        <w:spacing w:after="0" w:line="176"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5" w:lineRule="exact"/>
        <w:rPr>
          <w:sz w:val="20"/>
          <w:szCs w:val="20"/>
          <w:color w:val="auto"/>
        </w:rPr>
      </w:pPr>
    </w:p>
    <w:p>
      <w:pPr>
        <w:ind w:left="980" w:right="20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others may be able to make products that are similar to our product candidates but that are not covered by the claims of the patents that we own or have exclusively licensed;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others may independently develop similar or alternative technologies without infringing our intellectual property rights;</w:t>
      </w:r>
    </w:p>
    <w:p>
      <w:pPr>
        <w:spacing w:after="0" w:line="34"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issued patents that we own or have exclusively licensed may not provide us with competitive advantages, or may be held invalid or unenforceable, as a result of legal challenges by our competitors;</w:t>
      </w:r>
    </w:p>
    <w:p>
      <w:pPr>
        <w:spacing w:after="0" w:line="22" w:lineRule="exact"/>
        <w:rPr>
          <w:rFonts w:ascii="MS PGothic" w:cs="MS PGothic" w:eastAsia="MS PGothic" w:hAnsi="MS PGothic"/>
          <w:sz w:val="13"/>
          <w:szCs w:val="13"/>
          <w:color w:val="auto"/>
        </w:rPr>
      </w:pPr>
    </w:p>
    <w:p>
      <w:pPr>
        <w:ind w:left="980" w:right="140" w:hanging="432"/>
        <w:spacing w:after="0" w:line="238"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25"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we may fail to develop additional proprietary technologies that are patentable;</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patents of others may have an adverse effect on our business, for example by preventing us from marketing one or more of our product candidates for one or more indications.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 aforementioned threats to our competitive advantage could have a material adverse effect on our business.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480"/>
        <w:spacing w:after="0" w:line="267" w:lineRule="auto"/>
        <w:rPr>
          <w:sz w:val="20"/>
          <w:szCs w:val="20"/>
          <w:color w:val="auto"/>
        </w:rPr>
      </w:pPr>
      <w:r>
        <w:rPr>
          <w:rFonts w:ascii="Arial" w:cs="Arial" w:eastAsia="Arial" w:hAnsi="Arial"/>
          <w:sz w:val="17"/>
          <w:szCs w:val="17"/>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8" w:lineRule="exact"/>
        <w:rPr>
          <w:sz w:val="20"/>
          <w:szCs w:val="20"/>
          <w:color w:val="auto"/>
        </w:rPr>
      </w:pPr>
    </w:p>
    <w:p>
      <w:pPr>
        <w:ind w:left="120" w:right="300"/>
        <w:spacing w:after="0" w:line="267" w:lineRule="auto"/>
        <w:rPr>
          <w:sz w:val="20"/>
          <w:szCs w:val="20"/>
          <w:color w:val="auto"/>
        </w:rPr>
      </w:pPr>
      <w:r>
        <w:rPr>
          <w:rFonts w:ascii="Arial" w:cs="Arial" w:eastAsia="Arial" w:hAnsi="Arial"/>
          <w:sz w:val="17"/>
          <w:szCs w:val="17"/>
          <w:b w:val="1"/>
          <w:bCs w:val="1"/>
          <w:i w:val="1"/>
          <w:iCs w:val="1"/>
          <w:color w:val="auto"/>
        </w:rPr>
        <w:t>Our rights to develop and commercialize our product candidates may be subject, in part, to the terms and conditions of agreements with others.</w:t>
      </w:r>
    </w:p>
    <w:p>
      <w:pPr>
        <w:spacing w:after="0" w:line="125"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Moreover, disputes may arise regarding intellectual property subject to a collaboration agreement, including:</w:t>
      </w:r>
    </w:p>
    <w:p>
      <w:pPr>
        <w:spacing w:after="0" w:line="196" w:lineRule="exact"/>
        <w:rPr>
          <w:sz w:val="20"/>
          <w:szCs w:val="20"/>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scope of the option or license rights granted under the agreement and other interpretation-related issues;</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extent to which our technology and processes infringe on intellectual property of the collaborator that is not subject to the option or license rights granted under the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sublicensing of patent and other rights under our collaborative development relationships;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diligence obligations under the agreement and what activities satisfy those diligence obligations;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inventorship and ownership of inventions and know-how resulting from the joint creation or use of intellectual property by our collaborators and us and our other partners;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priority of invention of patented technology.</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73"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25"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As of May 31, 2020, we had 24 full-time employees, including 16 employees engaged in research and development. In order to successfully implement our development and commercialization plans and strategies, and as we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190"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127"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Our product candidates are based on a novel technology, which makes it difficult to predict the time and cost of product candidate development.</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128"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2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48" w:lineRule="exact"/>
        <w:rPr>
          <w:sz w:val="20"/>
          <w:szCs w:val="20"/>
          <w:color w:val="auto"/>
        </w:rPr>
      </w:pPr>
    </w:p>
    <w:p>
      <w:pPr>
        <w:ind w:left="120" w:right="780"/>
        <w:spacing w:after="0" w:line="243"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Our international operations may expose us to business, regulatory, political, operational, financial, pricing and reimbursement risks associated with doing business outside of the United States.</w:t>
      </w:r>
    </w:p>
    <w:p>
      <w:pPr>
        <w:spacing w:after="0" w:line="153"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predecessor company, which after our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188" w:lineRule="exact"/>
        <w:rPr>
          <w:sz w:val="20"/>
          <w:szCs w:val="20"/>
          <w:color w:val="auto"/>
        </w:rPr>
      </w:pPr>
    </w:p>
    <w:p>
      <w:pPr>
        <w:ind w:left="980" w:right="84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rejection or qualification of foreign clinical trial data by the competent authorities of other countries;</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complexities and difficulties in obtaining, maintaining, protecting and enforcing our intellectual property, including as a result of potentially relevant third-party patent rights;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difficulties in staffing and managing foreign operations;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limits in our ability to penetrate international markets;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financial risks, such as longer payment cycles, difficulty collecting accounts receivable, the impact of local and regional financial crises on demand and payment for our drugs;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exposure to foreign currency exchange rate fluctuations;</w:t>
      </w:r>
    </w:p>
    <w:p>
      <w:pPr>
        <w:spacing w:after="0" w:line="34"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political and economic instability, including wars, terrorism and political unrest, boycotts, curtailment of trade and other business restrictions;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natural disasters, outbreaks or public health crises, such as the COVID-19 pandemic;</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certain expenses including, among others, expenses for travel, translation and insurance; and</w:t>
      </w:r>
    </w:p>
    <w:p>
      <w:pPr>
        <w:spacing w:after="0" w:line="34" w:lineRule="exact"/>
        <w:rPr>
          <w:rFonts w:ascii="MS PGothic" w:cs="MS PGothic" w:eastAsia="MS PGothic" w:hAnsi="MS PGothic"/>
          <w:sz w:val="13"/>
          <w:szCs w:val="13"/>
          <w:color w:val="auto"/>
        </w:rPr>
      </w:pPr>
    </w:p>
    <w:p>
      <w:pPr>
        <w:jc w:val="both"/>
        <w:ind w:left="980" w:right="30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these factors could harm our future international expansion and operations and, consequently, our results of operations.</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49"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51"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us to fail to capitalize on viable commercial therapies or profitable market opportunities. 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30" w:lineRule="exact"/>
        <w:rPr>
          <w:sz w:val="20"/>
          <w:szCs w:val="20"/>
          <w:color w:val="auto"/>
        </w:rPr>
      </w:pPr>
    </w:p>
    <w:p>
      <w:pPr>
        <w:ind w:left="120" w:right="740"/>
        <w:spacing w:after="0" w:line="267" w:lineRule="auto"/>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December 2019, COVID-19 was reported to have surfaced in Wuhan, China, resulting in significant disruptions to Chinese manufacturing and travel. Since then, the virus has spread to numerous other countries, including the United States, resulting in the World Health Organization characterizing COVID-19 as a pandemic. The extent to which the COVID-19 pandemic impacts our business will depend on future developments, which are highly uncertain and cannot be predicted,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could experience other disruptions that could severely impact our business, current and planned clinical trials and preclinical research, including:</w:t>
      </w:r>
    </w:p>
    <w:p>
      <w:pPr>
        <w:spacing w:after="0" w:line="190" w:lineRule="exact"/>
        <w:rPr>
          <w:sz w:val="20"/>
          <w:szCs w:val="20"/>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or difficulties in enrolling and retaining subjects in our ongoing clinical trial of ALX148 and our future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clinical trials;</w:t>
      </w:r>
    </w:p>
    <w:p>
      <w:pPr>
        <w:spacing w:after="0" w:line="22" w:lineRule="exact"/>
        <w:rPr>
          <w:rFonts w:ascii="MS PGothic" w:cs="MS PGothic" w:eastAsia="MS PGothic" w:hAnsi="MS PGothic"/>
          <w:sz w:val="13"/>
          <w:szCs w:val="13"/>
          <w:color w:val="auto"/>
        </w:rPr>
      </w:pPr>
    </w:p>
    <w:p>
      <w:pPr>
        <w:ind w:left="980" w:right="140" w:hanging="432"/>
        <w:spacing w:after="0" w:line="238"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5"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8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interruptions or delays in the operations of the FDA or other domestic or foreign regulatory authorities, which may impact review and approval timelines;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delays in receiving the supplies, materials and services needed to conduct clinical trials and preclinical research;</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interruptions or delays to our development pipeline;</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delays in necessary interactions with regulators, ethics committees and other important agencies and contractors due to limitations in employee resources or furlough of government or contractor personnel;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refusal of the FDA to accept data from clinical trials in affected geographies outside of the United States.</w:t>
      </w:r>
    </w:p>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are still assessing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For example, on March 16, 2020, San Mateo County, where our headquarters are located,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Our primary operations are located in Burlingame, California. As a result of such county and California state orders, the majority of our employees are currently telecommuting, which may impact certain of our operations over the near term and long term.</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on conducting clinical trials during the pandemic, which describe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7"/>
          <w:szCs w:val="17"/>
          <w:i w:val="1"/>
          <w:iCs w:val="1"/>
          <w:color w:val="auto"/>
        </w:rPr>
        <w:t>e.g.</w:t>
      </w:r>
      <w:r>
        <w:rPr>
          <w:rFonts w:ascii="Arial" w:cs="Arial" w:eastAsia="Arial" w:hAnsi="Arial"/>
          <w:sz w:val="17"/>
          <w:szCs w:val="17"/>
          <w:color w:val="auto"/>
        </w:rPr>
        <w:t>, participant discontinuation from investigational product and/or study, alternative procedures used to collect critical safety and/or efficacy data) on the safety and efficacy results reported for the trial.</w:t>
      </w:r>
    </w:p>
    <w:p>
      <w:pPr>
        <w:spacing w:after="0" w:line="152"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The global outbreak of COVID-19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47"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section and in this “Risk Factors” section.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w:t>
      </w:r>
    </w:p>
    <w:p>
      <w:pPr>
        <w:spacing w:after="0" w:line="176"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4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29"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may seek to enter into collaborations, licenses and other similar arrangements for the development or commercialization of our product candidates, due to capital costs required to develop or commercialize the product candidate in such markets.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5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6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acquire businesses or assets and we may not realize the benefits of such acquisitions.</w:t>
      </w:r>
    </w:p>
    <w:p>
      <w:pPr>
        <w:spacing w:after="0" w:line="17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The Loan Agreement which governs our term loan limits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28"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The terms of our Loan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 The $6.0 million in term loans under the Loan Agreement bear interest at a floating per annum interest rate equal to the greater of 7.0% or 2.0% plus the prime rate as reported in The Wall Street Journal. We are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Loan Agreement contains customary affirmative and negative covenants, indemnification provisions and events of default. The affirmative covenants include, among others, covenants requiring us and our subsidiaries to maintain legal existence and good standing, deliver certain financial reports, keep inventory in good and marketable condition, timely file tax returns and reports, maintain insurance, maintain operating accounts and maintain certain intellectual property rights. The negative covenants include, among others, restrictions on transferring or licensing our assets, changing our business, engaging in mergers or acquisitions, incurring additional indebtedness, paying dividends or making other distributions and creating other liens on our assets, in each case subject to customary exceptions.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Lenders could declare a default under the Loan Agreement upon the occurrence of any event that the Lenders interpret as a material adverse change as defined under the Loan Agreement,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76"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w:t>
      </w:r>
    </w:p>
    <w:p>
      <w:pPr>
        <w:ind w:left="120"/>
        <w:spacing w:after="0" w:line="235" w:lineRule="auto"/>
        <w:rPr>
          <w:sz w:val="20"/>
          <w:szCs w:val="20"/>
          <w:color w:val="auto"/>
        </w:rPr>
      </w:pPr>
      <w:r>
        <w:rPr>
          <w:rFonts w:ascii="Arial" w:cs="Arial" w:eastAsia="Arial" w:hAnsi="Arial"/>
          <w:sz w:val="17"/>
          <w:szCs w:val="17"/>
          <w:color w:val="auto"/>
        </w:rPr>
        <w:t>its pre-change net operating loss carryforwards and other pre-change tax attributes to offset its post-change income and taxes may be limited. We may have experienced such ownership changes in the past, and we may experience ownership changes in the future as a result of this offering or subsequent shifts in our stock ownership, some of which are outside our control. As of December 31, 2019, we had net operating loss carryforwards for U.S. state income tax purposes of approximately $30.9 million, and our ability to utilize those net operating loss carryforwards could be limited by an “ownership change” as described above, which could result in increased tax liability to our company.</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As of December 31, 2019, we had Irish net operating loss carryforwards of approximately $4.0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this initial public offering and subsequent movements in our share ownership.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73"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25"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Prior to this offering, no market for shares of our common stock existed and an active trading market for our shares may never develop or be sustained following this offering.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The initial public offering price of our common stock will be determined through negotiations between us and the underwriters. The initial public offering price may not be indicative of the market price of our common stock after the offering and the market value of our common stock may decrease from the initial public offering price. Any inactive trading market for our common stock may also impair our ability to raise capital to</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continue to fund our operations by selling shares and may impair our ability to acquire other companies or technologies by using our shares as consideration.</w:t>
      </w:r>
    </w:p>
    <w:p>
      <w:pPr>
        <w:spacing w:after="0" w:line="124"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125" w:lineRule="exact"/>
        <w:rPr>
          <w:sz w:val="20"/>
          <w:szCs w:val="20"/>
          <w:color w:val="auto"/>
        </w:rPr>
      </w:pPr>
    </w:p>
    <w:p>
      <w:pPr>
        <w:ind w:left="120" w:right="420"/>
        <w:spacing w:after="0" w:line="232" w:lineRule="auto"/>
        <w:rPr>
          <w:sz w:val="20"/>
          <w:szCs w:val="20"/>
          <w:color w:val="auto"/>
        </w:rPr>
      </w:pPr>
      <w:r>
        <w:rPr>
          <w:rFonts w:ascii="Arial" w:cs="Arial" w:eastAsia="Arial" w:hAnsi="Arial"/>
          <w:sz w:val="17"/>
          <w:szCs w:val="17"/>
          <w:color w:val="auto"/>
        </w:rPr>
        <w:t>The initial public offering price will be substantially higher than the net tangible book value per common share based on the total value of our tangible assets less our total liabilities immediately following this offering. Therefore, if you purchase common stock in this offering, you will</w:t>
      </w:r>
    </w:p>
    <w:p>
      <w:pPr>
        <w:ind w:left="120"/>
        <w:spacing w:after="0" w:line="232" w:lineRule="auto"/>
        <w:rPr>
          <w:sz w:val="20"/>
          <w:szCs w:val="20"/>
          <w:color w:val="auto"/>
        </w:rPr>
      </w:pPr>
      <w:r>
        <w:rPr>
          <w:rFonts w:ascii="Arial" w:cs="Arial" w:eastAsia="Arial" w:hAnsi="Arial"/>
          <w:sz w:val="17"/>
          <w:szCs w:val="17"/>
          <w:color w:val="auto"/>
        </w:rPr>
        <w:t>experience immediate and substantial dilution of approximately $ per share, representing the difference between our pro forma as adjusted net tangible book value per share after giving effect to this offering at an assumed initial public offering price of $ per share, the midpoint of the price range set forth on the cover page of this prospectus. As of 2020, we had outstanding stock options to purchase shares of our common stock, some of which have exercise prices below the assumed initial public offering price. In addition, following this offering, purchasers in this offering will have contributed approximately % of the total gross consideration paid by stockholders to us to purchase shares of our common stock, but will own only approximately % of the shares of common stock outstanding immediately after this</w:t>
      </w:r>
    </w:p>
    <w:p>
      <w:pPr>
        <w:ind w:left="120" w:right="160"/>
        <w:spacing w:after="0" w:line="238" w:lineRule="auto"/>
        <w:rPr>
          <w:sz w:val="20"/>
          <w:szCs w:val="20"/>
          <w:color w:val="auto"/>
        </w:rPr>
      </w:pPr>
      <w:r>
        <w:rPr>
          <w:rFonts w:ascii="Arial" w:cs="Arial" w:eastAsia="Arial" w:hAnsi="Arial"/>
          <w:sz w:val="17"/>
          <w:szCs w:val="17"/>
          <w:color w:val="auto"/>
        </w:rPr>
        <w:t>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76"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You should consider an investment in our common stock as risky and invest only if you can withstand a significant loss and wide fluctuations in the market value of your investment. You may be unable to sell your common stock at or above the initial public offering price due to fluctuations in the market price of our common stock arising from changes in our operating performance or prospects. In addition, the stock market has recently experienced significant volatility, particularly with respect to biotechnology and other life sciences company stocks. The volatility of biotechnology and other life sciences company stocks often does not relate to the operating performance of the companies represented by the stock. Some of the factors that may cause the market price of our common stock to fluctuate or decrease below the price paid in this offering include:</w:t>
      </w:r>
    </w:p>
    <w:p>
      <w:pPr>
        <w:spacing w:after="0" w:line="191" w:lineRule="exact"/>
        <w:rPr>
          <w:sz w:val="20"/>
          <w:szCs w:val="20"/>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results and timing of our preclinical studies and clinical trials and studies and trials of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failure or discontinuation of any of our development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issues in manufacturing our product candidates or any future approved products;</w:t>
      </w:r>
    </w:p>
    <w:p>
      <w:pPr>
        <w:spacing w:after="0" w:line="34"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regulatory developments or enforcement in the United States and foreign countries with respect to our product candidates or our competitors’ products;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competition from existing products or new products that may emerge;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and development relative to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patents or other proprietary rights;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introduction of new product candidates or technological innovations by us or our competitors;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announcements by us, our future strategic partners or our competitors of significant acquisitions, strategic partnerships, joint ventures or capital commitments;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or recommendations by securities analysts, if any cover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public concern over our product candidates or any future approved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litigation;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future sales of our common stock by us, our insiders or our other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expiration of market stand-off or lock-up agreements;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additions or departures of key personnel;</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 care payment systems in the United States or overseas;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failure of any of our product candidates, if approved, to achieve commercial success;</w:t>
      </w:r>
    </w:p>
    <w:p>
      <w:pPr>
        <w:spacing w:after="0" w:line="34" w:lineRule="exact"/>
        <w:rPr>
          <w:rFonts w:ascii="MS PGothic" w:cs="MS PGothic" w:eastAsia="MS PGothic" w:hAnsi="MS PGothic"/>
          <w:sz w:val="13"/>
          <w:szCs w:val="13"/>
          <w:color w:val="auto"/>
        </w:rPr>
      </w:pPr>
    </w:p>
    <w:p>
      <w:pPr>
        <w:ind w:left="980" w:right="80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economic and other external factors such as macroeconomic, disasters, crises or health matters, including the impact of the COVID-19 pandemic;</w:t>
      </w:r>
    </w:p>
    <w:p>
      <w:pPr>
        <w:spacing w:after="0" w:line="22"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period-to-period fluctuations in our financial condition and results of operations, including the timing of payment or receipt of any future milestone or other payments under commercialization or licensing agreements;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announcements or expectations of additional financing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overall fluctuations in U.S. equity markets, general market conditions and market conditions for biotechnology stocks;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other factors that may be unanticipated or out of our control.</w:t>
      </w:r>
    </w:p>
    <w:p>
      <w:pPr>
        <w:spacing w:after="0" w:line="156"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47"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5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49"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Furthermore, our operating results may fluctuate due to a variety of other factors, many of which are outside of our control and may be difficult to predict, including the following:</w:t>
      </w:r>
    </w:p>
    <w:p>
      <w:pPr>
        <w:spacing w:after="0" w:line="185" w:lineRule="exact"/>
        <w:rPr>
          <w:sz w:val="20"/>
          <w:szCs w:val="20"/>
          <w:color w:val="auto"/>
        </w:rPr>
      </w:pPr>
    </w:p>
    <w:p>
      <w:pPr>
        <w:ind w:left="980" w:right="18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our ability to enroll subjects in clinical trials and the timing of enrollment;</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expenditures that we will or may incur to acquire or develop additional product candidates and technologies or other assets;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timing and outcomes of clinical trials for ALX148, and any of our other product candidates, or competing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need to conduct unanticipated clinical trials or trials that are larger or more complex than anticipated;</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any delays in regulatory review or approval of ALX148 or any of our other product candidates;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level of demand for ALX148 and any of our other product candidates, if approved, which may fluctuate significantly and be difficult to predict;</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risk/benefit profile, cost and reimbursement policies with respect to our product candidates, if approved, and existing and potential future products that compete with ALX148 and any of our other product candidates;</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commercialize ALX148 and any of our other product candidates, if approved, inside and outside of the United States, either independently or working with third parties;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establish and maintain collaborations, licensing or other arrangements;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adequately support future growth;</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potential unforeseen business disruptions that increase our costs or expenses;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future accounting pronouncements or changes in our accounting policies;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COVID-19 pandemic;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changing and volatile global economic and political environment.</w:t>
      </w:r>
    </w:p>
    <w:p>
      <w:pPr>
        <w:spacing w:after="0" w:line="15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w:t>
      </w:r>
    </w:p>
    <w:p>
      <w:pPr>
        <w:ind w:left="120" w:right="140"/>
        <w:spacing w:after="0" w:line="232" w:lineRule="auto"/>
        <w:rPr>
          <w:sz w:val="20"/>
          <w:szCs w:val="20"/>
          <w:color w:val="auto"/>
        </w:rPr>
      </w:pPr>
      <w:r>
        <w:rPr>
          <w:rFonts w:ascii="Arial" w:cs="Arial" w:eastAsia="Arial" w:hAnsi="Arial"/>
          <w:sz w:val="17"/>
          <w:szCs w:val="17"/>
          <w:color w:val="auto"/>
        </w:rPr>
        <w:t>effect to the automatic conversion of all outstanding shares of our convertible preferred stock into shares of our common stock immediately prior to the completion of this offering, we will have shares of common stock outstanding based on shares of our common stock outstanding as of , 2020. Of these shares, the shares we are selling in this offering may be resold in the public market immediately, unless purchased by our affiliates. The remaining shares, or % of our outstanding shares after this offering, are</w:t>
      </w:r>
    </w:p>
    <w:p>
      <w:pPr>
        <w:ind w:left="120"/>
        <w:spacing w:after="0" w:line="234" w:lineRule="auto"/>
        <w:rPr>
          <w:sz w:val="20"/>
          <w:szCs w:val="20"/>
          <w:color w:val="auto"/>
        </w:rPr>
      </w:pPr>
      <w:r>
        <w:rPr>
          <w:rFonts w:ascii="Arial" w:cs="Arial" w:eastAsia="Arial" w:hAnsi="Arial"/>
          <w:sz w:val="17"/>
          <w:szCs w:val="17"/>
          <w:color w:val="auto"/>
        </w:rPr>
        <w:t>currently prohibited without the permission of the underwriters or otherwise restricted under securities laws, market standoff agreements entered into by our stockholders with us or lock-up agreements entered into by our directors, officers and stockholders with the underwriters. However, subject to applicable securities law restrictions and excluding shares of restricted stock that will remain unvested, these shares will be able to be sold in the public market beginning after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Securities Act. See the section titled “Shares Eligible for Future Sale” for additional information.</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Moreover, after this offering, holders of an aggregate of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titled “Underwriting.” If any of these additional shares are sold, or if it is perceived that they will be sold, in the public market, the market price of our common stock could decline.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Our executive officers, directors and the holders of substantially all of our capital stock and securities convertible into or exchangeable for our capital stock have entered into market stand-off agreements with us and lock-up agreements with the underwriters under which they have agreed, subject to specific exceptions described in the section titled “Underwriting,” not to sell, directly or indirectly, any shares of common stock without the permission of Jefferies LLC, Credit Suisse Securities (USA) LLC and Piper Sandler &amp; Co. for a period of 180 days following the date of this prospectus. We refer to such period as the lock-up period. When the lock-up period expires, we and our securityholders subject to</w:t>
      </w:r>
    </w:p>
    <w:p>
      <w:pPr>
        <w:ind w:left="120" w:right="60"/>
        <w:spacing w:after="0" w:line="232" w:lineRule="auto"/>
        <w:rPr>
          <w:sz w:val="20"/>
          <w:szCs w:val="20"/>
          <w:color w:val="auto"/>
        </w:rPr>
      </w:pPr>
      <w:r>
        <w:rPr>
          <w:rFonts w:ascii="Arial" w:cs="Arial" w:eastAsia="Arial" w:hAnsi="Arial"/>
          <w:sz w:val="17"/>
          <w:szCs w:val="17"/>
          <w:color w:val="auto"/>
        </w:rPr>
        <w:t>a lock-up agreement or market stand-off agreement will be able to sell our shares in the public market. In addition, the underwriters may, in their sole discretion, release all or some portion of the shares subject to lock-up agreements at any time and for any reason. See the description of the market stand-off agreement with us and the lock-up agreement with the underwriters in the section of this prospectus titled “Shares Eligible for Future Sale” for additional information. Sales of a substantial number of such shares upon expiration of the lock-up and</w:t>
      </w:r>
    </w:p>
    <w:p>
      <w:pPr>
        <w:ind w:left="120"/>
        <w:spacing w:after="0" w:line="243" w:lineRule="auto"/>
        <w:rPr>
          <w:sz w:val="20"/>
          <w:szCs w:val="20"/>
          <w:color w:val="auto"/>
        </w:rPr>
      </w:pPr>
      <w:r>
        <w:rPr>
          <w:rFonts w:ascii="Arial" w:cs="Arial" w:eastAsia="Arial" w:hAnsi="Arial"/>
          <w:sz w:val="17"/>
          <w:szCs w:val="17"/>
          <w:color w:val="auto"/>
        </w:rPr>
        <w:t>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24"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trading market for our common stock is expected to depend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incur significant increased costs and management resources as a result of operating as a public company.</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the securities laws.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5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9"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this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131"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Our management team will have broad discretion to use the net proceeds from this offering and its investment of these proceeds may not yield a favorable return.</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129"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25"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 approximately 61.6% of our voting stock and, upon the completion of this offering, that same group will beneficially own approximately % of our</w:t>
      </w:r>
    </w:p>
    <w:p>
      <w:pPr>
        <w:ind w:left="120" w:right="220"/>
        <w:spacing w:after="0" w:line="235" w:lineRule="auto"/>
        <w:rPr>
          <w:sz w:val="20"/>
          <w:szCs w:val="20"/>
          <w:color w:val="auto"/>
        </w:rPr>
      </w:pPr>
      <w:r>
        <w:rPr>
          <w:rFonts w:ascii="Arial" w:cs="Arial" w:eastAsia="Arial" w:hAnsi="Arial"/>
          <w:sz w:val="17"/>
          <w:szCs w:val="17"/>
          <w:color w:val="auto"/>
        </w:rPr>
        <w:t>outstanding voting stock (based on the number of shares of common stock outstanding as of , 2020,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completion of this offering. After this offering, this group of stockholders will have the ability to control us through this ownership position even if they do not purchase any additional shares in this offering. These stockholders may be able to determine all matters requiring stockholder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28"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We do not anticipate paying cash dividends and, accordingly, stockholders must rely on share appreciation for any return on their investment.</w:t>
      </w:r>
    </w:p>
    <w:p>
      <w:pPr>
        <w:spacing w:after="0" w:line="12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130"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34" w:lineRule="exact"/>
        <w:rPr>
          <w:sz w:val="20"/>
          <w:szCs w:val="20"/>
          <w:color w:val="auto"/>
        </w:rPr>
      </w:pPr>
    </w:p>
    <w:p>
      <w:pPr>
        <w:ind w:left="120" w:right="40"/>
        <w:spacing w:after="0" w:line="249"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that will become effective upon the completion of this offering might discourage, delay or prevent a change in control of our company or changes in our management and, therefore, depress the trading price of our common stock.</w:t>
      </w:r>
    </w:p>
    <w:p>
      <w:pPr>
        <w:spacing w:after="0" w:line="14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Provisions in our amended and restated certificate of incorporation and bylaws that will become effective upon the completion of this offering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90" w:lineRule="exact"/>
        <w:rPr>
          <w:sz w:val="20"/>
          <w:szCs w:val="20"/>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establish that our board of directors is divided into three classes, with each class serving staggered three-year terms;</w:t>
      </w:r>
    </w:p>
    <w:p>
      <w:pPr>
        <w:spacing w:after="0" w:line="34" w:lineRule="exact"/>
        <w:rPr>
          <w:rFonts w:ascii="MS PGothic" w:cs="MS PGothic" w:eastAsia="MS PGothic" w:hAnsi="MS PGothic"/>
          <w:sz w:val="13"/>
          <w:szCs w:val="13"/>
          <w:color w:val="auto"/>
        </w:rPr>
      </w:pPr>
    </w:p>
    <w:p>
      <w:pPr>
        <w:ind w:left="980" w:right="34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provide that our directors may only be removed for cause;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eliminate cumulative voting in the election of directors;</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issue shares of convertible preferred stock and determine the price and other terms of those shares, including preferences and voting rights, without stockholder approval;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provide our board of directors with the exclusive right to elect a director to fill a vacancy or newly created directorship;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permit stockholders to only take actions at a duly called annual or special meeting and not by written consent;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prohibit stockholders from calling a special meeting of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amend the bylaws; and</w:t>
      </w:r>
    </w:p>
    <w:p>
      <w:pPr>
        <w:spacing w:after="0" w:line="34"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require the affirmative vote of at least 66 2/3% or more of the outstanding shares of common stock to amend many of the provisions described above.</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27"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Our amended and restated bylaws that will become effective upon the completion of this offering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amended and restated bylaws that will become effective upon the completion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188"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derivative action or proceeding brought on behalf of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action asserting a claim of breach of a fiduciary duty;</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that is governed by the internal affairs doctrine.</w:t>
      </w:r>
    </w:p>
    <w:p>
      <w:pPr>
        <w:spacing w:after="0" w:line="156"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27"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not effective, we may not be able to report our financial condition or results of operations accurately or on a timely basis.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SOX. During our review and testing, we may identify deficiencies and be unable to remediate them before we must provide the required reports. 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in December 31, 2019, (i) and (ii) remained unremediated.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During the first quarter of 2020, we have undertaken specific remediation actions to address the control deficiencies in our financial reporting. We have established more robust processes related to the review of complex accounting transactions, preparation of account reconciliations and review of journal entries which are outlined elsewhere in this prospectus.</w:t>
      </w:r>
    </w:p>
    <w:p>
      <w:pPr>
        <w:spacing w:after="0" w:line="153"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While we have begun taking measures and plan to continue to take measures to design and implement an effective control environment, we cannot assure you that the measures we have taken to date, and are continuing to implement, will be sufficient to remediate or prevent future material weaknesses. 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9" w:lineRule="exact"/>
        <w:rPr>
          <w:sz w:val="20"/>
          <w:szCs w:val="20"/>
          <w:color w:val="auto"/>
        </w:rPr>
      </w:pPr>
    </w:p>
    <w:p>
      <w:pPr>
        <w:ind w:left="120" w:right="680"/>
        <w:spacing w:after="0" w:line="267"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w:t>
      </w:r>
    </w:p>
    <w:p>
      <w:pPr>
        <w:ind w:left="120"/>
        <w:spacing w:after="0" w:line="232" w:lineRule="auto"/>
        <w:rPr>
          <w:sz w:val="20"/>
          <w:szCs w:val="20"/>
          <w:color w:val="auto"/>
        </w:rPr>
      </w:pPr>
      <w:r>
        <w:rPr>
          <w:rFonts w:ascii="Arial" w:cs="Arial" w:eastAsia="Arial" w:hAnsi="Arial"/>
          <w:sz w:val="17"/>
          <w:szCs w:val="17"/>
          <w:color w:val="auto"/>
        </w:rPr>
        <w:t>controls and procedures, are designed to prevent fraud. Any failure to implement required new or improved controls, or difficulties encountered in</w:t>
      </w:r>
    </w:p>
    <w:p>
      <w:pPr>
        <w:ind w:left="120"/>
        <w:spacing w:after="0" w:line="232" w:lineRule="auto"/>
        <w:rPr>
          <w:sz w:val="20"/>
          <w:szCs w:val="20"/>
          <w:color w:val="auto"/>
        </w:rPr>
      </w:pPr>
      <w:r>
        <w:rPr>
          <w:rFonts w:ascii="Arial" w:cs="Arial" w:eastAsia="Arial" w:hAnsi="Arial"/>
          <w:sz w:val="17"/>
          <w:szCs w:val="17"/>
          <w:color w:val="auto"/>
        </w:rPr>
        <w:t>their implementation, could cause us to fail to meet our reporting obligations. In addition, any testing by us conducted in connection with</w:t>
      </w:r>
    </w:p>
    <w:p>
      <w:pPr>
        <w:ind w:left="120"/>
        <w:spacing w:after="0" w:line="232" w:lineRule="auto"/>
        <w:rPr>
          <w:sz w:val="20"/>
          <w:szCs w:val="20"/>
          <w:color w:val="auto"/>
        </w:rPr>
      </w:pPr>
      <w:r>
        <w:rPr>
          <w:rFonts w:ascii="Arial" w:cs="Arial" w:eastAsia="Arial" w:hAnsi="Arial"/>
          <w:sz w:val="17"/>
          <w:szCs w:val="17"/>
          <w:color w:val="auto"/>
        </w:rPr>
        <w:t>Section 404(a) of SOX or any subsequent testing by our independent registered public accounting firm in connection with Section 404(b) of SOX,</w:t>
      </w:r>
    </w:p>
    <w:p>
      <w:pPr>
        <w:ind w:left="120"/>
        <w:spacing w:after="0" w:line="232" w:lineRule="auto"/>
        <w:rPr>
          <w:sz w:val="20"/>
          <w:szCs w:val="20"/>
          <w:color w:val="auto"/>
        </w:rPr>
      </w:pPr>
      <w:r>
        <w:rPr>
          <w:rFonts w:ascii="Arial" w:cs="Arial" w:eastAsia="Arial" w:hAnsi="Arial"/>
          <w:sz w:val="17"/>
          <w:szCs w:val="17"/>
          <w:color w:val="auto"/>
        </w:rPr>
        <w:t>may reveal deficiencies in our internal controls over financial reporting that are deemed to be significant deficiencies or material weaknesses or</w:t>
      </w:r>
    </w:p>
    <w:p>
      <w:pPr>
        <w:ind w:left="120"/>
        <w:spacing w:after="0" w:line="232" w:lineRule="auto"/>
        <w:rPr>
          <w:sz w:val="20"/>
          <w:szCs w:val="20"/>
          <w:color w:val="auto"/>
        </w:rPr>
      </w:pPr>
      <w:r>
        <w:rPr>
          <w:rFonts w:ascii="Arial" w:cs="Arial" w:eastAsia="Arial" w:hAnsi="Arial"/>
          <w:sz w:val="17"/>
          <w:szCs w:val="17"/>
          <w:color w:val="auto"/>
        </w:rPr>
        <w:t>that may require prospective or retroactive changes to our consolidated financial statements or identify other areas for further attention or</w:t>
      </w:r>
    </w:p>
    <w:p>
      <w:pPr>
        <w:ind w:left="120"/>
        <w:spacing w:after="0" w:line="232" w:lineRule="auto"/>
        <w:rPr>
          <w:sz w:val="20"/>
          <w:szCs w:val="20"/>
          <w:color w:val="auto"/>
        </w:rPr>
      </w:pPr>
      <w:r>
        <w:rPr>
          <w:rFonts w:ascii="Arial" w:cs="Arial" w:eastAsia="Arial" w:hAnsi="Arial"/>
          <w:sz w:val="17"/>
          <w:szCs w:val="17"/>
          <w:color w:val="auto"/>
        </w:rPr>
        <w:t>improvement. As discussed above, we have identified material weaknesses in the past which we are in the process of remedying. However, our</w:t>
      </w:r>
    </w:p>
    <w:p>
      <w:pPr>
        <w:ind w:left="120"/>
        <w:spacing w:after="0" w:line="232" w:lineRule="auto"/>
        <w:rPr>
          <w:sz w:val="20"/>
          <w:szCs w:val="20"/>
          <w:color w:val="auto"/>
        </w:rPr>
      </w:pPr>
      <w:r>
        <w:rPr>
          <w:rFonts w:ascii="Arial" w:cs="Arial" w:eastAsia="Arial" w:hAnsi="Arial"/>
          <w:sz w:val="17"/>
          <w:szCs w:val="17"/>
          <w:color w:val="auto"/>
        </w:rPr>
        <w:t>efforts to remediate previous material weaknesses may not be effective or prevent any future deficiency in our internal control over financial</w:t>
      </w:r>
    </w:p>
    <w:p>
      <w:pPr>
        <w:ind w:left="120"/>
        <w:spacing w:after="0" w:line="232" w:lineRule="auto"/>
        <w:rPr>
          <w:sz w:val="20"/>
          <w:szCs w:val="20"/>
          <w:color w:val="auto"/>
        </w:rPr>
      </w:pPr>
      <w:r>
        <w:rPr>
          <w:rFonts w:ascii="Arial" w:cs="Arial" w:eastAsia="Arial" w:hAnsi="Arial"/>
          <w:sz w:val="17"/>
          <w:szCs w:val="17"/>
          <w:color w:val="auto"/>
        </w:rPr>
        <w:t>reporting. Inferior internal controls could also cause investors to lose confidence in our reported financial information, which could have a negative</w:t>
      </w:r>
    </w:p>
    <w:p>
      <w:pPr>
        <w:ind w:left="120"/>
        <w:spacing w:after="0"/>
        <w:rPr>
          <w:sz w:val="20"/>
          <w:szCs w:val="20"/>
          <w:color w:val="auto"/>
        </w:rPr>
      </w:pPr>
      <w:r>
        <w:rPr>
          <w:rFonts w:ascii="Arial" w:cs="Arial" w:eastAsia="Arial" w:hAnsi="Arial"/>
          <w:sz w:val="17"/>
          <w:szCs w:val="17"/>
          <w:color w:val="auto"/>
        </w:rPr>
        <w:t>effect on the trading price of our common stock.</w:t>
      </w:r>
    </w:p>
    <w:p>
      <w:pPr>
        <w:spacing w:after="0" w:line="15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adversely impacted. Any failure to maintain effective internal control over financial reporting could have a material adverse effect on our business, financial condition and results of operations and the trading price of our common stock.</w:t>
      </w:r>
    </w:p>
    <w:p>
      <w:pPr>
        <w:spacing w:after="0" w:line="144"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50"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76"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0" w:lineRule="exact"/>
        <w:rPr>
          <w:sz w:val="20"/>
          <w:szCs w:val="20"/>
          <w:color w:val="auto"/>
        </w:rPr>
      </w:pPr>
    </w:p>
    <w:p>
      <w:pPr>
        <w:jc w:val="both"/>
        <w:ind w:left="120" w:right="220"/>
        <w:spacing w:after="0" w:line="236" w:lineRule="auto"/>
        <w:rPr>
          <w:sz w:val="20"/>
          <w:szCs w:val="20"/>
          <w:color w:val="auto"/>
        </w:rPr>
      </w:pPr>
      <w:r>
        <w:rPr>
          <w:rFonts w:ascii="Arial" w:cs="Arial" w:eastAsia="Arial" w:hAnsi="Arial"/>
          <w:sz w:val="17"/>
          <w:szCs w:val="17"/>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9" w:lineRule="exact"/>
        <w:rPr>
          <w:sz w:val="20"/>
          <w:szCs w:val="20"/>
          <w:color w:val="auto"/>
        </w:rPr>
      </w:pPr>
    </w:p>
    <w:p>
      <w:pPr>
        <w:ind w:left="120" w:right="380"/>
        <w:spacing w:after="0" w:line="267" w:lineRule="auto"/>
        <w:rPr>
          <w:sz w:val="20"/>
          <w:szCs w:val="20"/>
          <w:color w:val="auto"/>
        </w:rPr>
      </w:pPr>
      <w:r>
        <w:rPr>
          <w:rFonts w:ascii="Arial" w:cs="Arial" w:eastAsia="Arial" w:hAnsi="Arial"/>
          <w:sz w:val="17"/>
          <w:szCs w:val="17"/>
          <w:b w:val="1"/>
          <w:bCs w:val="1"/>
          <w:i w:val="1"/>
          <w:iCs w:val="1"/>
          <w:color w:val="auto"/>
        </w:rPr>
        <w:t>Participation in this offering by our existing stockholders and/or their affiliated entities may reduce the public float for our common stock.</w:t>
      </w:r>
    </w:p>
    <w:p>
      <w:pPr>
        <w:spacing w:after="0" w:line="125"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30"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125"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7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88" w:lineRule="exact"/>
        <w:rPr>
          <w:sz w:val="20"/>
          <w:szCs w:val="20"/>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plans relating to commercializing our product candidates, if approved, including the geographic areas of focus and our ability to grow a sales team;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size of the market opportunity for our product candidates in each of the diseases we target;</w:t>
      </w:r>
    </w:p>
    <w:p>
      <w:pPr>
        <w:spacing w:after="0" w:line="34" w:lineRule="exact"/>
        <w:rPr>
          <w:rFonts w:ascii="MS PGothic" w:cs="MS PGothic" w:eastAsia="MS PGothic" w:hAnsi="MS PGothic"/>
          <w:sz w:val="13"/>
          <w:szCs w:val="13"/>
          <w:color w:val="auto"/>
        </w:rPr>
      </w:pPr>
    </w:p>
    <w:p>
      <w:pPr>
        <w:jc w:val="both"/>
        <w:ind w:left="980" w:right="260" w:hanging="432"/>
        <w:spacing w:after="0" w:line="238"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beneficial characteristics, safety, efficacy and therapeutic effects of our product candidates;</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ability to advance product candidates into and successfully complete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ability of our clinical trials to demonstrate the safety and efficacy of our product candidates, and other positive results;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plans relating to the further development and manufacturing of our product candidates, including additional indications that we may pursue;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existing regulations and regulatory developments in the United States and other jurisdictions;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potential and ability to successfully manufacture and supply our product candidates for clinical trials and for commercial use, if approved;</w:t>
      </w:r>
    </w:p>
    <w:p>
      <w:pPr>
        <w:spacing w:after="0" w:line="22"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continued reliance on third parties to conduct additional clinical trials of our product candidates, and for the manufacture of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including our technology platform and product candidates;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impact of the COVID-19 pandemic on our business;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anticipated use of our existing cash and cash equivalents and the proceeds from this offering.</w:t>
      </w:r>
    </w:p>
    <w:p>
      <w:pPr>
        <w:spacing w:after="0" w:line="156"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020"/>
          </w:cols>
          <w:pgMar w:left="320" w:top="459" w:right="5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that the net proceeds from our issuance and sale of shares of our common stock in this offering will be approximately $</w:t>
      </w:r>
    </w:p>
    <w:p>
      <w:pPr>
        <w:ind w:left="120"/>
        <w:spacing w:after="0" w:line="232" w:lineRule="auto"/>
        <w:tabs>
          <w:tab w:leader="none" w:pos="2320" w:val="left"/>
        </w:tabs>
        <w:rPr>
          <w:sz w:val="20"/>
          <w:szCs w:val="20"/>
          <w:color w:val="auto"/>
        </w:rPr>
      </w:pPr>
      <w:r>
        <w:rPr>
          <w:rFonts w:ascii="Arial" w:cs="Arial" w:eastAsia="Arial" w:hAnsi="Arial"/>
          <w:sz w:val="17"/>
          <w:szCs w:val="17"/>
          <w:color w:val="auto"/>
        </w:rPr>
        <w:t>million, or approximately $</w:t>
        <w:tab/>
        <w:t>million if the underwriters exercise their option to purchase additional shares in full, based on an initial public offering</w:t>
      </w:r>
    </w:p>
    <w:p>
      <w:pPr>
        <w:ind w:left="120" w:right="400"/>
        <w:spacing w:after="0" w:line="243" w:lineRule="auto"/>
        <w:rPr>
          <w:sz w:val="20"/>
          <w:szCs w:val="20"/>
          <w:color w:val="auto"/>
        </w:rPr>
      </w:pPr>
      <w:r>
        <w:rPr>
          <w:rFonts w:ascii="Arial" w:cs="Arial" w:eastAsia="Arial" w:hAnsi="Arial"/>
          <w:sz w:val="17"/>
          <w:szCs w:val="17"/>
          <w:color w:val="auto"/>
        </w:rPr>
        <w:t>price of $ per share, which is the midpoint of the price range set forth on the cover page of this prospectus, and after deducting the underwriting discounts and commissions and estimated offering expenses payable by us.</w:t>
      </w:r>
    </w:p>
    <w:p>
      <w:pPr>
        <w:spacing w:after="0" w:line="144"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as applicable, the aggregate net proceeds to us from this offering by approximately $ million, assuming the number of shares offered by us, as set</w:t>
      </w:r>
    </w:p>
    <w:p>
      <w:pPr>
        <w:ind w:left="120" w:right="100"/>
        <w:spacing w:after="0" w:line="232" w:lineRule="auto"/>
        <w:rPr>
          <w:sz w:val="20"/>
          <w:szCs w:val="20"/>
          <w:color w:val="auto"/>
        </w:rPr>
      </w:pPr>
      <w:r>
        <w:rPr>
          <w:rFonts w:ascii="Arial" w:cs="Arial" w:eastAsia="Arial" w:hAnsi="Arial"/>
          <w:sz w:val="17"/>
          <w:szCs w:val="17"/>
          <w:color w:val="auto"/>
        </w:rPr>
        <w:t>forth on the cover page of this prospectus, remains the same and after deducting the underwriting discounts and commissions and estimated offering expenses payable by us. Similarly, each increase or decrease of 1.0 million shares in the number of shares offered by us would increase</w:t>
      </w:r>
    </w:p>
    <w:p>
      <w:pPr>
        <w:ind w:left="120"/>
        <w:spacing w:after="0" w:line="236" w:lineRule="auto"/>
        <w:rPr>
          <w:sz w:val="20"/>
          <w:szCs w:val="20"/>
          <w:color w:val="auto"/>
        </w:rPr>
      </w:pPr>
      <w:r>
        <w:rPr>
          <w:rFonts w:ascii="Arial" w:cs="Arial" w:eastAsia="Arial" w:hAnsi="Arial"/>
          <w:sz w:val="17"/>
          <w:szCs w:val="17"/>
          <w:color w:val="auto"/>
        </w:rPr>
        <w:t>or decrease, as applicable, the net proceeds to us from this offering by approximately $ million, assuming that the assumed initial public offering price remains the same, and after deducting the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change the time at which we will need to seek additional capital.</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facilitate our future access to the public capital markets.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together with our existing cash and cash equivalents, from the offering as follows:</w:t>
      </w:r>
    </w:p>
    <w:p>
      <w:pPr>
        <w:spacing w:after="0" w:line="177"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completion of our</w:t>
            </w:r>
          </w:p>
        </w:tc>
      </w:tr>
      <w:tr>
        <w:trPr>
          <w:trHeight w:val="205"/>
        </w:trPr>
        <w:tc>
          <w:tcPr>
            <w:tcW w:w="260" w:type="dxa"/>
            <w:vAlign w:val="bottom"/>
          </w:tcPr>
          <w:p>
            <w:pPr>
              <w:spacing w:after="0"/>
              <w:rPr>
                <w:sz w:val="17"/>
                <w:szCs w:val="17"/>
                <w:color w:val="auto"/>
              </w:rPr>
            </w:pPr>
          </w:p>
        </w:tc>
        <w:tc>
          <w:tcPr>
            <w:tcW w:w="10300" w:type="dxa"/>
            <w:vAlign w:val="bottom"/>
            <w:gridSpan w:val="3"/>
          </w:tcPr>
          <w:p>
            <w:pPr>
              <w:ind w:left="180"/>
              <w:spacing w:after="0"/>
              <w:rPr>
                <w:sz w:val="20"/>
                <w:szCs w:val="20"/>
                <w:color w:val="auto"/>
              </w:rPr>
            </w:pPr>
            <w:r>
              <w:rPr>
                <w:rFonts w:ascii="Arial" w:cs="Arial" w:eastAsia="Arial" w:hAnsi="Arial"/>
                <w:sz w:val="17"/>
                <w:szCs w:val="17"/>
                <w:color w:val="auto"/>
              </w:rPr>
              <w:t>existing Phase 1b clinical trials in HNSCC and gastric/GEJ cancer;</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initiation and</w:t>
            </w:r>
          </w:p>
        </w:tc>
      </w:tr>
      <w:tr>
        <w:trPr>
          <w:trHeight w:val="205"/>
        </w:trPr>
        <w:tc>
          <w:tcPr>
            <w:tcW w:w="260" w:type="dxa"/>
            <w:vAlign w:val="bottom"/>
          </w:tcPr>
          <w:p>
            <w:pPr>
              <w:spacing w:after="0"/>
              <w:rPr>
                <w:sz w:val="17"/>
                <w:szCs w:val="17"/>
                <w:color w:val="auto"/>
              </w:rPr>
            </w:pPr>
          </w:p>
        </w:tc>
        <w:tc>
          <w:tcPr>
            <w:tcW w:w="10300" w:type="dxa"/>
            <w:vAlign w:val="bottom"/>
            <w:gridSpan w:val="3"/>
          </w:tcPr>
          <w:p>
            <w:pPr>
              <w:ind w:left="180"/>
              <w:spacing w:after="0"/>
              <w:rPr>
                <w:sz w:val="20"/>
                <w:szCs w:val="20"/>
                <w:color w:val="auto"/>
              </w:rPr>
            </w:pPr>
            <w:r>
              <w:rPr>
                <w:rFonts w:ascii="Arial" w:cs="Arial" w:eastAsia="Arial" w:hAnsi="Arial"/>
                <w:sz w:val="17"/>
                <w:szCs w:val="17"/>
                <w:color w:val="auto"/>
              </w:rPr>
              <w:t>completion of our Phase 1b/2 combination clinical trial in MDS;</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initiation and</w:t>
            </w:r>
          </w:p>
        </w:tc>
      </w:tr>
      <w:tr>
        <w:trPr>
          <w:trHeight w:val="205"/>
        </w:trPr>
        <w:tc>
          <w:tcPr>
            <w:tcW w:w="260" w:type="dxa"/>
            <w:vAlign w:val="bottom"/>
          </w:tcPr>
          <w:p>
            <w:pPr>
              <w:spacing w:after="0"/>
              <w:rPr>
                <w:sz w:val="17"/>
                <w:szCs w:val="17"/>
                <w:color w:val="auto"/>
              </w:rPr>
            </w:pPr>
          </w:p>
        </w:tc>
        <w:tc>
          <w:tcPr>
            <w:tcW w:w="10300" w:type="dxa"/>
            <w:vAlign w:val="bottom"/>
            <w:gridSpan w:val="3"/>
          </w:tcPr>
          <w:p>
            <w:pPr>
              <w:ind w:left="180"/>
              <w:spacing w:after="0"/>
              <w:rPr>
                <w:sz w:val="20"/>
                <w:szCs w:val="20"/>
                <w:color w:val="auto"/>
              </w:rPr>
            </w:pPr>
            <w:r>
              <w:rPr>
                <w:rFonts w:ascii="Arial" w:cs="Arial" w:eastAsia="Arial" w:hAnsi="Arial"/>
                <w:sz w:val="17"/>
                <w:szCs w:val="17"/>
                <w:color w:val="auto"/>
              </w:rPr>
              <w:t>completion of our Phase 1b/2 combination clinical trial in AML;</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w w:val="99"/>
              </w:rPr>
              <w:t>million for manufacturing activities related to chemistry, manufacturing and controls, or</w:t>
            </w:r>
          </w:p>
        </w:tc>
      </w:tr>
      <w:tr>
        <w:trPr>
          <w:trHeight w:val="205"/>
        </w:trPr>
        <w:tc>
          <w:tcPr>
            <w:tcW w:w="260" w:type="dxa"/>
            <w:vAlign w:val="bottom"/>
          </w:tcPr>
          <w:p>
            <w:pPr>
              <w:spacing w:after="0"/>
              <w:rPr>
                <w:sz w:val="17"/>
                <w:szCs w:val="17"/>
                <w:color w:val="auto"/>
              </w:rPr>
            </w:pPr>
          </w:p>
        </w:tc>
        <w:tc>
          <w:tcPr>
            <w:tcW w:w="1780" w:type="dxa"/>
            <w:vAlign w:val="bottom"/>
          </w:tcPr>
          <w:p>
            <w:pPr>
              <w:ind w:left="180"/>
              <w:spacing w:after="0"/>
              <w:rPr>
                <w:sz w:val="20"/>
                <w:szCs w:val="20"/>
                <w:color w:val="auto"/>
              </w:rPr>
            </w:pPr>
            <w:r>
              <w:rPr>
                <w:rFonts w:ascii="Arial" w:cs="Arial" w:eastAsia="Arial" w:hAnsi="Arial"/>
                <w:sz w:val="17"/>
                <w:szCs w:val="17"/>
                <w:color w:val="auto"/>
              </w:rPr>
              <w:t>CMC, activities;</w:t>
            </w:r>
          </w:p>
        </w:tc>
        <w:tc>
          <w:tcPr>
            <w:tcW w:w="164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initiation and</w:t>
            </w:r>
          </w:p>
        </w:tc>
      </w:tr>
      <w:tr>
        <w:trPr>
          <w:trHeight w:val="189"/>
        </w:trPr>
        <w:tc>
          <w:tcPr>
            <w:tcW w:w="260" w:type="dxa"/>
            <w:vAlign w:val="bottom"/>
          </w:tcPr>
          <w:p>
            <w:pPr>
              <w:spacing w:after="0"/>
              <w:rPr>
                <w:sz w:val="16"/>
                <w:szCs w:val="16"/>
                <w:color w:val="auto"/>
              </w:rPr>
            </w:pPr>
          </w:p>
        </w:tc>
        <w:tc>
          <w:tcPr>
            <w:tcW w:w="1030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completion of our Phase 2 combination clinical trials in HNSCC and gastric/GEJ cancer or alternative Phase 2 indications if there are</w:t>
            </w:r>
          </w:p>
        </w:tc>
      </w:tr>
      <w:tr>
        <w:trPr>
          <w:trHeight w:val="205"/>
        </w:trPr>
        <w:tc>
          <w:tcPr>
            <w:tcW w:w="260" w:type="dxa"/>
            <w:vAlign w:val="bottom"/>
          </w:tcPr>
          <w:p>
            <w:pPr>
              <w:spacing w:after="0"/>
              <w:rPr>
                <w:sz w:val="17"/>
                <w:szCs w:val="17"/>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color w:val="auto"/>
              </w:rPr>
              <w:t>compelling clinical data; and</w:t>
            </w:r>
          </w:p>
        </w:tc>
        <w:tc>
          <w:tcPr>
            <w:tcW w:w="6880" w:type="dxa"/>
            <w:vAlign w:val="bottom"/>
          </w:tcPr>
          <w:p>
            <w:pPr>
              <w:spacing w:after="0"/>
              <w:rPr>
                <w:sz w:val="17"/>
                <w:szCs w:val="17"/>
                <w:color w:val="auto"/>
              </w:rPr>
            </w:pPr>
          </w:p>
        </w:tc>
      </w:tr>
    </w:tbl>
    <w:p>
      <w:pPr>
        <w:spacing w:after="0" w:line="25" w:lineRule="exact"/>
        <w:rPr>
          <w:sz w:val="20"/>
          <w:szCs w:val="20"/>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remainder for working capital and other general corporate purposes.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48" w:lineRule="exact"/>
        <w:rPr>
          <w:sz w:val="20"/>
          <w:szCs w:val="20"/>
          <w:color w:val="auto"/>
        </w:rPr>
      </w:pPr>
    </w:p>
    <w:p>
      <w:pPr>
        <w:jc w:val="both"/>
        <w:ind w:left="120" w:right="20"/>
        <w:spacing w:after="0" w:line="232" w:lineRule="auto"/>
        <w:rPr>
          <w:sz w:val="20"/>
          <w:szCs w:val="20"/>
          <w:color w:val="auto"/>
        </w:rPr>
      </w:pPr>
      <w:r>
        <w:rPr>
          <w:rFonts w:ascii="Arial" w:cs="Arial" w:eastAsia="Arial" w:hAnsi="Arial"/>
          <w:sz w:val="17"/>
          <w:szCs w:val="17"/>
          <w:color w:val="auto"/>
        </w:rPr>
        <w:t>The net proceeds from this offering, together with our existing cash and cash equivalents, will not be sufficient for us to fund our clinical programs, and we will need to raise additional capital to achieve our business objectives. Based on current business plans, we believe that the net proceeds from this offering, together with our existing cash and cash equivalents, will be sufficient to fund our planned operations for at least the next</w:t>
      </w:r>
    </w:p>
    <w:p>
      <w:pPr>
        <w:ind w:left="920"/>
        <w:spacing w:after="0"/>
        <w:rPr>
          <w:sz w:val="20"/>
          <w:szCs w:val="20"/>
          <w:color w:val="auto"/>
        </w:rPr>
      </w:pPr>
      <w:r>
        <w:rPr>
          <w:rFonts w:ascii="Arial" w:cs="Arial" w:eastAsia="Arial" w:hAnsi="Arial"/>
          <w:sz w:val="17"/>
          <w:szCs w:val="17"/>
          <w:color w:val="auto"/>
        </w:rPr>
        <w:t>months.</w:t>
      </w:r>
    </w:p>
    <w:p>
      <w:pPr>
        <w:spacing w:after="0" w:line="15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47"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Pending their uses, we plan to invest the net proceeds of this offering in short-term, interest-bearing, investment-grade instruments, certificates of deposit or direct or guaranteed obligations of the U.S. government.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In addition, the terms of our Loan Agreement place certain limitations on the amount of cash dividends we can pay.</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900"/>
          </w:cols>
          <w:pgMar w:left="320" w:top="459" w:right="6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our cash and cash equivalents and our capitalization as of March 31, 2020:</w:t>
      </w:r>
    </w:p>
    <w:p>
      <w:pPr>
        <w:spacing w:after="0" w:line="196" w:lineRule="exact"/>
        <w:rPr>
          <w:sz w:val="20"/>
          <w:szCs w:val="20"/>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on an actual basis;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on a pro forma basis to give effect to:</w:t>
      </w:r>
    </w:p>
    <w:p>
      <w:pPr>
        <w:spacing w:after="0" w:line="34" w:lineRule="exact"/>
        <w:rPr>
          <w:rFonts w:ascii="MS PGothic" w:cs="MS PGothic" w:eastAsia="MS PGothic" w:hAnsi="MS PGothic"/>
          <w:sz w:val="13"/>
          <w:szCs w:val="13"/>
          <w:color w:val="auto"/>
        </w:rPr>
      </w:pPr>
    </w:p>
    <w:p>
      <w:pPr>
        <w:ind w:left="1420" w:right="60" w:hanging="427"/>
        <w:spacing w:after="0" w:line="243" w:lineRule="auto"/>
        <w:tabs>
          <w:tab w:leader="none" w:pos="1420" w:val="left"/>
        </w:tabs>
        <w:numPr>
          <w:ilvl w:val="1"/>
          <w:numId w:val="45"/>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of our outstanding shares of convertible preferred stock into an aggregate of 154,917,050 shares of common stock upon the completion of this offering as if such conversion had occurred on March 31, 2020;</w:t>
      </w:r>
    </w:p>
    <w:p>
      <w:pPr>
        <w:spacing w:after="0" w:line="22" w:lineRule="exact"/>
        <w:rPr>
          <w:rFonts w:ascii="MS PGothic" w:cs="MS PGothic" w:eastAsia="MS PGothic" w:hAnsi="MS PGothic"/>
          <w:sz w:val="13"/>
          <w:szCs w:val="13"/>
          <w:color w:val="auto"/>
        </w:rPr>
      </w:pPr>
    </w:p>
    <w:p>
      <w:pPr>
        <w:ind w:left="1420" w:right="140" w:hanging="427"/>
        <w:spacing w:after="0" w:line="236" w:lineRule="auto"/>
        <w:tabs>
          <w:tab w:leader="none" w:pos="1420" w:val="left"/>
        </w:tabs>
        <w:numPr>
          <w:ilvl w:val="1"/>
          <w:numId w:val="45"/>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403,348 shares of our convertible preferred stock that were outstanding as of March 31, 2020 that will be converted into warrants to purchase an aggregate of 403,348 shares of our common stock, with an exercise price of $1.4432 per share and the reclassification of our convertible preferred stock warrant liability to additional paid-in capital immediately prior to the completion of this offering;</w:t>
      </w:r>
    </w:p>
    <w:p>
      <w:pPr>
        <w:spacing w:after="0" w:line="27" w:lineRule="exact"/>
        <w:rPr>
          <w:rFonts w:ascii="MS PGothic" w:cs="MS PGothic" w:eastAsia="MS PGothic" w:hAnsi="MS PGothic"/>
          <w:sz w:val="13"/>
          <w:szCs w:val="13"/>
          <w:color w:val="auto"/>
        </w:rPr>
      </w:pPr>
    </w:p>
    <w:p>
      <w:pPr>
        <w:ind w:left="1420" w:right="360" w:hanging="427"/>
        <w:spacing w:after="0" w:line="243" w:lineRule="auto"/>
        <w:tabs>
          <w:tab w:leader="none" w:pos="1420" w:val="left"/>
        </w:tabs>
        <w:numPr>
          <w:ilvl w:val="1"/>
          <w:numId w:val="45"/>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which will occur immediately prior to the completion of this offering;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on a pro forma as adjusted basis, to give effect to:</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45"/>
        </w:numPr>
        <w:rPr>
          <w:rFonts w:ascii="MS PGothic" w:cs="MS PGothic" w:eastAsia="MS PGothic" w:hAnsi="MS PGothic"/>
          <w:sz w:val="13"/>
          <w:szCs w:val="13"/>
          <w:color w:val="auto"/>
        </w:rPr>
      </w:pPr>
      <w:r>
        <w:rPr>
          <w:rFonts w:ascii="Arial" w:cs="Arial" w:eastAsia="Arial" w:hAnsi="Arial"/>
          <w:sz w:val="17"/>
          <w:szCs w:val="17"/>
          <w:color w:val="auto"/>
        </w:rPr>
        <w:t>the pro forma adjustments set forth above; and</w:t>
      </w:r>
    </w:p>
    <w:p>
      <w:pPr>
        <w:sectPr>
          <w:pgSz w:w="11900" w:h="16838" w:orient="portrait"/>
          <w:cols w:equalWidth="0" w:num="1">
            <w:col w:w="11140"/>
          </w:cols>
          <w:pgMar w:left="320" w:top="459" w:right="439" w:bottom="1440" w:gutter="0" w:footer="0" w:header="0"/>
        </w:sectPr>
      </w:pPr>
    </w:p>
    <w:p>
      <w:pPr>
        <w:spacing w:after="0" w:line="15" w:lineRule="exact"/>
        <w:rPr>
          <w:sz w:val="20"/>
          <w:szCs w:val="20"/>
          <w:color w:val="auto"/>
        </w:rPr>
      </w:pPr>
    </w:p>
    <w:p>
      <w:pPr>
        <w:ind w:left="10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the sale and issuance of shares of our common stock by us in this offering, based upon the assumed initial public offering price of $ per share, which is the midpoint of the price range set forth on the cover page of this prospectus, after deducting underwriting discounts and commissions and estimated offering expenses payable by us.</w:t>
      </w:r>
    </w:p>
    <w:p>
      <w:pPr>
        <w:spacing w:after="0" w:line="147" w:lineRule="exact"/>
        <w:rPr>
          <w:sz w:val="20"/>
          <w:szCs w:val="20"/>
          <w:color w:val="auto"/>
        </w:rPr>
      </w:pPr>
    </w:p>
    <w:p>
      <w:pPr>
        <w:sectPr>
          <w:pgSz w:w="11900" w:h="16838" w:orient="portrait"/>
          <w:cols w:equalWidth="0" w:num="2">
            <w:col w:w="1080" w:space="340"/>
            <w:col w:w="9720"/>
          </w:cols>
          <w:pgMar w:left="320" w:top="459" w:right="439" w:bottom="1440" w:gutter="0" w:footer="0" w:header="0"/>
          <w:type w:val="continuous"/>
        </w:sectPr>
      </w:pPr>
    </w:p>
    <w:p>
      <w:pPr>
        <w:ind w:left="120" w:right="120"/>
        <w:spacing w:after="0" w:line="243" w:lineRule="auto"/>
        <w:rPr>
          <w:sz w:val="20"/>
          <w:szCs w:val="20"/>
          <w:color w:val="auto"/>
        </w:rPr>
      </w:pPr>
      <w:r>
        <w:rPr>
          <w:rFonts w:ascii="Arial" w:cs="Arial" w:eastAsia="Arial" w:hAnsi="Arial"/>
          <w:sz w:val="17"/>
          <w:szCs w:val="17"/>
          <w:color w:val="auto"/>
        </w:rPr>
        <w:t>The pro forma as adjusted information set forth in the table below is illustrative only and will be adjusted based on the actual initial public offering price and other terms of this offering determined at pricing.</w:t>
      </w:r>
    </w:p>
    <w:p>
      <w:pPr>
        <w:spacing w:after="0" w:line="14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You should read this information in conjunction with our consolidated financial statements and the related notes and the sections titled “Selected Consolidated Financial Data” and “Management’s Discussion and Analysis of Financial Condition and Results of Operations” that are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157480</wp:posOffset>
            </wp:positionV>
            <wp:extent cx="69951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left="20"/>
              <w:spacing w:after="0"/>
              <w:rPr>
                <w:sz w:val="20"/>
                <w:szCs w:val="20"/>
                <w:color w:val="auto"/>
              </w:rPr>
            </w:pPr>
            <w:r>
              <w:rPr>
                <w:rFonts w:ascii="Arial" w:cs="Arial" w:eastAsia="Arial" w:hAnsi="Arial"/>
                <w:sz w:val="14"/>
                <w:szCs w:val="14"/>
                <w:b w:val="1"/>
                <w:bCs w:val="1"/>
                <w:color w:val="auto"/>
              </w:rPr>
              <w:t>AS OF MARCH 31, 2020</w:t>
            </w: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9"/>
        </w:trPr>
        <w:tc>
          <w:tcPr>
            <w:tcW w:w="4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5"/>
                <w:szCs w:val="15"/>
                <w:color w:val="auto"/>
              </w:rPr>
            </w:pPr>
          </w:p>
        </w:tc>
        <w:tc>
          <w:tcPr>
            <w:tcW w:w="100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ind w:left="580"/>
              <w:spacing w:after="0" w:line="143" w:lineRule="exact"/>
              <w:rPr>
                <w:sz w:val="20"/>
                <w:szCs w:val="20"/>
                <w:color w:val="auto"/>
              </w:rPr>
            </w:pPr>
            <w:r>
              <w:rPr>
                <w:rFonts w:ascii="Arial" w:cs="Arial" w:eastAsia="Arial" w:hAnsi="Arial"/>
                <w:sz w:val="14"/>
                <w:szCs w:val="14"/>
                <w:b w:val="1"/>
                <w:bCs w:val="1"/>
                <w:color w:val="auto"/>
              </w:rPr>
              <w:t>(unaudited)</w:t>
            </w: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8"/>
          </w:tcPr>
          <w:p>
            <w:pPr>
              <w:jc w:val="center"/>
              <w:ind w:left="416"/>
              <w:spacing w:after="0"/>
              <w:rPr>
                <w:sz w:val="20"/>
                <w:szCs w:val="20"/>
                <w:color w:val="auto"/>
              </w:rPr>
            </w:pPr>
            <w:r>
              <w:rPr>
                <w:rFonts w:ascii="Arial" w:cs="Arial" w:eastAsia="Arial" w:hAnsi="Arial"/>
                <w:sz w:val="14"/>
                <w:szCs w:val="14"/>
                <w:b w:val="1"/>
                <w:bCs w:val="1"/>
                <w:color w:val="auto"/>
              </w:rPr>
              <w:t>(in thousands, except share and</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4"/>
          </w:tcPr>
          <w:p>
            <w:pPr>
              <w:jc w:val="center"/>
              <w:ind w:left="20"/>
              <w:spacing w:after="0"/>
              <w:rPr>
                <w:sz w:val="20"/>
                <w:szCs w:val="20"/>
                <w:color w:val="auto"/>
              </w:rPr>
            </w:pPr>
            <w:r>
              <w:rPr>
                <w:rFonts w:ascii="Arial" w:cs="Arial" w:eastAsia="Arial" w:hAnsi="Arial"/>
                <w:sz w:val="14"/>
                <w:szCs w:val="14"/>
                <w:b w:val="1"/>
                <w:bCs w:val="1"/>
                <w:color w:val="auto"/>
              </w:rPr>
              <w:t>per share amounts)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1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32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97"/>
              </w:rPr>
              <w:t>105,035</w:t>
            </w:r>
          </w:p>
        </w:tc>
        <w:tc>
          <w:tcPr>
            <w:tcW w:w="1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105,035</w:t>
            </w:r>
          </w:p>
        </w:tc>
        <w:tc>
          <w:tcPr>
            <w:tcW w:w="3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3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7"/>
                <w:szCs w:val="17"/>
                <w:color w:val="auto"/>
              </w:rPr>
              <w:t>Convertible preferred stock warrant liability</w:t>
            </w:r>
          </w:p>
        </w:tc>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40" w:type="dxa"/>
            <w:vAlign w:val="bottom"/>
            <w:vMerge w:val="continue"/>
          </w:tcPr>
          <w:p>
            <w:pPr>
              <w:spacing w:after="0"/>
              <w:rPr>
                <w:sz w:val="15"/>
                <w:szCs w:val="15"/>
                <w:color w:val="auto"/>
              </w:rPr>
            </w:pPr>
          </w:p>
        </w:tc>
        <w:tc>
          <w:tcPr>
            <w:tcW w:w="33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40"/>
              <w:spacing w:after="0" w:line="183" w:lineRule="exact"/>
              <w:rPr>
                <w:sz w:val="20"/>
                <w:szCs w:val="20"/>
                <w:color w:val="auto"/>
              </w:rPr>
            </w:pPr>
            <w:r>
              <w:rPr>
                <w:rFonts w:ascii="Arial" w:cs="Arial" w:eastAsia="Arial" w:hAnsi="Arial"/>
                <w:sz w:val="17"/>
                <w:szCs w:val="17"/>
                <w:color w:val="auto"/>
              </w:rPr>
              <w:t>447</w:t>
            </w:r>
          </w:p>
        </w:tc>
        <w:tc>
          <w:tcPr>
            <w:tcW w:w="540" w:type="dxa"/>
            <w:vAlign w:val="bottom"/>
            <w:gridSpan w:val="2"/>
          </w:tcPr>
          <w:p>
            <w:pPr>
              <w:ind w:left="360"/>
              <w:spacing w:after="0" w:line="183" w:lineRule="exact"/>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560"/>
              <w:spacing w:after="0" w:line="183" w:lineRule="exact"/>
              <w:rPr>
                <w:sz w:val="20"/>
                <w:szCs w:val="20"/>
                <w:color w:val="auto"/>
              </w:rPr>
            </w:pPr>
            <w:r>
              <w:rPr>
                <w:rFonts w:ascii="Arial" w:cs="Arial" w:eastAsia="Arial" w:hAnsi="Arial"/>
                <w:sz w:val="17"/>
                <w:szCs w:val="17"/>
                <w:color w:val="auto"/>
              </w:rPr>
              <w:t>—</w:t>
            </w:r>
          </w:p>
        </w:tc>
        <w:tc>
          <w:tcPr>
            <w:tcW w:w="340" w:type="dxa"/>
            <w:vAlign w:val="bottom"/>
            <w:gridSpan w:val="2"/>
          </w:tcPr>
          <w:p>
            <w:pPr>
              <w:ind w:left="20"/>
              <w:spacing w:after="0" w:line="183" w:lineRule="exact"/>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3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5,529</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5,529</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20" w:type="dxa"/>
            <w:vAlign w:val="bottom"/>
            <w:gridSpan w:val="3"/>
          </w:tcPr>
          <w:p>
            <w:pPr>
              <w:spacing w:after="0" w:line="183" w:lineRule="exact"/>
              <w:rPr>
                <w:sz w:val="20"/>
                <w:szCs w:val="20"/>
                <w:color w:val="auto"/>
              </w:rPr>
            </w:pPr>
            <w:r>
              <w:rPr>
                <w:rFonts w:ascii="Arial" w:cs="Arial" w:eastAsia="Arial" w:hAnsi="Arial"/>
                <w:sz w:val="17"/>
                <w:szCs w:val="17"/>
                <w:color w:val="auto"/>
              </w:rPr>
              <w:t>Convertible preferred stock, par value $0.001 per share; 141,231,241 shares authorized,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20" w:type="dxa"/>
            <w:vAlign w:val="bottom"/>
            <w:gridSpan w:val="3"/>
          </w:tcPr>
          <w:p>
            <w:pPr>
              <w:ind w:left="240"/>
              <w:spacing w:after="0" w:line="189" w:lineRule="exact"/>
              <w:rPr>
                <w:sz w:val="20"/>
                <w:szCs w:val="20"/>
                <w:color w:val="auto"/>
              </w:rPr>
            </w:pPr>
            <w:r>
              <w:rPr>
                <w:rFonts w:ascii="Arial" w:cs="Arial" w:eastAsia="Arial" w:hAnsi="Arial"/>
                <w:sz w:val="17"/>
                <w:szCs w:val="17"/>
                <w:color w:val="auto"/>
              </w:rPr>
              <w:t>140,626,218 shares issued and outstanding, actual; no shares authorized, issued or</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tcPr>
          <w:p>
            <w:pPr>
              <w:ind w:left="240"/>
              <w:spacing w:after="0"/>
              <w:rPr>
                <w:sz w:val="20"/>
                <w:szCs w:val="20"/>
                <w:color w:val="auto"/>
              </w:rPr>
            </w:pPr>
            <w:r>
              <w:rPr>
                <w:rFonts w:ascii="Arial" w:cs="Arial" w:eastAsia="Arial" w:hAnsi="Arial"/>
                <w:sz w:val="17"/>
                <w:szCs w:val="17"/>
                <w:color w:val="auto"/>
              </w:rPr>
              <w:t>outstanding, pro forma and pro forma as adjusted</w:t>
            </w: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175,043</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Stockholders’ deficit:</w:t>
            </w:r>
          </w:p>
        </w:tc>
        <w:tc>
          <w:tcPr>
            <w:tcW w:w="3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20" w:type="dxa"/>
            <w:vAlign w:val="bottom"/>
            <w:gridSpan w:val="3"/>
          </w:tcPr>
          <w:p>
            <w:pPr>
              <w:spacing w:after="0" w:line="183" w:lineRule="exact"/>
              <w:rPr>
                <w:sz w:val="20"/>
                <w:szCs w:val="20"/>
                <w:color w:val="auto"/>
              </w:rPr>
            </w:pPr>
            <w:r>
              <w:rPr>
                <w:rFonts w:ascii="Arial" w:cs="Arial" w:eastAsia="Arial" w:hAnsi="Arial"/>
                <w:sz w:val="17"/>
                <w:szCs w:val="17"/>
                <w:color w:val="auto"/>
              </w:rPr>
              <w:t>Common stock, par value $0.001 per share; 10,000,000,000 shares authorized, 20,840,532</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20" w:type="dxa"/>
            <w:vAlign w:val="bottom"/>
            <w:gridSpan w:val="3"/>
          </w:tcPr>
          <w:p>
            <w:pPr>
              <w:ind w:left="240"/>
              <w:spacing w:after="0" w:line="189" w:lineRule="exact"/>
              <w:rPr>
                <w:sz w:val="20"/>
                <w:szCs w:val="20"/>
                <w:color w:val="auto"/>
              </w:rPr>
            </w:pPr>
            <w:r>
              <w:rPr>
                <w:rFonts w:ascii="Arial" w:cs="Arial" w:eastAsia="Arial" w:hAnsi="Arial"/>
                <w:sz w:val="17"/>
                <w:szCs w:val="17"/>
                <w:color w:val="auto"/>
              </w:rPr>
              <w:t>shares issued and outstanding, actual; 10,000,000,000 shares authorized, 175,757,582</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240"/>
              <w:spacing w:after="0" w:line="189" w:lineRule="exact"/>
              <w:rPr>
                <w:sz w:val="20"/>
                <w:szCs w:val="20"/>
                <w:color w:val="auto"/>
              </w:rPr>
            </w:pPr>
            <w:r>
              <w:rPr>
                <w:rFonts w:ascii="Arial" w:cs="Arial" w:eastAsia="Arial" w:hAnsi="Arial"/>
                <w:sz w:val="17"/>
                <w:szCs w:val="17"/>
                <w:color w:val="auto"/>
              </w:rPr>
              <w:t>shares issued and outstanding, pro forma,</w:t>
            </w:r>
          </w:p>
        </w:tc>
        <w:tc>
          <w:tcPr>
            <w:tcW w:w="3380" w:type="dxa"/>
            <w:vAlign w:val="bottom"/>
            <w:gridSpan w:val="2"/>
          </w:tcPr>
          <w:p>
            <w:pPr>
              <w:jc w:val="right"/>
              <w:ind w:right="479"/>
              <w:spacing w:after="0" w:line="189" w:lineRule="exact"/>
              <w:rPr>
                <w:sz w:val="20"/>
                <w:szCs w:val="20"/>
                <w:color w:val="auto"/>
              </w:rPr>
            </w:pPr>
            <w:r>
              <w:rPr>
                <w:rFonts w:ascii="Arial" w:cs="Arial" w:eastAsia="Arial" w:hAnsi="Arial"/>
                <w:sz w:val="17"/>
                <w:szCs w:val="17"/>
                <w:color w:val="auto"/>
              </w:rPr>
              <w:t>shares issued and outstanding, pro</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tcPr>
          <w:p>
            <w:pPr>
              <w:ind w:left="240"/>
              <w:spacing w:after="0"/>
              <w:rPr>
                <w:sz w:val="20"/>
                <w:szCs w:val="20"/>
                <w:color w:val="auto"/>
              </w:rPr>
            </w:pPr>
            <w:r>
              <w:rPr>
                <w:rFonts w:ascii="Arial" w:cs="Arial" w:eastAsia="Arial" w:hAnsi="Arial"/>
                <w:sz w:val="17"/>
                <w:szCs w:val="17"/>
                <w:color w:val="auto"/>
              </w:rPr>
              <w:t>forma as adjusted</w:t>
            </w: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rPr>
              <w:t>21</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color w:val="auto"/>
              </w:rPr>
              <w:t>176</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Additional paid-in capital</w:t>
            </w:r>
          </w:p>
        </w:tc>
        <w:tc>
          <w:tcPr>
            <w:tcW w:w="3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2,289</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192,356</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500"/>
              <w:spacing w:after="0" w:line="189" w:lineRule="exact"/>
              <w:rPr>
                <w:sz w:val="20"/>
                <w:szCs w:val="20"/>
                <w:color w:val="auto"/>
              </w:rPr>
            </w:pPr>
            <w:r>
              <w:rPr>
                <w:rFonts w:ascii="Arial" w:cs="Arial" w:eastAsia="Arial" w:hAnsi="Arial"/>
                <w:sz w:val="17"/>
                <w:szCs w:val="17"/>
                <w:color w:val="auto"/>
              </w:rPr>
              <w:t>Accumulated deficit</w:t>
            </w:r>
          </w:p>
        </w:tc>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(78,236)</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(92,968)</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140" w:type="dxa"/>
            <w:vAlign w:val="bottom"/>
            <w:shd w:val="clear" w:color="auto" w:fill="CCEEFF"/>
          </w:tcPr>
          <w:p>
            <w:pPr>
              <w:jc w:val="right"/>
              <w:ind w:right="1155"/>
              <w:spacing w:after="0" w:line="189" w:lineRule="exact"/>
              <w:rPr>
                <w:sz w:val="20"/>
                <w:szCs w:val="20"/>
                <w:color w:val="auto"/>
              </w:rPr>
            </w:pPr>
            <w:r>
              <w:rPr>
                <w:rFonts w:ascii="Arial" w:cs="Arial" w:eastAsia="Arial" w:hAnsi="Arial"/>
                <w:sz w:val="17"/>
                <w:szCs w:val="17"/>
                <w:color w:val="auto"/>
              </w:rPr>
              <w:t>Total stockholders’ deficit</w:t>
            </w:r>
          </w:p>
        </w:tc>
        <w:tc>
          <w:tcPr>
            <w:tcW w:w="3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(75,926)</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80"/>
              <w:spacing w:after="0" w:line="189" w:lineRule="exact"/>
              <w:rPr>
                <w:sz w:val="20"/>
                <w:szCs w:val="20"/>
                <w:color w:val="auto"/>
              </w:rPr>
            </w:pPr>
            <w:r>
              <w:rPr>
                <w:rFonts w:ascii="Arial" w:cs="Arial" w:eastAsia="Arial" w:hAnsi="Arial"/>
                <w:sz w:val="17"/>
                <w:szCs w:val="17"/>
                <w:color w:val="auto"/>
              </w:rPr>
              <w:t>99,564</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vMerge w:val="restart"/>
          </w:tcPr>
          <w:p>
            <w:pPr>
              <w:jc w:val="right"/>
              <w:ind w:right="1155"/>
              <w:spacing w:after="0"/>
              <w:rPr>
                <w:sz w:val="20"/>
                <w:szCs w:val="20"/>
                <w:color w:val="auto"/>
              </w:rPr>
            </w:pPr>
            <w:r>
              <w:rPr>
                <w:rFonts w:ascii="Arial" w:cs="Arial" w:eastAsia="Arial" w:hAnsi="Arial"/>
                <w:sz w:val="17"/>
                <w:szCs w:val="17"/>
                <w:color w:val="auto"/>
              </w:rPr>
              <w:t>Total capitalization</w:t>
            </w:r>
          </w:p>
        </w:tc>
        <w:tc>
          <w:tcPr>
            <w:tcW w:w="3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3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99,117</w:t>
            </w:r>
          </w:p>
        </w:tc>
        <w:tc>
          <w:tcPr>
            <w:tcW w:w="140" w:type="dxa"/>
            <w:vAlign w:val="bottom"/>
          </w:tcPr>
          <w:p>
            <w:pPr>
              <w:spacing w:after="0"/>
              <w:rPr>
                <w:sz w:val="17"/>
                <w:szCs w:val="17"/>
                <w:color w:val="auto"/>
              </w:rPr>
            </w:pPr>
          </w:p>
        </w:tc>
        <w:tc>
          <w:tcPr>
            <w:tcW w:w="5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80"/>
              <w:spacing w:after="0"/>
              <w:rPr>
                <w:sz w:val="20"/>
                <w:szCs w:val="20"/>
                <w:color w:val="auto"/>
              </w:rPr>
            </w:pPr>
            <w:r>
              <w:rPr>
                <w:rFonts w:ascii="Arial" w:cs="Arial" w:eastAsia="Arial" w:hAnsi="Arial"/>
                <w:sz w:val="17"/>
                <w:szCs w:val="17"/>
                <w:color w:val="auto"/>
              </w:rPr>
              <w:t>99,564</w:t>
            </w: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140" w:type="dxa"/>
            <w:vAlign w:val="bottom"/>
          </w:tcPr>
          <w:p>
            <w:pPr>
              <w:spacing w:after="0"/>
              <w:rPr>
                <w:sz w:val="24"/>
                <w:szCs w:val="24"/>
                <w:color w:val="auto"/>
              </w:rPr>
            </w:pPr>
          </w:p>
        </w:tc>
        <w:tc>
          <w:tcPr>
            <w:tcW w:w="3260" w:type="dxa"/>
            <w:vAlign w:val="bottom"/>
          </w:tcPr>
          <w:p>
            <w:pPr>
              <w:jc w:val="right"/>
              <w:ind w:right="1716"/>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p>
      <w:pPr>
        <w:jc w:val="both"/>
        <w:ind w:left="540" w:right="220" w:hanging="279"/>
        <w:spacing w:after="0" w:line="182" w:lineRule="auto"/>
        <w:tabs>
          <w:tab w:leader="none" w:pos="52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4"/>
          <w:szCs w:val="14"/>
          <w:color w:val="auto"/>
        </w:rPr>
        <w:t>Each $1.00 increase or decrease in the assumed initial public offering price of $         per share, which is the midpoint of the price range set forth on the cover page of this prospectus, would increase or decrease, as applicable, our cash and cash equivalents, additional paid-in capital, total stockholders’ equity (deficit) and</w:t>
      </w:r>
    </w:p>
    <w:p>
      <w:pPr>
        <w:spacing w:after="0" w:line="9" w:lineRule="exact"/>
        <w:rPr>
          <w:sz w:val="20"/>
          <w:szCs w:val="20"/>
          <w:color w:val="auto"/>
        </w:rPr>
      </w:pPr>
    </w:p>
    <w:p>
      <w:pPr>
        <w:ind w:left="540"/>
        <w:spacing w:after="0" w:line="241" w:lineRule="auto"/>
        <w:rPr>
          <w:sz w:val="20"/>
          <w:szCs w:val="20"/>
          <w:color w:val="auto"/>
        </w:rPr>
      </w:pPr>
      <w:r>
        <w:rPr>
          <w:rFonts w:ascii="Arial" w:cs="Arial" w:eastAsia="Arial" w:hAnsi="Arial"/>
          <w:sz w:val="14"/>
          <w:szCs w:val="14"/>
          <w:color w:val="auto"/>
        </w:rPr>
        <w:t>total capitalization by approximately $ million, assuming that the number of shares of our common stock offered by us, as set forth on the cover page of this prospectus, remains the same and after deducting the underwriting discounts and commissions and estimated offering expenses payable by us. Similarly, each increase or decrease of 1.0 million shares in the number of shares offered by us would increase or decrease, as applicable, the amount of our cash and cash</w:t>
      </w:r>
    </w:p>
    <w:p>
      <w:pPr>
        <w:spacing w:after="0" w:line="1" w:lineRule="exact"/>
        <w:rPr>
          <w:sz w:val="20"/>
          <w:szCs w:val="20"/>
          <w:color w:val="auto"/>
        </w:rPr>
      </w:pPr>
    </w:p>
    <w:p>
      <w:pPr>
        <w:ind w:left="540" w:right="180"/>
        <w:spacing w:after="0" w:line="249" w:lineRule="auto"/>
        <w:rPr>
          <w:sz w:val="20"/>
          <w:szCs w:val="20"/>
          <w:color w:val="auto"/>
        </w:rPr>
      </w:pPr>
      <w:r>
        <w:rPr>
          <w:rFonts w:ascii="Arial" w:cs="Arial" w:eastAsia="Arial" w:hAnsi="Arial"/>
          <w:sz w:val="14"/>
          <w:szCs w:val="14"/>
          <w:color w:val="auto"/>
        </w:rPr>
        <w:t>equivalents and total stockholders’ equity (deficit) by approximately $ million, based upon the assumed initial public offering price of $ per share, which is the midpoint of the price range set forth on the cover page of this prospectus, after deducting the underwriting discounts and commissions and estimated offering expenses payable by us.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number of shares of our common stock to be outstanding after this offering, pro forma and pro forma as adjusted in the table above, is based</w:t>
      </w:r>
    </w:p>
    <w:p>
      <w:pPr>
        <w:ind w:left="120" w:right="120"/>
        <w:spacing w:after="0" w:line="243" w:lineRule="auto"/>
        <w:rPr>
          <w:sz w:val="20"/>
          <w:szCs w:val="20"/>
          <w:color w:val="auto"/>
        </w:rPr>
      </w:pPr>
      <w:r>
        <w:rPr>
          <w:rFonts w:ascii="Arial" w:cs="Arial" w:eastAsia="Arial" w:hAnsi="Arial"/>
          <w:sz w:val="17"/>
          <w:szCs w:val="17"/>
          <w:color w:val="auto"/>
        </w:rPr>
        <w:t>on shares of our common stock outstanding as of March 31, 2020 (including shares of common stock that are subject to a right of repurchase and our convertible preferred stock on an as-converted basis), and excludes:</w:t>
      </w:r>
    </w:p>
    <w:p>
      <w:pPr>
        <w:spacing w:after="0" w:line="185" w:lineRule="exact"/>
        <w:rPr>
          <w:sz w:val="20"/>
          <w:szCs w:val="20"/>
          <w:color w:val="auto"/>
        </w:rPr>
      </w:pPr>
    </w:p>
    <w:p>
      <w:pPr>
        <w:ind w:left="980" w:right="42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21,063,923 shares of common stock issuable upon exercise of options outstanding as of March 31, 2020, at a weighted-average exercise price of $0.47 per share;</w:t>
      </w:r>
    </w:p>
    <w:p>
      <w:pPr>
        <w:spacing w:after="0" w:line="22"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4,150,000 shares of common stock issuable upon exercise of options granted after March 31, 2020, at a weighted-average exercise price of $0.75 per share;</w:t>
      </w:r>
    </w:p>
    <w:p>
      <w:pPr>
        <w:spacing w:after="0" w:line="22" w:lineRule="exact"/>
        <w:rPr>
          <w:rFonts w:ascii="MS PGothic" w:cs="MS PGothic" w:eastAsia="MS PGothic" w:hAnsi="MS PGothic"/>
          <w:sz w:val="13"/>
          <w:szCs w:val="13"/>
          <w:color w:val="auto"/>
        </w:rPr>
      </w:pPr>
    </w:p>
    <w:p>
      <w:pPr>
        <w:ind w:left="980" w:right="180" w:hanging="432"/>
        <w:spacing w:after="0" w:line="238"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403,348 shares of our convertible preferred stock that were outstanding as of March 31, 2020 that will be converted into warrants to purchase an aggregate of 403,348 shares of our common stock, with an exercise price of $1.4432 per share; and</w:t>
      </w:r>
    </w:p>
    <w:p>
      <w:pPr>
        <w:spacing w:after="0" w:line="25" w:lineRule="exact"/>
        <w:rPr>
          <w:rFonts w:ascii="MS PGothic" w:cs="MS PGothic" w:eastAsia="MS PGothic" w:hAnsi="MS PGothic"/>
          <w:sz w:val="13"/>
          <w:szCs w:val="13"/>
          <w:color w:val="auto"/>
        </w:rPr>
      </w:pPr>
    </w:p>
    <w:p>
      <w:pPr>
        <w:ind w:left="980" w:right="200" w:hanging="432"/>
        <w:spacing w:after="0" w:line="238"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1,277,036 shares of common stock reserved for issuance pursuant to future awards under our 2020 Plan, including the amendment thereto that will become effective in connection with this offering, and any additional shares that become available under our 2020 Plan pursuant to provisions thereof that automatically increase the share reserve under the plan each year.</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47"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Our historical net tangible book value (deficit) as of March 31, 2020 was ($75.9 million), or $(3.64) per share of our common stock. Our historical net tangible book value (deficit) is the amount of our total assets less our total liabilities and convertible preferred stock, which is not included in our stockholders’ deficit. Historical net tangible book value per share represents historical net tangible book value (deficit) divided by the number</w:t>
      </w:r>
    </w:p>
    <w:p>
      <w:pPr>
        <w:ind w:left="120" w:right="500"/>
        <w:spacing w:after="0" w:line="243" w:lineRule="auto"/>
        <w:rPr>
          <w:sz w:val="20"/>
          <w:szCs w:val="20"/>
          <w:color w:val="auto"/>
        </w:rPr>
      </w:pPr>
      <w:r>
        <w:rPr>
          <w:rFonts w:ascii="Arial" w:cs="Arial" w:eastAsia="Arial" w:hAnsi="Arial"/>
          <w:sz w:val="17"/>
          <w:szCs w:val="17"/>
          <w:color w:val="auto"/>
        </w:rPr>
        <w:t>of shares of our common stock outstanding as of March 31, 2020 (including shares of common stock that are subject to a right of repurchase).</w:t>
      </w:r>
    </w:p>
    <w:p>
      <w:pPr>
        <w:spacing w:after="0" w:line="144"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Our pro forma net tangible book value as of March 31, 2020 was $99.6 million, or $0.57 per share of our common stock. Pro forma net tangible book value represents the amount of our total assets less our total liabilities, after giving effect to the reclassification of our convertible preferred stock warrant liability to additional paid-in capital immediately prior to the completion of this offering and the conversion of all outstanding shares of our convertible preferred stock into an aggregate of 154,917,050 shares of common stock upon the completion of this offering. Pro forma net tangible book value per share represents pro forma net tangible book value divided by the total number of shares outstanding as of March 31, 2020, after giving effect to the conversion of all outstanding shares of our convertible preferred stock into an aggregate of 175,757,582 shares of</w:t>
      </w:r>
    </w:p>
    <w:p>
      <w:pPr>
        <w:ind w:left="120"/>
        <w:spacing w:after="0"/>
        <w:tabs>
          <w:tab w:leader="none" w:pos="5820" w:val="left"/>
        </w:tabs>
        <w:rPr>
          <w:sz w:val="20"/>
          <w:szCs w:val="20"/>
          <w:color w:val="auto"/>
        </w:rPr>
      </w:pPr>
      <w:r>
        <w:rPr>
          <w:rFonts w:ascii="Arial" w:cs="Arial" w:eastAsia="Arial" w:hAnsi="Arial"/>
          <w:sz w:val="17"/>
          <w:szCs w:val="17"/>
          <w:color w:val="auto"/>
        </w:rPr>
        <w:t>our common stock upon the completion of this offering (including</w:t>
      </w:r>
      <w:r>
        <w:rPr>
          <w:sz w:val="20"/>
          <w:szCs w:val="20"/>
          <w:color w:val="auto"/>
        </w:rPr>
        <w:tab/>
      </w:r>
      <w:r>
        <w:rPr>
          <w:rFonts w:ascii="Arial" w:cs="Arial" w:eastAsia="Arial" w:hAnsi="Arial"/>
          <w:sz w:val="17"/>
          <w:szCs w:val="17"/>
          <w:color w:val="auto"/>
        </w:rPr>
        <w:t>shares issuable upon conversion of our convertible preferred stock).</w:t>
      </w:r>
    </w:p>
    <w:p>
      <w:pPr>
        <w:spacing w:after="0" w:line="149" w:lineRule="exact"/>
        <w:rPr>
          <w:sz w:val="20"/>
          <w:szCs w:val="20"/>
          <w:color w:val="auto"/>
        </w:rPr>
      </w:pPr>
    </w:p>
    <w:p>
      <w:pPr>
        <w:ind w:left="120"/>
        <w:spacing w:after="0"/>
        <w:tabs>
          <w:tab w:leader="none" w:pos="3840" w:val="left"/>
        </w:tabs>
        <w:rPr>
          <w:sz w:val="20"/>
          <w:szCs w:val="20"/>
          <w:color w:val="auto"/>
        </w:rPr>
      </w:pPr>
      <w:r>
        <w:rPr>
          <w:rFonts w:ascii="Arial" w:cs="Arial" w:eastAsia="Arial" w:hAnsi="Arial"/>
          <w:sz w:val="17"/>
          <w:szCs w:val="17"/>
          <w:color w:val="auto"/>
        </w:rPr>
        <w:t>After giving further effect to our sale of</w:t>
      </w:r>
      <w:r>
        <w:rPr>
          <w:sz w:val="20"/>
          <w:szCs w:val="20"/>
          <w:color w:val="auto"/>
        </w:rPr>
        <w:tab/>
      </w:r>
      <w:r>
        <w:rPr>
          <w:rFonts w:ascii="Arial" w:cs="Arial" w:eastAsia="Arial" w:hAnsi="Arial"/>
          <w:sz w:val="17"/>
          <w:szCs w:val="17"/>
          <w:color w:val="auto"/>
        </w:rPr>
        <w:t>shares of common stock in this offering at the assumed initial public offering price of</w:t>
      </w:r>
    </w:p>
    <w:p>
      <w:pPr>
        <w:ind w:left="1020" w:hanging="904"/>
        <w:spacing w:after="0" w:line="232" w:lineRule="auto"/>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page of this prospectus, and after deducting the underwriting</w:t>
      </w:r>
    </w:p>
    <w:p>
      <w:pPr>
        <w:ind w:left="120"/>
        <w:spacing w:after="0"/>
        <w:rPr>
          <w:rFonts w:ascii="Arial" w:cs="Arial" w:eastAsia="Arial" w:hAnsi="Arial"/>
          <w:sz w:val="17"/>
          <w:szCs w:val="17"/>
          <w:color w:val="auto"/>
        </w:rPr>
      </w:pPr>
      <w:r>
        <w:rPr>
          <w:rFonts w:ascii="Arial" w:cs="Arial" w:eastAsia="Arial" w:hAnsi="Arial"/>
          <w:sz w:val="17"/>
          <w:szCs w:val="17"/>
          <w:color w:val="auto"/>
        </w:rPr>
        <w:t>discounts and commissions and estimated offering expenses payable by us, our pro forma as adjusted net tangible book value as of March 31,</w:t>
      </w:r>
    </w:p>
    <w:p>
      <w:pPr>
        <w:spacing w:after="0" w:line="189"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2020 would have been approximately $ million, or approximately $ per share. This represents an immediate increase in pro forma as adjusted net tangible book value of $ per share to our existing stockholders and an immediate dilution in pro forma as adjusted net tangible book value of approximately $ per share to new investors purchasing common stock in this offering. Dilution per</w:t>
      </w:r>
    </w:p>
    <w:p>
      <w:pPr>
        <w:ind w:left="120" w:right="200"/>
        <w:spacing w:after="0" w:line="243" w:lineRule="auto"/>
        <w:rPr>
          <w:sz w:val="20"/>
          <w:szCs w:val="20"/>
          <w:color w:val="auto"/>
        </w:rPr>
      </w:pPr>
      <w:r>
        <w:rPr>
          <w:rFonts w:ascii="Arial" w:cs="Arial" w:eastAsia="Arial" w:hAnsi="Arial"/>
          <w:sz w:val="17"/>
          <w:szCs w:val="17"/>
          <w:color w:val="auto"/>
        </w:rPr>
        <w:t>share to new investors purchasing common stock in this offering is determined by subtracting pro forma as adjusted net tangible book value per share after this offering from the assumed initial public offering price per share paid by new investors.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8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2240" w:type="dxa"/>
            <w:vAlign w:val="bottom"/>
            <w:gridSpan w:val="4"/>
            <w:shd w:val="clear" w:color="auto" w:fill="CCEEFF"/>
          </w:tcPr>
          <w:p>
            <w:pPr>
              <w:jc w:val="right"/>
              <w:ind w:right="415"/>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r>
      <w:tr>
        <w:trPr>
          <w:trHeight w:val="189"/>
        </w:trPr>
        <w:tc>
          <w:tcPr>
            <w:tcW w:w="6440" w:type="dxa"/>
            <w:vAlign w:val="bottom"/>
            <w:gridSpan w:val="2"/>
          </w:tcPr>
          <w:p>
            <w:pPr>
              <w:ind w:left="500"/>
              <w:spacing w:after="0" w:line="189" w:lineRule="exact"/>
              <w:rPr>
                <w:sz w:val="20"/>
                <w:szCs w:val="20"/>
                <w:color w:val="auto"/>
              </w:rPr>
            </w:pPr>
            <w:r>
              <w:rPr>
                <w:rFonts w:ascii="Arial" w:cs="Arial" w:eastAsia="Arial" w:hAnsi="Arial"/>
                <w:sz w:val="17"/>
                <w:szCs w:val="17"/>
                <w:color w:val="auto"/>
              </w:rPr>
              <w:t>Historical net tangible book value (deficit) per share as of March 31, 2020</w:t>
            </w:r>
          </w:p>
        </w:tc>
        <w:tc>
          <w:tcPr>
            <w:tcW w:w="2000" w:type="dxa"/>
            <w:vAlign w:val="bottom"/>
          </w:tcPr>
          <w:p>
            <w:pPr>
              <w:spacing w:after="0"/>
              <w:rPr>
                <w:sz w:val="16"/>
                <w:szCs w:val="16"/>
                <w:color w:val="auto"/>
              </w:rPr>
            </w:pPr>
          </w:p>
        </w:tc>
        <w:tc>
          <w:tcPr>
            <w:tcW w:w="1640" w:type="dxa"/>
            <w:vAlign w:val="bottom"/>
            <w:gridSpan w:val="3"/>
          </w:tcPr>
          <w:p>
            <w:pPr>
              <w:jc w:val="right"/>
              <w:ind w:right="540"/>
              <w:spacing w:after="0" w:line="189" w:lineRule="exact"/>
              <w:rPr>
                <w:sz w:val="20"/>
                <w:szCs w:val="20"/>
                <w:color w:val="auto"/>
              </w:rPr>
            </w:pPr>
            <w:r>
              <w:rPr>
                <w:rFonts w:ascii="Arial" w:cs="Arial" w:eastAsia="Arial" w:hAnsi="Arial"/>
                <w:sz w:val="17"/>
                <w:szCs w:val="17"/>
                <w:color w:val="auto"/>
              </w:rPr>
              <w:t>$(3.64)</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8440" w:type="dxa"/>
            <w:vAlign w:val="bottom"/>
            <w:gridSpan w:val="3"/>
            <w:shd w:val="clear" w:color="auto" w:fill="CCEEFF"/>
          </w:tcPr>
          <w:p>
            <w:pPr>
              <w:ind w:left="500"/>
              <w:spacing w:after="0" w:line="189" w:lineRule="exact"/>
              <w:rPr>
                <w:sz w:val="20"/>
                <w:szCs w:val="20"/>
                <w:color w:val="auto"/>
              </w:rPr>
            </w:pPr>
            <w:r>
              <w:rPr>
                <w:rFonts w:ascii="Arial" w:cs="Arial" w:eastAsia="Arial" w:hAnsi="Arial"/>
                <w:sz w:val="17"/>
                <w:szCs w:val="17"/>
                <w:color w:val="auto"/>
              </w:rPr>
              <w:t>Pro forma increase in net tangible book value (deficit) per share as of March 31, 2020</w:t>
            </w:r>
          </w:p>
        </w:tc>
        <w:tc>
          <w:tcPr>
            <w:tcW w:w="5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6440" w:type="dxa"/>
            <w:vAlign w:val="bottom"/>
            <w:gridSpan w:val="2"/>
          </w:tcPr>
          <w:p>
            <w:pPr>
              <w:ind w:left="500"/>
              <w:spacing w:after="0"/>
              <w:rPr>
                <w:sz w:val="20"/>
                <w:szCs w:val="20"/>
                <w:color w:val="auto"/>
              </w:rPr>
            </w:pPr>
            <w:r>
              <w:rPr>
                <w:rFonts w:ascii="Arial" w:cs="Arial" w:eastAsia="Arial" w:hAnsi="Arial"/>
                <w:sz w:val="17"/>
                <w:szCs w:val="17"/>
                <w:color w:val="auto"/>
              </w:rPr>
              <w:t>Pro forma net tangible book value (deficit) per share as of March 31, 2020</w:t>
            </w:r>
          </w:p>
        </w:tc>
        <w:tc>
          <w:tcPr>
            <w:tcW w:w="2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8440" w:type="dxa"/>
            <w:vAlign w:val="bottom"/>
            <w:gridSpan w:val="3"/>
            <w:shd w:val="clear" w:color="auto" w:fill="CCEEFF"/>
          </w:tcPr>
          <w:p>
            <w:pPr>
              <w:ind w:left="500"/>
              <w:spacing w:after="0" w:line="183" w:lineRule="exact"/>
              <w:rPr>
                <w:sz w:val="20"/>
                <w:szCs w:val="20"/>
                <w:color w:val="auto"/>
              </w:rPr>
            </w:pPr>
            <w:r>
              <w:rPr>
                <w:rFonts w:ascii="Arial" w:cs="Arial" w:eastAsia="Arial" w:hAnsi="Arial"/>
                <w:sz w:val="17"/>
                <w:szCs w:val="17"/>
                <w:color w:val="auto"/>
              </w:rPr>
              <w:t>Increase in pro forma net tangible book value per share attributable to investors purchasing shares in this</w:t>
            </w:r>
          </w:p>
        </w:tc>
        <w:tc>
          <w:tcPr>
            <w:tcW w:w="5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56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offering</w:t>
            </w:r>
          </w:p>
        </w:tc>
        <w:tc>
          <w:tcPr>
            <w:tcW w:w="8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562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8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640" w:type="dxa"/>
            <w:vAlign w:val="bottom"/>
            <w:gridSpan w:val="3"/>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15"/>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shd w:val="clear" w:color="auto" w:fill="CCEEFF"/>
          </w:tcPr>
          <w:p>
            <w:pPr>
              <w:ind w:left="100"/>
              <w:spacing w:after="0" w:line="189" w:lineRule="exact"/>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r>
      <w:tr>
        <w:trPr>
          <w:trHeight w:val="20"/>
        </w:trPr>
        <w:tc>
          <w:tcPr>
            <w:tcW w:w="6440" w:type="dxa"/>
            <w:vAlign w:val="bottom"/>
            <w:gridSpan w:val="2"/>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40" w:type="dxa"/>
            <w:vAlign w:val="bottom"/>
            <w:tcBorders>
              <w:bottom w:val="single" w:sz="8" w:color="auto"/>
            </w:tcBorders>
            <w:gridSpan w:val="2"/>
          </w:tcPr>
          <w:p>
            <w:pPr>
              <w:spacing w:after="0"/>
              <w:rPr>
                <w:sz w:val="18"/>
                <w:szCs w:val="18"/>
                <w:color w:val="auto"/>
              </w:rPr>
            </w:pPr>
          </w:p>
        </w:tc>
        <w:tc>
          <w:tcPr>
            <w:tcW w:w="4580" w:type="dxa"/>
            <w:vAlign w:val="bottom"/>
            <w:tcBorders>
              <w:bottom w:val="single" w:sz="8" w:color="auto"/>
            </w:tcBorders>
            <w:gridSpan w:val="7"/>
          </w:tcPr>
          <w:p>
            <w:pPr>
              <w:spacing w:after="0"/>
              <w:rPr>
                <w:sz w:val="18"/>
                <w:szCs w:val="18"/>
                <w:color w:val="auto"/>
              </w:rPr>
            </w:pPr>
          </w:p>
        </w:tc>
      </w:tr>
      <w:tr>
        <w:trPr>
          <w:trHeight w:val="338"/>
        </w:trPr>
        <w:tc>
          <w:tcPr>
            <w:tcW w:w="6440" w:type="dxa"/>
            <w:vAlign w:val="bottom"/>
            <w:gridSpan w:val="2"/>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580" w:type="dxa"/>
            <w:vAlign w:val="bottom"/>
            <w:gridSpan w:val="7"/>
          </w:tcPr>
          <w:p>
            <w:pPr>
              <w:ind w:left="380"/>
              <w:spacing w:after="0"/>
              <w:rPr>
                <w:sz w:val="20"/>
                <w:szCs w:val="20"/>
                <w:color w:val="auto"/>
              </w:rPr>
            </w:pPr>
            <w:r>
              <w:rPr>
                <w:rFonts w:ascii="Arial" w:cs="Arial" w:eastAsia="Arial" w:hAnsi="Arial"/>
                <w:sz w:val="17"/>
                <w:szCs w:val="17"/>
                <w:color w:val="auto"/>
              </w:rPr>
              <w:t>per share, the midpoint of the estimated offering price</w:t>
            </w:r>
          </w:p>
        </w:tc>
      </w:tr>
      <w:tr>
        <w:trPr>
          <w:trHeight w:val="189"/>
        </w:trPr>
        <w:tc>
          <w:tcPr>
            <w:tcW w:w="10680" w:type="dxa"/>
            <w:vAlign w:val="bottom"/>
            <w:gridSpan w:val="7"/>
          </w:tcPr>
          <w:p>
            <w:pPr>
              <w:spacing w:after="0" w:line="189" w:lineRule="exact"/>
              <w:rPr>
                <w:sz w:val="20"/>
                <w:szCs w:val="20"/>
                <w:color w:val="auto"/>
              </w:rPr>
            </w:pPr>
            <w:r>
              <w:rPr>
                <w:rFonts w:ascii="Arial" w:cs="Arial" w:eastAsia="Arial" w:hAnsi="Arial"/>
                <w:sz w:val="17"/>
                <w:szCs w:val="17"/>
                <w:color w:val="auto"/>
              </w:rPr>
              <w:t>range set forth on the cover page of this prospectus, would increase or decrease, as applicable, our pro forma as adjusted net tangible book</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value as of March 31, 2020 after this offering by approximately $</w:t>
            </w:r>
          </w:p>
        </w:tc>
        <w:tc>
          <w:tcPr>
            <w:tcW w:w="2820" w:type="dxa"/>
            <w:vAlign w:val="bottom"/>
            <w:gridSpan w:val="2"/>
          </w:tcPr>
          <w:p>
            <w:pPr>
              <w:ind w:left="40"/>
              <w:spacing w:after="0" w:line="189" w:lineRule="exact"/>
              <w:rPr>
                <w:sz w:val="20"/>
                <w:szCs w:val="20"/>
                <w:color w:val="auto"/>
              </w:rPr>
            </w:pPr>
            <w:r>
              <w:rPr>
                <w:rFonts w:ascii="Arial" w:cs="Arial" w:eastAsia="Arial" w:hAnsi="Arial"/>
                <w:sz w:val="17"/>
                <w:szCs w:val="17"/>
                <w:color w:val="auto"/>
              </w:rPr>
              <w:t>million, or approximately $</w:t>
            </w:r>
          </w:p>
        </w:tc>
        <w:tc>
          <w:tcPr>
            <w:tcW w:w="2580" w:type="dxa"/>
            <w:vAlign w:val="bottom"/>
            <w:gridSpan w:val="6"/>
          </w:tcPr>
          <w:p>
            <w:pPr>
              <w:ind w:left="20"/>
              <w:spacing w:after="0" w:line="189" w:lineRule="exact"/>
              <w:rPr>
                <w:sz w:val="20"/>
                <w:szCs w:val="20"/>
                <w:color w:val="auto"/>
              </w:rPr>
            </w:pPr>
            <w:r>
              <w:rPr>
                <w:rFonts w:ascii="Arial" w:cs="Arial" w:eastAsia="Arial" w:hAnsi="Arial"/>
                <w:sz w:val="17"/>
                <w:szCs w:val="17"/>
                <w:color w:val="auto"/>
              </w:rPr>
              <w:t>per share, and would decrease</w:t>
            </w:r>
          </w:p>
        </w:tc>
      </w:tr>
      <w:tr>
        <w:trPr>
          <w:trHeight w:val="205"/>
        </w:trPr>
        <w:tc>
          <w:tcPr>
            <w:tcW w:w="5620" w:type="dxa"/>
            <w:vAlign w:val="bottom"/>
          </w:tcPr>
          <w:p>
            <w:pPr>
              <w:spacing w:after="0"/>
              <w:rPr>
                <w:sz w:val="20"/>
                <w:szCs w:val="20"/>
                <w:color w:val="auto"/>
              </w:rPr>
            </w:pPr>
            <w:r>
              <w:rPr>
                <w:rFonts w:ascii="Arial" w:cs="Arial" w:eastAsia="Arial" w:hAnsi="Arial"/>
                <w:sz w:val="17"/>
                <w:szCs w:val="17"/>
                <w:color w:val="auto"/>
              </w:rPr>
              <w:t>(increase) dilution to investors in this offering by approximately $</w:t>
            </w:r>
          </w:p>
        </w:tc>
        <w:tc>
          <w:tcPr>
            <w:tcW w:w="5060" w:type="dxa"/>
            <w:vAlign w:val="bottom"/>
            <w:gridSpan w:val="6"/>
          </w:tcPr>
          <w:p>
            <w:pPr>
              <w:ind w:left="40"/>
              <w:spacing w:after="0"/>
              <w:rPr>
                <w:sz w:val="20"/>
                <w:szCs w:val="20"/>
                <w:color w:val="auto"/>
              </w:rPr>
            </w:pPr>
            <w:r>
              <w:rPr>
                <w:rFonts w:ascii="Arial" w:cs="Arial" w:eastAsia="Arial" w:hAnsi="Arial"/>
                <w:sz w:val="17"/>
                <w:szCs w:val="17"/>
                <w:color w:val="auto"/>
              </w:rPr>
              <w:t>per share, assuming that the number of shares offered by us,</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5"/>
        </w:trPr>
        <w:tc>
          <w:tcPr>
            <w:tcW w:w="5620" w:type="dxa"/>
            <w:vAlign w:val="bottom"/>
          </w:tcPr>
          <w:p>
            <w:pPr>
              <w:ind w:left="5420"/>
              <w:spacing w:after="0"/>
              <w:rPr>
                <w:sz w:val="20"/>
                <w:szCs w:val="20"/>
                <w:color w:val="auto"/>
              </w:rPr>
            </w:pPr>
            <w:r>
              <w:rPr>
                <w:rFonts w:ascii="Arial" w:cs="Arial" w:eastAsia="Arial" w:hAnsi="Arial"/>
                <w:sz w:val="16"/>
                <w:szCs w:val="16"/>
                <w:color w:val="auto"/>
              </w:rPr>
              <w:t>68</w:t>
            </w: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as set forth on the cover page of this prospectus, remains the same, after deducting the underwriting discounts and commissions and estimated offering expenses payable by us. We may also increase or decrease the number of shares we are offering. An increase or decrease of 1.0 million in the number of shares we are offering would increase or decrease, as applicable, our pro forma as adjusted net tangible book value as of March</w:t>
      </w:r>
    </w:p>
    <w:p>
      <w:pPr>
        <w:ind w:left="120" w:right="440"/>
        <w:spacing w:after="0" w:line="232" w:lineRule="auto"/>
        <w:rPr>
          <w:sz w:val="20"/>
          <w:szCs w:val="20"/>
          <w:color w:val="auto"/>
        </w:rPr>
      </w:pPr>
      <w:r>
        <w:rPr>
          <w:rFonts w:ascii="Arial" w:cs="Arial" w:eastAsia="Arial" w:hAnsi="Arial"/>
          <w:sz w:val="17"/>
          <w:szCs w:val="17"/>
          <w:color w:val="auto"/>
        </w:rPr>
        <w:t>31, 2020 after this offering by approximately $ million, or approximately $ per share, and would decrease or increase, as applicable, dilution to investors in this offering by approximately $ per share, assuming the assumed initial public offering price per</w:t>
      </w:r>
    </w:p>
    <w:p>
      <w:pPr>
        <w:ind w:left="120" w:right="60"/>
        <w:spacing w:after="0" w:line="238" w:lineRule="auto"/>
        <w:rPr>
          <w:sz w:val="20"/>
          <w:szCs w:val="20"/>
          <w:color w:val="auto"/>
        </w:rPr>
      </w:pPr>
      <w:r>
        <w:rPr>
          <w:rFonts w:ascii="Arial" w:cs="Arial" w:eastAsia="Arial" w:hAnsi="Arial"/>
          <w:sz w:val="17"/>
          <w:szCs w:val="17"/>
          <w:color w:val="auto"/>
        </w:rPr>
        <w:t>share remains the same,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the underwriters fully exercise their option to purchase additional shares of common stock at the assumed initial public offering price of</w:t>
      </w:r>
    </w:p>
    <w:p>
      <w:pPr>
        <w:ind w:left="120" w:right="20" w:hanging="4"/>
        <w:spacing w:after="0" w:line="232" w:lineRule="auto"/>
        <w:tabs>
          <w:tab w:leader="none" w:pos="1022" w:val="left"/>
        </w:tabs>
        <w:numPr>
          <w:ilvl w:val="0"/>
          <w:numId w:val="48"/>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of this prospectus, assuming the number of shares offered by us as set forth on the cover page of this prospectus remains the same, and after deducting underwriting discounts and commissions and estimated offering expenses payable by us, pro forma as adjusted net tangible book value after this offering would increase to approximately</w:t>
      </w:r>
    </w:p>
    <w:p>
      <w:pPr>
        <w:ind w:left="120"/>
        <w:spacing w:after="0"/>
        <w:tabs>
          <w:tab w:leader="none" w:pos="1000" w:val="left"/>
          <w:tab w:leader="none" w:pos="71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and there would be an immediate dilution of approximately $</w:t>
      </w:r>
      <w:r>
        <w:rPr>
          <w:sz w:val="20"/>
          <w:szCs w:val="20"/>
          <w:color w:val="auto"/>
        </w:rPr>
        <w:tab/>
      </w:r>
      <w:r>
        <w:rPr>
          <w:rFonts w:ascii="Arial" w:cs="Arial" w:eastAsia="Arial" w:hAnsi="Arial"/>
          <w:sz w:val="17"/>
          <w:szCs w:val="17"/>
          <w:color w:val="auto"/>
        </w:rPr>
        <w:t>per share to new investors.</w:t>
      </w:r>
    </w:p>
    <w:p>
      <w:pPr>
        <w:spacing w:after="0" w:line="156"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The following table summarizes, on a pro forma as adjusted basis, as of March 31, 2020, the difference between the number of shares of common stock purchased from us (on an as converted to common stock basis), the total consideration paid, and the weighted-average price per</w:t>
      </w:r>
    </w:p>
    <w:p>
      <w:pPr>
        <w:ind w:left="120" w:right="140"/>
        <w:spacing w:after="0" w:line="238" w:lineRule="auto"/>
        <w:rPr>
          <w:sz w:val="20"/>
          <w:szCs w:val="20"/>
          <w:color w:val="auto"/>
        </w:rPr>
      </w:pPr>
      <w:r>
        <w:rPr>
          <w:rFonts w:ascii="Arial" w:cs="Arial" w:eastAsia="Arial" w:hAnsi="Arial"/>
          <w:sz w:val="17"/>
          <w:szCs w:val="17"/>
          <w:color w:val="auto"/>
        </w:rPr>
        <w:t>share paid, by existing stockholders and by new investors in this offering, assuming an initial public offering price of $ per share, which is the midpoint of the price range set forth on the cover page of this prospectus, and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AVERAGE</w:t>
            </w:r>
          </w:p>
        </w:tc>
      </w:tr>
      <w:tr>
        <w:trPr>
          <w:trHeight w:val="175"/>
        </w:trPr>
        <w:tc>
          <w:tcPr>
            <w:tcW w:w="5280" w:type="dxa"/>
            <w:vAlign w:val="bottom"/>
          </w:tcPr>
          <w:p>
            <w:pPr>
              <w:spacing w:after="0"/>
              <w:rPr>
                <w:sz w:val="15"/>
                <w:szCs w:val="15"/>
                <w:color w:val="auto"/>
              </w:rPr>
            </w:pPr>
          </w:p>
        </w:tc>
        <w:tc>
          <w:tcPr>
            <w:tcW w:w="22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rPr>
              <w:t>CONSIDERATION</w:t>
            </w: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280" w:type="dxa"/>
            <w:vAlign w:val="bottom"/>
          </w:tcPr>
          <w:p>
            <w:pPr>
              <w:spacing w:after="0"/>
              <w:rPr>
                <w:sz w:val="13"/>
                <w:szCs w:val="13"/>
                <w:color w:val="auto"/>
              </w:rPr>
            </w:pPr>
          </w:p>
        </w:tc>
        <w:tc>
          <w:tcPr>
            <w:tcW w:w="11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NUMBER</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top w:val="single" w:sz="8" w:color="auto"/>
            </w:tcBorders>
            <w:gridSpan w:val="3"/>
          </w:tcPr>
          <w:p>
            <w:pPr>
              <w:jc w:val="right"/>
              <w:ind w:right="388"/>
              <w:spacing w:after="0" w:line="155" w:lineRule="exact"/>
              <w:rPr>
                <w:sz w:val="20"/>
                <w:szCs w:val="20"/>
                <w:color w:val="auto"/>
              </w:rPr>
            </w:pPr>
            <w:r>
              <w:rPr>
                <w:rFonts w:ascii="Arial" w:cs="Arial" w:eastAsia="Arial" w:hAnsi="Arial"/>
                <w:sz w:val="14"/>
                <w:szCs w:val="14"/>
                <w:b w:val="1"/>
                <w:bCs w:val="1"/>
                <w:color w:val="auto"/>
                <w:w w:val="97"/>
              </w:rPr>
              <w:t>AMOUNT</w:t>
            </w:r>
          </w:p>
        </w:tc>
        <w:tc>
          <w:tcPr>
            <w:tcW w:w="7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PERCENT</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PER SHARE</w:t>
            </w:r>
          </w:p>
        </w:tc>
      </w:tr>
      <w:tr>
        <w:trPr>
          <w:trHeight w:val="183"/>
        </w:trPr>
        <w:tc>
          <w:tcPr>
            <w:tcW w:w="52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Existing stockholders before this offering</w:t>
            </w: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w w:val="79"/>
              </w:rPr>
              <w:t>%</w:t>
            </w: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w w:val="79"/>
              </w:rPr>
              <w:t>%</w:t>
            </w: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485"/>
              <w:spacing w:after="0" w:line="183" w:lineRule="exact"/>
              <w:rPr>
                <w:sz w:val="20"/>
                <w:szCs w:val="20"/>
                <w:color w:val="auto"/>
              </w:rPr>
            </w:pPr>
            <w:r>
              <w:rPr>
                <w:rFonts w:ascii="Arial" w:cs="Arial" w:eastAsia="Arial" w:hAnsi="Arial"/>
                <w:sz w:val="17"/>
                <w:szCs w:val="17"/>
                <w:color w:val="auto"/>
                <w:w w:val="84"/>
              </w:rPr>
              <w:t>$</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528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66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485"/>
              <w:spacing w:after="0" w:line="189" w:lineRule="exact"/>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52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w:t>
            </w: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100%</w:t>
            </w:r>
          </w:p>
        </w:tc>
        <w:tc>
          <w:tcPr>
            <w:tcW w:w="400" w:type="dxa"/>
            <w:vAlign w:val="bottom"/>
            <w:gridSpan w:val="2"/>
            <w:shd w:val="clear" w:color="auto" w:fill="CCEEFF"/>
          </w:tcPr>
          <w:p>
            <w:pPr>
              <w:jc w:val="right"/>
              <w:ind w:right="27"/>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88"/>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95"/>
              <w:spacing w:after="0" w:line="189" w:lineRule="exact"/>
              <w:rPr>
                <w:sz w:val="20"/>
                <w:szCs w:val="20"/>
                <w:color w:val="auto"/>
              </w:rPr>
            </w:pPr>
            <w:r>
              <w:rPr>
                <w:rFonts w:ascii="Arial" w:cs="Arial" w:eastAsia="Arial" w:hAnsi="Arial"/>
                <w:sz w:val="17"/>
                <w:szCs w:val="17"/>
                <w:color w:val="auto"/>
                <w:w w:val="96"/>
              </w:rPr>
              <w:t>100%</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5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00" w:type="dxa"/>
            <w:vAlign w:val="bottom"/>
            <w:tcBorders>
              <w:bottom w:val="single" w:sz="8" w:color="auto"/>
            </w:tcBorders>
            <w:gridSpan w:val="3"/>
          </w:tcPr>
          <w:p>
            <w:pPr>
              <w:spacing w:after="0"/>
              <w:rPr>
                <w:sz w:val="18"/>
                <w:szCs w:val="18"/>
                <w:color w:val="auto"/>
              </w:rPr>
            </w:pPr>
          </w:p>
        </w:tc>
        <w:tc>
          <w:tcPr>
            <w:tcW w:w="4360" w:type="dxa"/>
            <w:vAlign w:val="bottom"/>
            <w:tcBorders>
              <w:bottom w:val="single" w:sz="8" w:color="auto"/>
            </w:tcBorders>
            <w:gridSpan w:val="11"/>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38"/>
        </w:trPr>
        <w:tc>
          <w:tcPr>
            <w:tcW w:w="6400" w:type="dxa"/>
            <w:vAlign w:val="bottom"/>
            <w:gridSpan w:val="3"/>
          </w:tcPr>
          <w:p>
            <w:pPr>
              <w:spacing w:after="0"/>
              <w:rPr>
                <w:sz w:val="20"/>
                <w:szCs w:val="20"/>
                <w:color w:val="auto"/>
              </w:rPr>
            </w:pPr>
            <w:r>
              <w:rPr>
                <w:rFonts w:ascii="Arial" w:cs="Arial" w:eastAsia="Arial" w:hAnsi="Arial"/>
                <w:sz w:val="17"/>
                <w:szCs w:val="17"/>
                <w:color w:val="auto"/>
              </w:rPr>
              <w:t>The table above assumes no exercise of the underwriters’ option to purchase</w:t>
            </w:r>
          </w:p>
        </w:tc>
        <w:tc>
          <w:tcPr>
            <w:tcW w:w="4360" w:type="dxa"/>
            <w:vAlign w:val="bottom"/>
            <w:gridSpan w:val="11"/>
          </w:tcPr>
          <w:p>
            <w:pPr>
              <w:jc w:val="center"/>
              <w:ind w:left="18"/>
              <w:spacing w:after="0"/>
              <w:rPr>
                <w:sz w:val="20"/>
                <w:szCs w:val="20"/>
                <w:color w:val="auto"/>
              </w:rPr>
            </w:pPr>
            <w:r>
              <w:rPr>
                <w:rFonts w:ascii="Arial" w:cs="Arial" w:eastAsia="Arial" w:hAnsi="Arial"/>
                <w:sz w:val="17"/>
                <w:szCs w:val="17"/>
                <w:color w:val="auto"/>
              </w:rPr>
              <w:t>additional shares in this offering. If the underwriters’</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10760" w:type="dxa"/>
            <w:vAlign w:val="bottom"/>
            <w:gridSpan w:val="14"/>
          </w:tcPr>
          <w:p>
            <w:pPr>
              <w:spacing w:after="0" w:line="189" w:lineRule="exact"/>
              <w:rPr>
                <w:sz w:val="20"/>
                <w:szCs w:val="20"/>
                <w:color w:val="auto"/>
              </w:rPr>
            </w:pPr>
            <w:r>
              <w:rPr>
                <w:rFonts w:ascii="Arial" w:cs="Arial" w:eastAsia="Arial" w:hAnsi="Arial"/>
                <w:sz w:val="17"/>
                <w:szCs w:val="17"/>
                <w:color w:val="auto"/>
              </w:rPr>
              <w:t>option to purchase additional shares is exercised in full, the number of shares of our common stock held by existing stockholders would be</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0760" w:type="dxa"/>
            <w:vAlign w:val="bottom"/>
            <w:gridSpan w:val="14"/>
          </w:tcPr>
          <w:p>
            <w:pPr>
              <w:spacing w:after="0" w:line="189" w:lineRule="exact"/>
              <w:rPr>
                <w:sz w:val="20"/>
                <w:szCs w:val="20"/>
                <w:color w:val="auto"/>
              </w:rPr>
            </w:pPr>
            <w:r>
              <w:rPr>
                <w:rFonts w:ascii="Arial" w:cs="Arial" w:eastAsia="Arial" w:hAnsi="Arial"/>
                <w:sz w:val="17"/>
                <w:szCs w:val="17"/>
                <w:color w:val="auto"/>
              </w:rPr>
              <w:t>reduced to   % of the total number of shares of our common stock outstanding after this offering, and the number of shares of common stock</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5"/>
        </w:trPr>
        <w:tc>
          <w:tcPr>
            <w:tcW w:w="10760" w:type="dxa"/>
            <w:vAlign w:val="bottom"/>
            <w:gridSpan w:val="14"/>
          </w:tcPr>
          <w:p>
            <w:pPr>
              <w:spacing w:after="0"/>
              <w:rPr>
                <w:sz w:val="20"/>
                <w:szCs w:val="20"/>
                <w:color w:val="auto"/>
              </w:rPr>
            </w:pPr>
            <w:r>
              <w:rPr>
                <w:rFonts w:ascii="Arial" w:cs="Arial" w:eastAsia="Arial" w:hAnsi="Arial"/>
                <w:sz w:val="17"/>
                <w:szCs w:val="17"/>
                <w:color w:val="auto"/>
              </w:rPr>
              <w:t>held by new investors participating in the offering would be increased to   % of the total number of shares outstanding after this offering.</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5"/>
        </w:trPr>
        <w:tc>
          <w:tcPr>
            <w:tcW w:w="6400" w:type="dxa"/>
            <w:vAlign w:val="bottom"/>
            <w:gridSpan w:val="3"/>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620" w:type="dxa"/>
            <w:vAlign w:val="bottom"/>
            <w:gridSpan w:val="13"/>
          </w:tcPr>
          <w:p>
            <w:pPr>
              <w:ind w:left="420"/>
              <w:spacing w:after="0"/>
              <w:rPr>
                <w:sz w:val="20"/>
                <w:szCs w:val="20"/>
                <w:color w:val="auto"/>
              </w:rPr>
            </w:pPr>
            <w:r>
              <w:rPr>
                <w:rFonts w:ascii="Arial" w:cs="Arial" w:eastAsia="Arial" w:hAnsi="Arial"/>
                <w:sz w:val="17"/>
                <w:szCs w:val="17"/>
                <w:color w:val="auto"/>
              </w:rPr>
              <w:t>per share, which is the midpoint of the price range set</w:t>
            </w:r>
          </w:p>
        </w:tc>
      </w:tr>
      <w:tr>
        <w:trPr>
          <w:trHeight w:val="189"/>
        </w:trPr>
        <w:tc>
          <w:tcPr>
            <w:tcW w:w="10760" w:type="dxa"/>
            <w:vAlign w:val="bottom"/>
            <w:gridSpan w:val="14"/>
          </w:tcPr>
          <w:p>
            <w:pPr>
              <w:spacing w:after="0" w:line="189" w:lineRule="exact"/>
              <w:rPr>
                <w:sz w:val="20"/>
                <w:szCs w:val="20"/>
                <w:color w:val="auto"/>
              </w:rPr>
            </w:pPr>
            <w:r>
              <w:rPr>
                <w:rFonts w:ascii="Arial" w:cs="Arial" w:eastAsia="Arial" w:hAnsi="Arial"/>
                <w:sz w:val="17"/>
                <w:szCs w:val="17"/>
                <w:color w:val="auto"/>
              </w:rPr>
              <w:t>forth on the cover page of this prospectus, would increase or decrease, as applicable, the total consideration paid by new investors by $</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0760" w:type="dxa"/>
            <w:vAlign w:val="bottom"/>
            <w:gridSpan w:val="14"/>
          </w:tcPr>
          <w:p>
            <w:pPr>
              <w:spacing w:after="0" w:line="189" w:lineRule="exact"/>
              <w:rPr>
                <w:sz w:val="20"/>
                <w:szCs w:val="20"/>
                <w:color w:val="auto"/>
              </w:rPr>
            </w:pPr>
            <w:r>
              <w:rPr>
                <w:rFonts w:ascii="Arial" w:cs="Arial" w:eastAsia="Arial" w:hAnsi="Arial"/>
                <w:sz w:val="17"/>
                <w:szCs w:val="17"/>
                <w:color w:val="auto"/>
              </w:rPr>
              <w:t>million, assuming that the number of shares offered by us, as set forth on the cover page of this prospectus, remains the same and after</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0760" w:type="dxa"/>
            <w:vAlign w:val="bottom"/>
            <w:gridSpan w:val="14"/>
          </w:tcPr>
          <w:p>
            <w:pPr>
              <w:spacing w:after="0" w:line="189" w:lineRule="exact"/>
              <w:rPr>
                <w:sz w:val="20"/>
                <w:szCs w:val="20"/>
                <w:color w:val="auto"/>
              </w:rPr>
            </w:pPr>
            <w:r>
              <w:rPr>
                <w:rFonts w:ascii="Arial" w:cs="Arial" w:eastAsia="Arial" w:hAnsi="Arial"/>
                <w:sz w:val="17"/>
                <w:szCs w:val="17"/>
                <w:color w:val="auto"/>
              </w:rPr>
              <w:t>deducting the underwriting discounts and commissions payable by us. Similarly, an increase or decrease of 1.0 million shares in the number of</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8820" w:type="dxa"/>
            <w:vAlign w:val="bottom"/>
            <w:gridSpan w:val="9"/>
          </w:tcPr>
          <w:p>
            <w:pPr>
              <w:spacing w:after="0" w:line="189" w:lineRule="exact"/>
              <w:rPr>
                <w:sz w:val="20"/>
                <w:szCs w:val="20"/>
                <w:color w:val="auto"/>
              </w:rPr>
            </w:pPr>
            <w:r>
              <w:rPr>
                <w:rFonts w:ascii="Arial" w:cs="Arial" w:eastAsia="Arial" w:hAnsi="Arial"/>
                <w:sz w:val="17"/>
                <w:szCs w:val="17"/>
                <w:color w:val="auto"/>
              </w:rPr>
              <w:t>shares offered by us would increase or decrease, as applicable, the total consideration paid by new investors by $</w:t>
            </w:r>
          </w:p>
        </w:tc>
        <w:tc>
          <w:tcPr>
            <w:tcW w:w="400" w:type="dxa"/>
            <w:vAlign w:val="bottom"/>
          </w:tcPr>
          <w:p>
            <w:pPr>
              <w:spacing w:after="0"/>
              <w:rPr>
                <w:sz w:val="16"/>
                <w:szCs w:val="16"/>
                <w:color w:val="auto"/>
              </w:rPr>
            </w:pPr>
          </w:p>
        </w:tc>
        <w:tc>
          <w:tcPr>
            <w:tcW w:w="1800" w:type="dxa"/>
            <w:vAlign w:val="bottom"/>
            <w:gridSpan w:val="6"/>
          </w:tcPr>
          <w:p>
            <w:pPr>
              <w:jc w:val="right"/>
              <w:ind w:right="60"/>
              <w:spacing w:after="0" w:line="189" w:lineRule="exact"/>
              <w:rPr>
                <w:sz w:val="20"/>
                <w:szCs w:val="20"/>
                <w:color w:val="auto"/>
              </w:rPr>
            </w:pPr>
            <w:r>
              <w:rPr>
                <w:rFonts w:ascii="Arial" w:cs="Arial" w:eastAsia="Arial" w:hAnsi="Arial"/>
                <w:sz w:val="17"/>
                <w:szCs w:val="17"/>
                <w:color w:val="auto"/>
              </w:rPr>
              <w:t>million, assuming no</w:t>
            </w:r>
          </w:p>
        </w:tc>
      </w:tr>
      <w:tr>
        <w:trPr>
          <w:trHeight w:val="205"/>
        </w:trPr>
        <w:tc>
          <w:tcPr>
            <w:tcW w:w="9940" w:type="dxa"/>
            <w:vAlign w:val="bottom"/>
            <w:gridSpan w:val="12"/>
          </w:tcPr>
          <w:p>
            <w:pPr>
              <w:spacing w:after="0"/>
              <w:rPr>
                <w:sz w:val="20"/>
                <w:szCs w:val="20"/>
                <w:color w:val="auto"/>
              </w:rPr>
            </w:pPr>
            <w:r>
              <w:rPr>
                <w:rFonts w:ascii="Arial" w:cs="Arial" w:eastAsia="Arial" w:hAnsi="Arial"/>
                <w:sz w:val="17"/>
                <w:szCs w:val="17"/>
                <w:color w:val="auto"/>
              </w:rPr>
              <w:t>change in the assumed initial public offering price and after deducting the underwriting discounts and commissions payable by us.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35"/>
        </w:trPr>
        <w:tc>
          <w:tcPr>
            <w:tcW w:w="8820" w:type="dxa"/>
            <w:vAlign w:val="bottom"/>
            <w:gridSpan w:val="9"/>
          </w:tcPr>
          <w:p>
            <w:pPr>
              <w:spacing w:after="0"/>
              <w:rPr>
                <w:sz w:val="20"/>
                <w:szCs w:val="20"/>
                <w:color w:val="auto"/>
              </w:rPr>
            </w:pPr>
            <w:r>
              <w:rPr>
                <w:rFonts w:ascii="Arial" w:cs="Arial" w:eastAsia="Arial" w:hAnsi="Arial"/>
                <w:sz w:val="17"/>
                <w:szCs w:val="17"/>
                <w:color w:val="auto"/>
              </w:rPr>
              <w:t>The foregoing tables and calculations (other than the historical net tangible book value calculations) are based on</w:t>
            </w:r>
          </w:p>
        </w:tc>
        <w:tc>
          <w:tcPr>
            <w:tcW w:w="400" w:type="dxa"/>
            <w:vAlign w:val="bottom"/>
          </w:tcPr>
          <w:p>
            <w:pPr>
              <w:spacing w:after="0"/>
              <w:rPr>
                <w:sz w:val="24"/>
                <w:szCs w:val="24"/>
                <w:color w:val="auto"/>
              </w:rPr>
            </w:pPr>
          </w:p>
        </w:tc>
        <w:tc>
          <w:tcPr>
            <w:tcW w:w="1540" w:type="dxa"/>
            <w:vAlign w:val="bottom"/>
            <w:gridSpan w:val="4"/>
          </w:tcPr>
          <w:p>
            <w:pPr>
              <w:jc w:val="right"/>
              <w:ind w:right="285"/>
              <w:spacing w:after="0"/>
              <w:rPr>
                <w:sz w:val="20"/>
                <w:szCs w:val="20"/>
                <w:color w:val="auto"/>
              </w:rPr>
            </w:pPr>
            <w:r>
              <w:rPr>
                <w:rFonts w:ascii="Arial" w:cs="Arial" w:eastAsia="Arial" w:hAnsi="Arial"/>
                <w:sz w:val="17"/>
                <w:szCs w:val="17"/>
                <w:color w:val="auto"/>
              </w:rPr>
              <w:t>shares of our</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5280" w:type="dxa"/>
            <w:vAlign w:val="bottom"/>
          </w:tcPr>
          <w:p>
            <w:pPr>
              <w:spacing w:after="0" w:line="189" w:lineRule="exact"/>
              <w:rPr>
                <w:sz w:val="20"/>
                <w:szCs w:val="20"/>
                <w:color w:val="auto"/>
              </w:rPr>
            </w:pPr>
            <w:r>
              <w:rPr>
                <w:rFonts w:ascii="Arial" w:cs="Arial" w:eastAsia="Arial" w:hAnsi="Arial"/>
                <w:sz w:val="17"/>
                <w:szCs w:val="17"/>
                <w:color w:val="auto"/>
              </w:rPr>
              <w:t>common stock outstanding as of March 31, 2020 (including</w:t>
            </w:r>
          </w:p>
        </w:tc>
        <w:tc>
          <w:tcPr>
            <w:tcW w:w="5740" w:type="dxa"/>
            <w:vAlign w:val="bottom"/>
            <w:gridSpan w:val="15"/>
          </w:tcPr>
          <w:p>
            <w:pPr>
              <w:ind w:left="40"/>
              <w:spacing w:after="0" w:line="189" w:lineRule="exact"/>
              <w:rPr>
                <w:sz w:val="20"/>
                <w:szCs w:val="20"/>
                <w:color w:val="auto"/>
              </w:rPr>
            </w:pPr>
            <w:r>
              <w:rPr>
                <w:rFonts w:ascii="Arial" w:cs="Arial" w:eastAsia="Arial" w:hAnsi="Arial"/>
                <w:sz w:val="17"/>
                <w:szCs w:val="17"/>
                <w:color w:val="auto"/>
              </w:rPr>
              <w:t>shares of common stock that are subject to a right of repurchase and our</w:t>
            </w:r>
          </w:p>
        </w:tc>
      </w:tr>
      <w:tr>
        <w:trPr>
          <w:trHeight w:val="205"/>
        </w:trPr>
        <w:tc>
          <w:tcPr>
            <w:tcW w:w="5280" w:type="dxa"/>
            <w:vAlign w:val="bottom"/>
          </w:tcPr>
          <w:p>
            <w:pPr>
              <w:spacing w:after="0"/>
              <w:rPr>
                <w:sz w:val="20"/>
                <w:szCs w:val="20"/>
                <w:color w:val="auto"/>
              </w:rPr>
            </w:pPr>
            <w:r>
              <w:rPr>
                <w:rFonts w:ascii="Arial" w:cs="Arial" w:eastAsia="Arial" w:hAnsi="Arial"/>
                <w:sz w:val="17"/>
                <w:szCs w:val="17"/>
                <w:color w:val="auto"/>
              </w:rPr>
              <w:t>convertible preferred stock on an as-converted basis), and excludes:</w:t>
            </w: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187" w:lineRule="exact"/>
        <w:rPr>
          <w:sz w:val="20"/>
          <w:szCs w:val="20"/>
          <w:color w:val="auto"/>
        </w:rPr>
      </w:pPr>
    </w:p>
    <w:p>
      <w:pPr>
        <w:ind w:left="980" w:right="46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21,063,923 shares of common stock issuable upon exercise of options outstanding as of March 31, 2020, at a weighted-average exercise price of $0.47 per share;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4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4,150,000 shares of common stock issuable upon exercise of options granted after March 31, 2020, at a weighted-average exercise price of $0.75 per share;</w:t>
      </w:r>
    </w:p>
    <w:p>
      <w:pPr>
        <w:spacing w:after="0" w:line="22"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403,348 shares of our convertible preferred stock that were outstanding as of March 31, 2020 that will be converted into warrants to purchase an aggregate of 403,348 shares of our common stock, with an exercise price of $1.4432 per share; and</w:t>
      </w:r>
    </w:p>
    <w:p>
      <w:pPr>
        <w:spacing w:after="0" w:line="25"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1,277,036 shares of common stock reserved for issuance pursuant to future awards under our 2020 Plan, including the amendment thereto that will become effective in connection with this offering, and any additional shares that become available under our 2020 Plan pursuant to provisions thereof that automatically increase the share reserve under the plan each year.</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To the extent that any outstanding options are exercised or new options are issued under the equity benefit plans, the warrants described above are exercised or we issue additional shares of common stock or convertible securities in the future, there will be further dilution to investors participating in this offering.</w:t>
      </w:r>
    </w:p>
    <w:p>
      <w:pPr>
        <w:spacing w:after="0" w:line="14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980"/>
          </w:cols>
          <w:pgMar w:left="320" w:top="459" w:right="5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36" w:lineRule="exact"/>
        <w:rPr>
          <w:sz w:val="20"/>
          <w:szCs w:val="20"/>
          <w:color w:val="auto"/>
        </w:rPr>
      </w:pPr>
    </w:p>
    <w:p>
      <w:pPr>
        <w:ind w:left="120" w:right="100"/>
        <w:spacing w:after="0" w:line="233" w:lineRule="auto"/>
        <w:rPr>
          <w:sz w:val="20"/>
          <w:szCs w:val="20"/>
          <w:color w:val="auto"/>
        </w:rPr>
      </w:pPr>
      <w:r>
        <w:rPr>
          <w:rFonts w:ascii="Arial" w:cs="Arial" w:eastAsia="Arial" w:hAnsi="Arial"/>
          <w:sz w:val="17"/>
          <w:szCs w:val="17"/>
          <w:color w:val="auto"/>
        </w:rPr>
        <w:t>The following tables set forth our selected consolidated financial data for the periods and as of the dates indicated. We derived our consolidated statements of operations and comprehensive loss data for the years ended December 31, 2018 and December 31, 2019, and our consolidated balance sheet data as of December 31, 2018 and December 31, 2019, from our audited consolidated financial statements included elsewhere in this prospectus. The consolidated statements of operations and comprehensive loss data for the three months ended March 31, 2019 and March 31, 2020, and the consolidated balance sheet data as of March 31, 2020 have been derived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consolidated financial data. Our historical results are not necessarily indicative of the results that may be expected in the future. You should read the following selected consolidated financial data in conjunction with our consolidated financial statements and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6"/>
          </w:tcPr>
          <w:p>
            <w:pPr>
              <w:jc w:val="right"/>
              <w:ind w:right="14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6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 Comprehensive</w:t>
            </w:r>
          </w:p>
        </w:tc>
        <w:tc>
          <w:tcPr>
            <w:tcW w:w="100" w:type="dxa"/>
            <w:vAlign w:val="bottom"/>
          </w:tcPr>
          <w:p>
            <w:pPr>
              <w:spacing w:after="0"/>
              <w:rPr>
                <w:sz w:val="15"/>
                <w:szCs w:val="15"/>
                <w:color w:val="auto"/>
              </w:rPr>
            </w:pPr>
          </w:p>
        </w:tc>
        <w:tc>
          <w:tcPr>
            <w:tcW w:w="3060" w:type="dxa"/>
            <w:vAlign w:val="bottom"/>
            <w:gridSpan w:val="6"/>
          </w:tcPr>
          <w:p>
            <w:pPr>
              <w:jc w:val="right"/>
              <w:ind w:right="1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66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10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20"/>
                <w:szCs w:val="20"/>
                <w:color w:val="auto"/>
              </w:rPr>
            </w:pPr>
            <w:r>
              <w:rPr>
                <w:rFonts w:ascii="Arial" w:cs="Arial" w:eastAsia="Arial" w:hAnsi="Arial"/>
                <w:sz w:val="14"/>
                <w:szCs w:val="14"/>
                <w:b w:val="1"/>
                <w:bCs w:val="1"/>
                <w:color w:val="auto"/>
              </w:rPr>
              <w:t>Loss Data:</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7"/>
          </w:tcPr>
          <w:p>
            <w:pPr>
              <w:jc w:val="right"/>
              <w:ind w:right="4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2,067</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4,796</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1,032</w:t>
            </w:r>
          </w:p>
        </w:tc>
        <w:tc>
          <w:tcPr>
            <w:tcW w:w="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510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11,270</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3,733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3,828</w:t>
            </w:r>
          </w:p>
        </w:tc>
        <w:tc>
          <w:tcPr>
            <w:tcW w:w="0" w:type="dxa"/>
            <w:vAlign w:val="bottom"/>
          </w:tcPr>
          <w:p>
            <w:pPr>
              <w:spacing w:after="0"/>
              <w:rPr>
                <w:sz w:val="1"/>
                <w:szCs w:val="1"/>
                <w:color w:val="auto"/>
              </w:rPr>
            </w:pPr>
          </w:p>
        </w:tc>
      </w:tr>
      <w:tr>
        <w:trPr>
          <w:trHeight w:val="189"/>
        </w:trPr>
        <w:tc>
          <w:tcPr>
            <w:tcW w:w="510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2,601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146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588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938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15,751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23,979</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7"/>
                <w:szCs w:val="17"/>
                <w:color w:val="auto"/>
              </w:rPr>
              <w:t>5,259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(13,684)</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(19,183)</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(4,227)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(13,686)</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(19,209)</w:t>
            </w:r>
          </w:p>
        </w:tc>
        <w:tc>
          <w:tcPr>
            <w:tcW w:w="100" w:type="dxa"/>
            <w:vAlign w:val="bottom"/>
          </w:tcPr>
          <w:p>
            <w:pPr>
              <w:spacing w:after="0"/>
              <w:rPr>
                <w:sz w:val="17"/>
                <w:szCs w:val="17"/>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(4,229)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(45)</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(9)</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(13,731)</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(19,243)</w:t>
            </w:r>
          </w:p>
        </w:tc>
        <w:tc>
          <w:tcPr>
            <w:tcW w:w="100" w:type="dxa"/>
            <w:vAlign w:val="bottom"/>
          </w:tcPr>
          <w:p>
            <w:pPr>
              <w:spacing w:after="0"/>
              <w:rPr>
                <w:sz w:val="17"/>
                <w:szCs w:val="17"/>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(4,238)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(3,671)</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(4,028)</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(905)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(17,402)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560"/>
              <w:spacing w:after="0"/>
              <w:rPr>
                <w:sz w:val="20"/>
                <w:szCs w:val="20"/>
                <w:color w:val="auto"/>
              </w:rPr>
            </w:pPr>
            <w:r>
              <w:rPr>
                <w:rFonts w:ascii="Arial" w:cs="Arial" w:eastAsia="Arial" w:hAnsi="Arial"/>
                <w:sz w:val="17"/>
                <w:szCs w:val="17"/>
                <w:color w:val="auto"/>
              </w:rPr>
              <w:t>(23,271)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tcPr>
          <w:p>
            <w:pPr>
              <w:jc w:val="right"/>
              <w:ind w:right="540"/>
              <w:spacing w:after="0"/>
              <w:rPr>
                <w:sz w:val="20"/>
                <w:szCs w:val="20"/>
                <w:color w:val="auto"/>
              </w:rPr>
            </w:pPr>
            <w:r>
              <w:rPr>
                <w:rFonts w:ascii="Arial" w:cs="Arial" w:eastAsia="Arial" w:hAnsi="Arial"/>
                <w:sz w:val="17"/>
                <w:szCs w:val="17"/>
                <w:color w:val="auto"/>
              </w:rPr>
              <w:t>(5,143)</w:t>
            </w: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 shareholders,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(0.26)</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net loss per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40"/>
              <w:spacing w:after="0" w:line="189" w:lineRule="exact"/>
              <w:rPr>
                <w:sz w:val="20"/>
                <w:szCs w:val="20"/>
                <w:color w:val="auto"/>
              </w:rPr>
            </w:pPr>
            <w:r>
              <w:rPr>
                <w:rFonts w:ascii="Arial" w:cs="Arial" w:eastAsia="Arial" w:hAnsi="Arial"/>
                <w:sz w:val="17"/>
                <w:szCs w:val="17"/>
                <w:color w:val="auto"/>
              </w:rPr>
              <w:t>share attributable to ordinary shareholders, basic and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00" w:type="dxa"/>
            <w:vAlign w:val="bottom"/>
          </w:tcPr>
          <w:p>
            <w:pPr>
              <w:ind w:left="240"/>
              <w:spacing w:after="0"/>
              <w:rPr>
                <w:sz w:val="20"/>
                <w:szCs w:val="20"/>
                <w:color w:val="auto"/>
              </w:rPr>
            </w:pPr>
            <w:r>
              <w:rPr>
                <w:rFonts w:ascii="Arial" w:cs="Arial" w:eastAsia="Arial" w:hAnsi="Arial"/>
                <w:sz w:val="17"/>
                <w:szCs w:val="17"/>
                <w:color w:val="auto"/>
              </w:rPr>
              <w:t>diluted</w:t>
            </w:r>
          </w:p>
        </w:tc>
        <w:tc>
          <w:tcPr>
            <w:tcW w:w="100" w:type="dxa"/>
            <w:vAlign w:val="bottom"/>
          </w:tcPr>
          <w:p>
            <w:pPr>
              <w:spacing w:after="0"/>
              <w:rPr>
                <w:sz w:val="16"/>
                <w:szCs w:val="16"/>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18,102,402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7"/>
                <w:szCs w:val="17"/>
                <w:color w:val="auto"/>
              </w:rPr>
              <w:t>20,245,115</w:t>
            </w:r>
          </w:p>
        </w:tc>
        <w:tc>
          <w:tcPr>
            <w:tcW w:w="100" w:type="dxa"/>
            <w:vAlign w:val="bottom"/>
          </w:tcPr>
          <w:p>
            <w:pPr>
              <w:spacing w:after="0"/>
              <w:rPr>
                <w:sz w:val="16"/>
                <w:szCs w:val="16"/>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7"/>
                <w:szCs w:val="17"/>
                <w:color w:val="auto"/>
              </w:rPr>
              <w:t>19,749,549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20,684,025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Pro forma net loss attributable to ordinary shareholders,</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1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basic and diluted (unaudited)</w:t>
            </w: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pro forma net</w:t>
            </w: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00" w:type="dxa"/>
            <w:vAlign w:val="bottom"/>
          </w:tcPr>
          <w:p>
            <w:pPr>
              <w:ind w:left="240"/>
              <w:spacing w:after="0" w:line="189" w:lineRule="exact"/>
              <w:rPr>
                <w:sz w:val="20"/>
                <w:szCs w:val="20"/>
                <w:color w:val="auto"/>
              </w:rPr>
            </w:pPr>
            <w:r>
              <w:rPr>
                <w:rFonts w:ascii="Arial" w:cs="Arial" w:eastAsia="Arial" w:hAnsi="Arial"/>
                <w:sz w:val="17"/>
                <w:szCs w:val="17"/>
                <w:color w:val="auto"/>
              </w:rPr>
              <w:t>loss per share attributable to ordinary shareholders, basic</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vMerge w:val="restart"/>
          </w:tcPr>
          <w:p>
            <w:pPr>
              <w:jc w:val="right"/>
              <w:ind w:right="600"/>
              <w:spacing w:after="0"/>
              <w:rPr>
                <w:sz w:val="20"/>
                <w:szCs w:val="20"/>
                <w:color w:val="auto"/>
              </w:rPr>
            </w:pPr>
            <w:r>
              <w:rPr>
                <w:rFonts w:ascii="Arial" w:cs="Arial" w:eastAsia="Arial" w:hAnsi="Arial"/>
                <w:sz w:val="17"/>
                <w:szCs w:val="17"/>
                <w:color w:val="auto"/>
              </w:rPr>
              <w:t>94,274,058</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gridSpan w:val="4"/>
            <w:vMerge w:val="restart"/>
          </w:tcPr>
          <w:p>
            <w:pPr>
              <w:jc w:val="right"/>
              <w:ind w:right="120"/>
              <w:spacing w:after="0"/>
              <w:rPr>
                <w:sz w:val="20"/>
                <w:szCs w:val="20"/>
                <w:color w:val="auto"/>
              </w:rPr>
            </w:pPr>
            <w:r>
              <w:rPr>
                <w:rFonts w:ascii="Arial" w:cs="Arial" w:eastAsia="Arial" w:hAnsi="Arial"/>
                <w:sz w:val="17"/>
                <w:szCs w:val="17"/>
                <w:color w:val="auto"/>
              </w:rPr>
              <w:t>144,442,583</w:t>
            </w:r>
          </w:p>
        </w:tc>
        <w:tc>
          <w:tcPr>
            <w:tcW w:w="0" w:type="dxa"/>
            <w:vAlign w:val="bottom"/>
          </w:tcPr>
          <w:p>
            <w:pPr>
              <w:spacing w:after="0"/>
              <w:rPr>
                <w:sz w:val="1"/>
                <w:szCs w:val="1"/>
                <w:color w:val="auto"/>
              </w:rPr>
            </w:pPr>
          </w:p>
        </w:tc>
      </w:tr>
      <w:tr>
        <w:trPr>
          <w:trHeight w:val="10"/>
        </w:trPr>
        <w:tc>
          <w:tcPr>
            <w:tcW w:w="5100" w:type="dxa"/>
            <w:vAlign w:val="bottom"/>
          </w:tcPr>
          <w:p>
            <w:pPr>
              <w:ind w:left="240"/>
              <w:spacing w:after="0" w:line="10" w:lineRule="exact"/>
              <w:rPr>
                <w:sz w:val="20"/>
                <w:szCs w:val="20"/>
                <w:color w:val="auto"/>
              </w:rPr>
            </w:pPr>
            <w:r>
              <w:rPr>
                <w:rFonts w:ascii="Arial" w:cs="Arial" w:eastAsia="Arial" w:hAnsi="Arial"/>
                <w:sz w:val="1"/>
                <w:szCs w:val="1"/>
                <w:color w:val="auto"/>
              </w:rPr>
              <w:t>and diluted (unaudited)</w:t>
            </w: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100" w:type="dxa"/>
            <w:vAlign w:val="bottom"/>
          </w:tcPr>
          <w:p>
            <w:pPr>
              <w:ind w:left="200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540" w:right="100" w:hanging="289"/>
        <w:spacing w:after="0" w:line="199" w:lineRule="auto"/>
        <w:tabs>
          <w:tab w:leader="none" w:pos="540" w:val="left"/>
        </w:tabs>
        <w:numPr>
          <w:ilvl w:val="0"/>
          <w:numId w:val="51"/>
        </w:numPr>
        <w:rPr>
          <w:rFonts w:ascii="Arial" w:cs="Arial" w:eastAsia="Arial" w:hAnsi="Arial"/>
          <w:sz w:val="24"/>
          <w:szCs w:val="24"/>
          <w:color w:val="auto"/>
          <w:vertAlign w:val="superscript"/>
        </w:rPr>
      </w:pPr>
      <w:r>
        <w:rPr>
          <w:rFonts w:ascii="Arial" w:cs="Arial" w:eastAsia="Arial" w:hAnsi="Arial"/>
          <w:sz w:val="14"/>
          <w:szCs w:val="14"/>
          <w:color w:val="auto"/>
        </w:rPr>
        <w:t>See Note 12 to our audited consolidated financial statements and Note 8 to our unaudited interim condensed consolidated financial statements included elsewhere in this prospectus for an explanation of the method used to calculate historical and pro forma basic and diluted net loss per share, and the weighted-average number of shares used in the computation of the per share amounts and unaudited pro forma information.</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213995</wp:posOffset>
            </wp:positionV>
            <wp:extent cx="67119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3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8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2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   8,262</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9,017</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   105,035</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Working capital</w:t>
            </w:r>
            <w:r>
              <w:rPr>
                <w:rFonts w:ascii="Arial" w:cs="Arial" w:eastAsia="Arial" w:hAnsi="Arial"/>
                <w:sz w:val="18"/>
                <w:szCs w:val="18"/>
                <w:color w:val="auto"/>
                <w:vertAlign w:val="superscript"/>
              </w:rPr>
              <w:t>(1)</w:t>
            </w:r>
          </w:p>
        </w:tc>
        <w:tc>
          <w:tcPr>
            <w:tcW w:w="3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8,335</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4,825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103,423</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Total assets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11,164</w:t>
            </w:r>
          </w:p>
        </w:tc>
        <w:tc>
          <w:tcPr>
            <w:tcW w:w="4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10,676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108,399</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3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2,009</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10,952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9,282</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Convertible preferred shares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60,933</w:t>
            </w:r>
          </w:p>
        </w:tc>
        <w:tc>
          <w:tcPr>
            <w:tcW w:w="4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70,363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34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(53,539)</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(72,782)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(78,236)</w:t>
            </w:r>
          </w:p>
        </w:tc>
        <w:tc>
          <w:tcPr>
            <w:tcW w:w="0" w:type="dxa"/>
            <w:vAlign w:val="bottom"/>
          </w:tcPr>
          <w:p>
            <w:pPr>
              <w:spacing w:after="0"/>
              <w:rPr>
                <w:sz w:val="1"/>
                <w:szCs w:val="1"/>
                <w:color w:val="auto"/>
              </w:rPr>
            </w:pPr>
          </w:p>
        </w:tc>
      </w:tr>
      <w:tr>
        <w:trPr>
          <w:trHeight w:val="177"/>
        </w:trPr>
        <w:tc>
          <w:tcPr>
            <w:tcW w:w="4880" w:type="dxa"/>
            <w:vAlign w:val="bottom"/>
          </w:tcPr>
          <w:p>
            <w:pPr>
              <w:spacing w:after="0"/>
              <w:rPr>
                <w:sz w:val="20"/>
                <w:szCs w:val="20"/>
                <w:color w:val="auto"/>
              </w:rPr>
            </w:pPr>
            <w:r>
              <w:rPr>
                <w:rFonts w:ascii="Arial" w:cs="Arial" w:eastAsia="Arial" w:hAnsi="Arial"/>
                <w:sz w:val="14"/>
                <w:szCs w:val="14"/>
                <w:color w:val="auto"/>
              </w:rPr>
              <w:t>Total shareholders’ deficit</w:t>
            </w:r>
          </w:p>
        </w:tc>
        <w:tc>
          <w:tcPr>
            <w:tcW w:w="3440" w:type="dxa"/>
            <w:vAlign w:val="bottom"/>
            <w:gridSpan w:val="2"/>
          </w:tcPr>
          <w:p>
            <w:pPr>
              <w:jc w:val="right"/>
              <w:ind w:right="128"/>
              <w:spacing w:after="0"/>
              <w:rPr>
                <w:sz w:val="20"/>
                <w:szCs w:val="20"/>
                <w:color w:val="auto"/>
              </w:rPr>
            </w:pPr>
            <w:r>
              <w:rPr>
                <w:rFonts w:ascii="Arial" w:cs="Arial" w:eastAsia="Arial" w:hAnsi="Arial"/>
                <w:sz w:val="14"/>
                <w:szCs w:val="14"/>
                <w:color w:val="auto"/>
              </w:rPr>
              <w:t>(51,778)</w:t>
            </w:r>
          </w:p>
        </w:tc>
        <w:tc>
          <w:tcPr>
            <w:tcW w:w="40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(70,639)</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127635</wp:posOffset>
            </wp:positionV>
            <wp:extent cx="67119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361" w:lineRule="exact"/>
        <w:rPr>
          <w:sz w:val="20"/>
          <w:szCs w:val="20"/>
          <w:color w:val="auto"/>
        </w:rPr>
      </w:pPr>
    </w:p>
    <w:p>
      <w:pPr>
        <w:ind w:left="980" w:right="40" w:hanging="297"/>
        <w:spacing w:after="0" w:line="183" w:lineRule="auto"/>
        <w:tabs>
          <w:tab w:leader="none" w:pos="980" w:val="left"/>
        </w:tabs>
        <w:numPr>
          <w:ilvl w:val="0"/>
          <w:numId w:val="52"/>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9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the section titled “Selected Consolidated Financial Data” and our consolidated financial statements and related notes included elsewhere in this prospectus. Some of the information contained in this discussion and analysis or set forth elsewhere in this prospectus,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16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MDS and AML and to continue clinical development for the treatment of solid tumors.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 The information included herein are presented as that of ALX Oncology Holdings Inc., unless such information refers to a date prior to April 1, 2020, in which case it will reflect that of our predecessor company. Relatedly, our capitalization information will be presented as “preferred stock” and “common stock,” while capitalization information from a date prior to April 1, 2020 will be presented as “preferred shares” and “ordinary shares.”</w:t>
      </w:r>
    </w:p>
    <w:p>
      <w:pPr>
        <w:spacing w:after="0" w:line="148"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 From inception through March 31, 2020, we have raised an aggregate of $180.9 million to fund our operations, of which $175.1 million were net proceeds from sales of our convertible preferred shares and $5.8 million were net proceeds from borrowings under a term loan.</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have incurred net losses in each year since inception. Our net losses were $13.7 million and $19.2 million for the years ended December 31, 2018 and December 31, 2019, respectively, and $4.2 million and $5.5 million for the three months ended March 31, 2019 and March 31, 2020, respectively. As of December 31, 2018, December 31, 2019 and March 31, 2020, we had an accumulated deficit of $53.5 million, $72.8 million and $78.2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185" w:lineRule="exact"/>
        <w:rPr>
          <w:sz w:val="20"/>
          <w:szCs w:val="20"/>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advance ALX148 through multiple clinical trials in multiple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pursue regulatory approval of ALX148 in hematological malignancies and solid tumors;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continue our discovery and preclinical and clinical development efforts;</w:t>
      </w:r>
    </w:p>
    <w:p>
      <w:pPr>
        <w:spacing w:after="0" w:line="34" w:lineRule="exact"/>
        <w:rPr>
          <w:rFonts w:ascii="MS PGothic" w:cs="MS PGothic" w:eastAsia="MS PGothic" w:hAnsi="MS PGothic"/>
          <w:sz w:val="13"/>
          <w:szCs w:val="13"/>
          <w:color w:val="auto"/>
        </w:rPr>
      </w:pPr>
    </w:p>
    <w:p>
      <w:pPr>
        <w:ind w:left="980" w:right="88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manufacture supplies for our preclinical studies and clinical trials;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Related-Party Revenue</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To date, we have not generated any revenue from product sales, licenses or collaborations and do not expect to generate any revenue from the sale of products in the foreseeable future. We have recognized related-party revenue related to research and development services to Tollnine, Inc., or Tollnine, as further described in “—License and Collaboration Agreements—Related-Party Agreement” below.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the development of our lead product candidate, ALX148, which include:</w:t>
      </w:r>
    </w:p>
    <w:p>
      <w:pPr>
        <w:spacing w:after="0" w:line="185" w:lineRule="exact"/>
        <w:rPr>
          <w:sz w:val="20"/>
          <w:szCs w:val="20"/>
          <w:color w:val="auto"/>
        </w:rPr>
      </w:pPr>
    </w:p>
    <w:p>
      <w:pPr>
        <w:ind w:left="980" w:right="30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expenses incurred in connection with the preclinical and clinical development, including expenses incurred under agreements with CROs;</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employee-related expenses, including salaries, related benefits, travel and stock-based compensation expense for employees engaged in research and development functions;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expenses related to production of clinical materials, including fees paid to CMOs;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laboratory and vendor expenses related to the execution of preclinical studies and clinical trials; and</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facilities and other expenses, which include expenses for rent and maintenance of facilities, depreciation and amortization expense and other supplies.</w:t>
      </w:r>
    </w:p>
    <w:p>
      <w:pPr>
        <w:spacing w:after="0" w:line="144"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4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research and development expenses consist primarily of costs associated with the development of our lead product candidate ALX148 and include external costs, such as fees paid to consultants, central laboratories, 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ALX148.</w:t>
      </w:r>
    </w:p>
    <w:p>
      <w:pPr>
        <w:spacing w:after="0" w:line="156"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148"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 successful development of our current and future product candidates is highly uncertain. This is due to the numerous risks and uncertainties, including the following:</w:t>
      </w:r>
    </w:p>
    <w:p>
      <w:pPr>
        <w:spacing w:after="0" w:line="185" w:lineRule="exact"/>
        <w:rPr>
          <w:sz w:val="20"/>
          <w:szCs w:val="20"/>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successful completion of preclinical studies and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delays in regulators or institutional review boards authorizing us or our investigators to commence our clinical trials or in our ability to negotiate agreements with clinical trial sites or CROs;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the number and location of clinical sites included in the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raising additional funds necessary to complete clinical development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contracting with third-party manufacturers for clinical supplies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protecting and enforcing our rights in our intellectual property portfolio, including, if necessary, litigation;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maintaining a continued acceptable safety profile of the products following approval.</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1"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General and administrative expenses consist primarily of personnel-related expenses, facilities expenses, depreciation and amortization expenses and professional services expenses, including legal, human resources, audit, accounting and tax-related services. Personnel and related costs consist of salaries, benefits and stock-based compensation. Facilities costs consist of rent and maintenance of facilities.</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anticipate that our general and administrative expenses will increase as a result of increased headcount, expanded infrastructure and higher consulting, legal, tax and regulatory-related services associated with maintaining compliance with stock exchange listing and Securities and Exchange Commission requirements, audit and investor relations costs, director and officer insurance premiums and other costs associated with being a public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41" w:lineRule="exact"/>
        <w:rPr>
          <w:sz w:val="20"/>
          <w:szCs w:val="20"/>
          <w:color w:val="auto"/>
        </w:rPr>
      </w:pPr>
    </w:p>
    <w:p>
      <w:pPr>
        <w:jc w:val="both"/>
        <w:ind w:left="120" w:right="500"/>
        <w:spacing w:after="0" w:line="238" w:lineRule="auto"/>
        <w:rPr>
          <w:sz w:val="20"/>
          <w:szCs w:val="20"/>
          <w:color w:val="auto"/>
        </w:rPr>
      </w:pPr>
      <w:r>
        <w:rPr>
          <w:rFonts w:ascii="Arial" w:cs="Arial" w:eastAsia="Arial" w:hAnsi="Arial"/>
          <w:sz w:val="17"/>
          <w:szCs w:val="17"/>
          <w:color w:val="auto"/>
        </w:rPr>
        <w:t>We incur costs associated with related-party contract research services including direct labor and associated employee benefits, laboratory supplies and other expenses. These costs are recorded in cost of services for related-party transactions as a component of total operating expenses in the accompanying consolidated statements of operations and comprehensive loss.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Net Loss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Three Months Ended March 31, 2019 and March 31, 2020</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358"/>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ind w:left="358"/>
              <w:spacing w:after="0" w:line="143"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1,032</w:t>
            </w:r>
          </w:p>
        </w:tc>
        <w:tc>
          <w:tcPr>
            <w:tcW w:w="4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90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3,733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3,828</w:t>
            </w:r>
          </w:p>
        </w:tc>
        <w:tc>
          <w:tcPr>
            <w:tcW w:w="0" w:type="dxa"/>
            <w:vAlign w:val="bottom"/>
          </w:tcPr>
          <w:p>
            <w:pPr>
              <w:spacing w:after="0"/>
              <w:rPr>
                <w:sz w:val="1"/>
                <w:szCs w:val="1"/>
                <w:color w:val="auto"/>
              </w:rPr>
            </w:pPr>
          </w:p>
        </w:tc>
      </w:tr>
      <w:tr>
        <w:trPr>
          <w:trHeight w:val="189"/>
        </w:trPr>
        <w:tc>
          <w:tcPr>
            <w:tcW w:w="902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588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5,259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(4,227)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(4,229)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(4,238)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(905)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(5,143)</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52"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Related-party revenue for the three months ended March 31, 2019 and March 31, 2020 was $1.0 million and $0.7 million, respectively, which was generated solely from payments received for reimbursement of research and development expenses pursuant to the Research and Development Services Agreement with Tollnine, or Tollnine Agreement, as further described in “—License and Collaboration Agreements—Related-Party Agreement” below. The decrease of $0.3 million relates to decreased fee-for-service hours provided to Tollnine.</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0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left="381"/>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0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42"/>
        </w:trPr>
        <w:tc>
          <w:tcPr>
            <w:tcW w:w="6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ind w:left="381"/>
              <w:spacing w:after="0" w:line="143" w:lineRule="exact"/>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60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30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3,055</w:t>
            </w:r>
          </w:p>
        </w:tc>
        <w:tc>
          <w:tcPr>
            <w:tcW w:w="4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2,858</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633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847</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40</w:t>
            </w:r>
          </w:p>
        </w:tc>
      </w:tr>
      <w:tr>
        <w:trPr>
          <w:trHeight w:val="27"/>
        </w:trPr>
        <w:tc>
          <w:tcPr>
            <w:tcW w:w="6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30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3,733</w:t>
            </w:r>
          </w:p>
        </w:tc>
        <w:tc>
          <w:tcPr>
            <w:tcW w:w="4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3,828</w:t>
            </w:r>
          </w:p>
        </w:tc>
      </w:tr>
      <w:tr>
        <w:trPr>
          <w:trHeight w:val="20"/>
        </w:trPr>
        <w:tc>
          <w:tcPr>
            <w:tcW w:w="6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Research and development expenses for the three months ended March 31, 2019 was $3.7 million, compared to $3.8 million for the three months ended March 31, 2020. The increase of $0.1 million was primarily due to increases in personnel-related costs, including stock-based compensation, as result of an increase in our headcount.</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8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42"/>
        </w:trPr>
        <w:tc>
          <w:tcPr>
            <w:tcW w:w="8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left="342"/>
              <w:spacing w:after="0" w:line="143" w:lineRule="exact"/>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8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8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219</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479</w:t>
            </w:r>
          </w:p>
        </w:tc>
      </w:tr>
      <w:tr>
        <w:trPr>
          <w:trHeight w:val="189"/>
        </w:trPr>
        <w:tc>
          <w:tcPr>
            <w:tcW w:w="868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w:t>
            </w:r>
          </w:p>
        </w:tc>
      </w:tr>
      <w:tr>
        <w:trPr>
          <w:trHeight w:val="189"/>
        </w:trPr>
        <w:tc>
          <w:tcPr>
            <w:tcW w:w="8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362</w:t>
            </w:r>
          </w:p>
        </w:tc>
        <w:tc>
          <w:tcPr>
            <w:tcW w:w="6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926</w:t>
            </w:r>
          </w:p>
        </w:tc>
        <w:tc>
          <w:tcPr>
            <w:tcW w:w="60" w:type="dxa"/>
            <w:vAlign w:val="bottom"/>
            <w:shd w:val="clear" w:color="auto" w:fill="CCEEFF"/>
          </w:tcPr>
          <w:p>
            <w:pPr>
              <w:spacing w:after="0"/>
              <w:rPr>
                <w:sz w:val="16"/>
                <w:szCs w:val="16"/>
                <w:color w:val="auto"/>
              </w:rPr>
            </w:pPr>
          </w:p>
        </w:tc>
      </w:tr>
      <w:tr>
        <w:trPr>
          <w:trHeight w:val="196"/>
        </w:trPr>
        <w:tc>
          <w:tcPr>
            <w:tcW w:w="868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588</w:t>
            </w:r>
          </w:p>
        </w:tc>
        <w:tc>
          <w:tcPr>
            <w:tcW w:w="66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1,473</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General and administrative expenses for the three months ended March 31, 2019 was $0.6 million, compared to $1.5 million during the three months ended March 31, 2020. This increase of $0.9 million was primarily attributable to an increase in other general and administrative costs of $0.6 million, which was driven by increases in corporate legal costs leading up to the Company’s internal reorganization effective on April 1, 2020. In addition, we incurred increased personnel-related costs, including stock-based compensation, of $0.3 million due to an increase in our headcount in the three months ended March 31, 2020.</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52"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Cost of services for related-party revenue for the three months ended March 31, 2019 was $0.9 million, compared to $0.6 million during the year ended March 31, 2020. This decrease of $0.3 million was attributable to a decrease in services rendered to Tollnine.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Years Ended December 31, 2018 and December 31, 2019</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tcPr>
          <w:p>
            <w:pPr>
              <w:jc w:val="center"/>
              <w:ind w:right="16"/>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4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2,067</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4,796</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11,270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16,306</w:t>
            </w:r>
          </w:p>
        </w:tc>
        <w:tc>
          <w:tcPr>
            <w:tcW w:w="0" w:type="dxa"/>
            <w:vAlign w:val="bottom"/>
          </w:tcPr>
          <w:p>
            <w:pPr>
              <w:spacing w:after="0"/>
              <w:rPr>
                <w:sz w:val="1"/>
                <w:szCs w:val="1"/>
                <w:color w:val="auto"/>
              </w:rPr>
            </w:pPr>
          </w:p>
        </w:tc>
      </w:tr>
      <w:tr>
        <w:trPr>
          <w:trHeight w:val="189"/>
        </w:trPr>
        <w:tc>
          <w:tcPr>
            <w:tcW w:w="486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2,601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1,880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4,360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15,751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23,979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(13,684)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(19,183)</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(13,686)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(19,209)</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(13,731)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(3,671)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(17,402)</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(23,271)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860" w:type="dxa"/>
            <w:vAlign w:val="bottom"/>
          </w:tcPr>
          <w:p>
            <w:pPr>
              <w:spacing w:after="0"/>
              <w:rPr>
                <w:sz w:val="24"/>
                <w:szCs w:val="24"/>
                <w:color w:val="auto"/>
              </w:rPr>
            </w:pPr>
          </w:p>
        </w:tc>
        <w:tc>
          <w:tcPr>
            <w:tcW w:w="4240" w:type="dxa"/>
            <w:vAlign w:val="bottom"/>
          </w:tcPr>
          <w:p>
            <w:pPr>
              <w:jc w:val="right"/>
              <w:ind w:right="3416"/>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Related-party revenue for the years ended December 31, 2018 and December 31, 2019 was $2.1 million and $4.8 million, respectively, which was generated solely from payments received for reimbursement of research and development expenses pursuant to the Tollnine Agreement, as further described in “—License and Collaboration Agreements—Related-Party Agreement” below. The increase of $2.7 million relates to increased fee-for-service hours provided to Tollnine during 2019.</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5"/>
        </w:trPr>
        <w:tc>
          <w:tcPr>
            <w:tcW w:w="9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7,654</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$14,011</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3,312</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2,127</w:t>
            </w: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195</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109</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63</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w w:val="96"/>
              </w:rPr>
              <w:t>11,270</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16,306</w:t>
            </w: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Research and development expenses for the year ended December 31, 2018 was $11.3 million, compared to $16.3 million for the year ended December 31, 2019. The increase of $5.0 million was primarily due to increases in external research and development expenses related to our lead product candidate, as we significantly increased trial recruitment for our Phase 1 clinical trials for ALX 148 in the year ended December 31, 2019. In addition, in the year ended December 31, 2019, we incurred increased costs for additional preclinical studies and CMC manufacturing.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r>
      <w:tr>
        <w:trPr>
          <w:trHeight w:val="155"/>
        </w:trPr>
        <w:tc>
          <w:tcPr>
            <w:tcW w:w="9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ind w:right="37"/>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3"/>
                <w:szCs w:val="13"/>
                <w:color w:val="auto"/>
              </w:rPr>
            </w:pPr>
          </w:p>
        </w:tc>
      </w:tr>
      <w:tr>
        <w:trPr>
          <w:trHeight w:val="183"/>
        </w:trPr>
        <w:tc>
          <w:tcPr>
            <w:tcW w:w="9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Personnel and related costs</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695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834</w:t>
            </w:r>
          </w:p>
        </w:tc>
        <w:tc>
          <w:tcPr>
            <w:tcW w:w="60" w:type="dxa"/>
            <w:vAlign w:val="bottom"/>
            <w:shd w:val="clear" w:color="auto" w:fill="CCEEFF"/>
          </w:tcPr>
          <w:p>
            <w:pPr>
              <w:spacing w:after="0"/>
              <w:rPr>
                <w:sz w:val="15"/>
                <w:szCs w:val="15"/>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1,890</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2,446</w:t>
            </w:r>
          </w:p>
        </w:tc>
        <w:tc>
          <w:tcPr>
            <w:tcW w:w="60" w:type="dxa"/>
            <w:vAlign w:val="bottom"/>
            <w:shd w:val="clear" w:color="auto" w:fill="CCEEFF"/>
          </w:tcPr>
          <w:p>
            <w:pPr>
              <w:spacing w:after="0"/>
              <w:rPr>
                <w:sz w:val="16"/>
                <w:szCs w:val="16"/>
                <w:color w:val="auto"/>
              </w:rPr>
            </w:pPr>
          </w:p>
        </w:tc>
      </w:tr>
      <w:tr>
        <w:trPr>
          <w:trHeight w:val="196"/>
        </w:trPr>
        <w:tc>
          <w:tcPr>
            <w:tcW w:w="960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2,601</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3,313</w:t>
            </w:r>
          </w:p>
        </w:tc>
      </w:tr>
      <w:tr>
        <w:trPr>
          <w:trHeight w:val="20"/>
        </w:trPr>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General and administrative expenses for the year ended December 31, 2018 was $2.6 million, compared to $3.3 million during the year ended December 31, 2019. This increase of $0.7 million was due to increased administrative costs supporting the increased activities in connection with our Phase 1 clinical trials for ALX 148, resulting in increased other general and administrative expenses of $0.6 million, which included increases in business development activities, legal, accounting and audit services, as well as increased personnel-related costs of $0.1 million.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39"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Cost of services for related-party revenue for the year ended December 31, 2018 was $1.9 million, compared to $4.4 million during the year ended December 31, 2019. This increase of $2.5 million was attributable to an increase in services rendered to Tollnine.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Through March 31, 2020, we had received net proceeds of $175.1 million from sales of our ordinary shares and convertible preferred shares and net proceeds of $5.8 million borrowings under our term loan. As of March 31, 2020, we had cash and cash equivalents of $105.0 million.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Silicon Valley Bank and West River Group Loan and Security Agreement</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and our wholly-owned subsidiaries Alexo Therapeutics International and Sirpant Therapeutics, as borrowers, entered into the Loan Agreement, with SVB and WestRiver, collectively as lenders, and SVB as administrative agent and collateral agent. 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our achievement of an equity financing resulting in net cash proceeds in an amount of at least $30.0 million to us. We elected not to draw down on the second tranche, which is no longer available.</w:t>
      </w:r>
    </w:p>
    <w:p>
      <w:pPr>
        <w:spacing w:after="0" w:line="148"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March 31, 2020. Therefore, the rate applicable to the Company as of March 31, 2020 was 7.0%.</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are required to make interest-only payments for the first 12 months after the closing of the Loan Agreement,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50"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In conjunction with the Loan Agreement, we issued warrants to purchase 403,348 shares of Series B convertible preferred stock to SVB and WestRiver with an exercise price of $1.4432 per share. The estimated fair value of the warrants at the date of issuance was approximately $0.4 million. The fair value of the Series B convertible preferred stock warrant liability was determined using the Black-Scholes option-pricing-model. As of March 31, 2020, the various assumptions used in the Black-Scholes option-pricing model were time to liquidity of 2.0 to 9.7 years, volatility of 97.4% and risk-free rate of 0.4%. The warrant liability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March 31, 2020, the fair value of the Series B convertible preferred stock warrant liabilities was approximately $0.4 million and was recorded in other long-term liabilities on the condensed consolidated balance sheets.</w:t>
      </w:r>
    </w:p>
    <w:p>
      <w:pPr>
        <w:spacing w:after="0" w:line="149"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determined that certain loan features were embedded derivatives requiring bifurcation and separate accounting. Those embedded derivatives were bundled together as a single, compound embedded derivative and then bifurcated and accounted for separately from the host contract. We recorded a term loan compound derivative liability of $51,000, which is marked-to-market at each reporting date. We calculated the fair values of the compound derivative by computing the difference between the fair value of the term loans and the compound derivative using the “with and without” method under the income approach, and the fair value of the term loans without the compound derivative. We calculated the fair values using a probability-weighted discounted cash flow analysis. The key valuation assumptions used consist of the discount rate and the probability of a change in control event. The term loan compound derivative liability is being remeasured at each financial reporting period with any changes in fair value being recognized as a component of other income (expense), net in the consolidated statements of</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operations and comprehensive loss. As of March 31, 2020, the fair value of the compound derivative liability was approximately $65,000 and was recorded in other long-term liabilities on the condensed consolidated balance sheets.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our consolidated balance sheets and together with the final payment are being amortized to interest expense throughout the life of the term loans using the effective interest rate method.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have incurred losses and negative cash flows from operations since inception and anticipate that we will continue to incur net losses for the foreseeable future. As of March 31, 2020, we had an accumulated deficit of $78.2 million. We expect our expenses to increase substantially in connection with our ongoing activities, particularly as we advance the preclinical activities and clinical trials for our product candidates in development. In addition, upon the closing of this offering,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188" w:lineRule="exact"/>
        <w:rPr>
          <w:sz w:val="20"/>
          <w:szCs w:val="20"/>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timing and progress of preclinical and clinical development activities;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successful enrollment in and completion of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timing and outcome of regulatory review of our product candidates;</w:t>
      </w:r>
    </w:p>
    <w:p>
      <w:pPr>
        <w:spacing w:after="0" w:line="34" w:lineRule="exact"/>
        <w:rPr>
          <w:rFonts w:ascii="MS PGothic" w:cs="MS PGothic" w:eastAsia="MS PGothic" w:hAnsi="MS PGothic"/>
          <w:sz w:val="13"/>
          <w:szCs w:val="13"/>
          <w:color w:val="auto"/>
        </w:rPr>
      </w:pPr>
    </w:p>
    <w:p>
      <w:pPr>
        <w:ind w:left="980" w:right="3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ability to establish agreements with third-party manufacturers for clinical supply for our clinical trials and, if any of our product candidates are approved, commercial manufacturing;</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addition and retention of key research and development personnel;</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efforts to enhance operational, financial and information management systems, and hire additional personnel, including personnel to support development of our product candidates;</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22"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legal patent costs involved in prosecuting patent applications and enforcing patent claims and other intellectual property claims; and</w:t>
      </w:r>
    </w:p>
    <w:p>
      <w:pPr>
        <w:spacing w:after="0" w:line="22"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terms and timing of any collaboration, license or other arrangement, including the terms and timing of any milestone and royalty payments thereunder.</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47" w:lineRule="exact"/>
        <w:rPr>
          <w:sz w:val="20"/>
          <w:szCs w:val="20"/>
          <w:color w:val="auto"/>
        </w:rPr>
      </w:pPr>
    </w:p>
    <w:p>
      <w:pPr>
        <w:ind w:left="120"/>
        <w:spacing w:after="0"/>
        <w:tabs>
          <w:tab w:leader="none" w:pos="6600" w:val="left"/>
        </w:tabs>
        <w:rPr>
          <w:sz w:val="20"/>
          <w:szCs w:val="20"/>
          <w:color w:val="auto"/>
        </w:rPr>
      </w:pPr>
      <w:r>
        <w:rPr>
          <w:rFonts w:ascii="Arial" w:cs="Arial" w:eastAsia="Arial" w:hAnsi="Arial"/>
          <w:sz w:val="17"/>
          <w:szCs w:val="17"/>
          <w:color w:val="auto"/>
        </w:rPr>
        <w:t>We estimate that our net proceeds from this offering will be approximately $</w:t>
      </w:r>
      <w:r>
        <w:rPr>
          <w:sz w:val="20"/>
          <w:szCs w:val="20"/>
          <w:color w:val="auto"/>
        </w:rPr>
        <w:tab/>
      </w:r>
      <w:r>
        <w:rPr>
          <w:rFonts w:ascii="Arial" w:cs="Arial" w:eastAsia="Arial" w:hAnsi="Arial"/>
          <w:sz w:val="17"/>
          <w:szCs w:val="17"/>
          <w:color w:val="auto"/>
        </w:rPr>
        <w:t>million based on an assumed initial public offering price of</w:t>
      </w:r>
    </w:p>
    <w:p>
      <w:pPr>
        <w:jc w:val="both"/>
        <w:ind w:left="120" w:right="100" w:hanging="4"/>
        <w:spacing w:after="0" w:line="236" w:lineRule="auto"/>
        <w:tabs>
          <w:tab w:leader="none" w:pos="1022"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after deducting the underwriting discounts and commissions and estimated offering expenses payable by us. We believe that the net proceeds from this offering, together with our existing cash and cash equivalents will enable us to fund our operating expenses and capital expenditure requirements for at least the next months. We have based these estimates on assumptions that may prove to be wrong, and we could utilize our</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060"/>
          </w:cols>
          <w:pgMar w:left="320" w:top="459"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available capital resources sooner than we expect. Our Loan Agreement includes covenants limiting or restricting our ability to take specific actions, such as incurring additional debt.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sources and uses of cash for each of the periods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w:t>
            </w:r>
          </w:p>
        </w:tc>
        <w:tc>
          <w:tcPr>
            <w:tcW w:w="19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020" w:type="dxa"/>
            <w:vAlign w:val="bottom"/>
          </w:tcPr>
          <w:p>
            <w:pPr>
              <w:spacing w:after="0"/>
              <w:rPr>
                <w:sz w:val="15"/>
                <w:szCs w:val="15"/>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70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right"/>
              <w:ind w:right="457"/>
              <w:spacing w:after="0" w:line="14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175"/>
        </w:trPr>
        <w:tc>
          <w:tcPr>
            <w:tcW w:w="7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020" w:type="dxa"/>
            <w:vAlign w:val="bottom"/>
          </w:tcPr>
          <w:p>
            <w:pPr>
              <w:ind w:left="500"/>
              <w:spacing w:after="0" w:line="189" w:lineRule="exact"/>
              <w:rPr>
                <w:sz w:val="20"/>
                <w:szCs w:val="20"/>
                <w:color w:val="auto"/>
              </w:rPr>
            </w:pPr>
            <w:r>
              <w:rPr>
                <w:rFonts w:ascii="Arial" w:cs="Arial" w:eastAsia="Arial" w:hAnsi="Arial"/>
                <w:sz w:val="17"/>
                <w:szCs w:val="17"/>
                <w:color w:val="auto"/>
              </w:rPr>
              <w:t>Operating activities</w:t>
            </w: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8"/>
              </w:rPr>
              <w:t>$(13,190)</w:t>
            </w:r>
          </w:p>
        </w:tc>
        <w:tc>
          <w:tcPr>
            <w:tcW w:w="2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7"/>
              </w:rPr>
              <w:t>(14,249)</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(3,861)</w:t>
            </w:r>
          </w:p>
        </w:tc>
        <w:tc>
          <w:tcPr>
            <w:tcW w:w="3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(8,963)</w:t>
            </w:r>
          </w:p>
        </w:tc>
      </w:tr>
      <w:tr>
        <w:trPr>
          <w:trHeight w:val="189"/>
        </w:trPr>
        <w:tc>
          <w:tcPr>
            <w:tcW w:w="7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Investing activities</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(353)</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(118)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r>
      <w:tr>
        <w:trPr>
          <w:trHeight w:val="189"/>
        </w:trPr>
        <w:tc>
          <w:tcPr>
            <w:tcW w:w="7020" w:type="dxa"/>
            <w:vAlign w:val="bottom"/>
          </w:tcPr>
          <w:p>
            <w:pPr>
              <w:ind w:left="500"/>
              <w:spacing w:after="0" w:line="189" w:lineRule="exact"/>
              <w:rPr>
                <w:sz w:val="20"/>
                <w:szCs w:val="20"/>
                <w:color w:val="auto"/>
              </w:rPr>
            </w:pPr>
            <w:r>
              <w:rPr>
                <w:rFonts w:ascii="Arial" w:cs="Arial" w:eastAsia="Arial" w:hAnsi="Arial"/>
                <w:sz w:val="17"/>
                <w:szCs w:val="17"/>
                <w:color w:val="auto"/>
              </w:rPr>
              <w:t>Financing activities</w:t>
            </w:r>
          </w:p>
        </w:tc>
        <w:tc>
          <w:tcPr>
            <w:tcW w:w="8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15,357</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104,991</w:t>
            </w:r>
          </w:p>
        </w:tc>
      </w:tr>
      <w:tr>
        <w:trPr>
          <w:trHeight w:val="27"/>
        </w:trPr>
        <w:tc>
          <w:tcPr>
            <w:tcW w:w="7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(13,842)</w:t>
            </w:r>
          </w:p>
        </w:tc>
        <w:tc>
          <w:tcPr>
            <w:tcW w:w="2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755</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(3,979)</w:t>
            </w:r>
          </w:p>
        </w:tc>
        <w:tc>
          <w:tcPr>
            <w:tcW w:w="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96,018</w:t>
            </w:r>
          </w:p>
        </w:tc>
      </w:tr>
      <w:tr>
        <w:trPr>
          <w:trHeight w:val="20"/>
        </w:trPr>
        <w:tc>
          <w:tcPr>
            <w:tcW w:w="7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the three months ended March 31, 2019, cash used in operating activities of $3.9 million was attributable to a net loss of $4.2 million partially offset by $0.2 million in non-cash charges and a change of $0.2 million in our net operating assets and liabilities. The non-cash charges consisted of stock-based compensation of $0.1 million and depreciation and amortization of $0.1 million. The change in operating assets and liabilities was primarily due to a $1.0 million increase in receivables due from a related-party, partially offset by a $0.7 million increase in accounts payable and a $0.4 million decrease in prepaid expenses.</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three months ended March 31, 2020, cash used in operating activities of $9.0 million was attributable to a net loss of $5.5 million partially offset by $0.5 million in non-cash charges and a change of $4.0 million in our net operating assets and liabilities. The non-cash charges consisted of stock-based compensation of $0.2 million, depreciation and amortization of $0.1 million, amortization of term loan discount and issuance costs of $0.1 million and change in fair value of Series B convertible preferred shares warrant liability and term loan compound derivative of $0.1 million. The change in operating assets and liabilities was primarily due to a $1.8 million decrease in accounts payable, $0.6 million decrease in accrued expenses, $0.9 million increase in prepaid expense and $0.7 million increase in receivables due from a related-party. This is primarily due to timing of cash payments for CMC-related activities.</w:t>
      </w:r>
    </w:p>
    <w:p>
      <w:pPr>
        <w:spacing w:after="0" w:line="151" w:lineRule="exact"/>
        <w:rPr>
          <w:sz w:val="20"/>
          <w:szCs w:val="20"/>
          <w:color w:val="auto"/>
        </w:rPr>
      </w:pPr>
    </w:p>
    <w:p>
      <w:pPr>
        <w:ind w:left="120" w:right="380"/>
        <w:spacing w:after="0" w:line="232" w:lineRule="auto"/>
        <w:rPr>
          <w:sz w:val="20"/>
          <w:szCs w:val="20"/>
          <w:color w:val="auto"/>
        </w:rPr>
      </w:pPr>
      <w:r>
        <w:rPr>
          <w:rFonts w:ascii="Arial" w:cs="Arial" w:eastAsia="Arial" w:hAnsi="Arial"/>
          <w:sz w:val="17"/>
          <w:szCs w:val="17"/>
          <w:color w:val="auto"/>
        </w:rPr>
        <w:t>In the year ended December 31, 2018, cash used in operating activities of $13.2 million was attributable to a net loss of $13.7 million partially offset by $0.7 million in non-cash charges and a net change of $0.2 million in our net operating assets and liabilities. The non-cash charges consisted of stock-based compensation expense of $0.3 million and depreciation and amortization expense of $0.4 million. The change in operating assets and liabilities was primarily due to a $0.9 million increase in receivables due from a related-party and $0.3 million</w:t>
      </w:r>
    </w:p>
    <w:p>
      <w:pPr>
        <w:ind w:left="120" w:right="20"/>
        <w:spacing w:after="0" w:line="243" w:lineRule="auto"/>
        <w:rPr>
          <w:sz w:val="20"/>
          <w:szCs w:val="20"/>
          <w:color w:val="auto"/>
        </w:rPr>
      </w:pPr>
      <w:r>
        <w:rPr>
          <w:rFonts w:ascii="Arial" w:cs="Arial" w:eastAsia="Arial" w:hAnsi="Arial"/>
          <w:sz w:val="17"/>
          <w:szCs w:val="17"/>
          <w:color w:val="auto"/>
        </w:rPr>
        <w:t>decrease in accounts payable. This was partially offset by a $0.9 million decrease in prepaid expenses and other current assets resulting from the timing of prepayments made for research and development activities.</w:t>
      </w:r>
    </w:p>
    <w:p>
      <w:pPr>
        <w:spacing w:after="0" w:line="14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the year ended December 31, 2019, cash used in operating activities of $14.2 million was attributable to a net loss of $19.2 million and a net change of $4.3 million in our net operating assets and liabilities, partially offset by $0.7 million in non-cash charges. The non-cash charges primarily consisted of stock-based compensation expense of $0.3 million and depreciation and amortization expense of $0.4 million. The change in operating assets and liabilities was primarily due to a $3.0 million increase in accounts payable, a $0.7 million decrease in prepaid expenses and other current assets and a $0.4 million decrease in receivables due from a related-party. The increase in accounts payable is primarily due to the timing of cash payments and increased activities to support overall business growth.</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5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In the three months ended March 31, 2019, cash used in investing activities of $0.1 million was related to capital expenditures on the purchase of property and equipment.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three months ended March 31, 2020, cash used in investing activities was nominal.</w:t>
      </w:r>
    </w:p>
    <w:p>
      <w:pPr>
        <w:spacing w:after="0" w:line="156"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the year ended December 31, 2018, cash used in investing activities of $0.7 million was related to capital expenditures on the purchase of property and equipment.</w:t>
      </w:r>
    </w:p>
    <w:p>
      <w:pPr>
        <w:spacing w:after="0" w:line="14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the year ended December 31, 2019, cash used in investing activities of $0.4 million was related to capital expenditures on the purchase of property and equipment.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three months ended March 31, 2019, cash provided by financing activities was nominal.</w:t>
      </w:r>
    </w:p>
    <w:p>
      <w:pPr>
        <w:spacing w:after="0" w:line="75"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In the three months ended March 31, 2020, cash provided by financing activities was $105.0 million from the sale and issuance of Series C convertible preferred shares.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year ended December 31, 2018, cash provided by financing activities was nominal.</w:t>
      </w:r>
    </w:p>
    <w:p>
      <w:pPr>
        <w:spacing w:after="0" w:line="156"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In the year ended December 31, 2019, cash provided by financing activities of $15.4 million was related to net proceeds of $9.4 million from the issuance of Series B convertible preferred shares and $5.9 million from the net proceeds from a term loan entered into in December 2019.</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commitments and contractual obligations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0"/>
          </w:tcPr>
          <w:p>
            <w:pPr>
              <w:jc w:val="center"/>
              <w:ind w:right="1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37"/>
              <w:spacing w:after="0" w:line="143" w:lineRule="exact"/>
              <w:rPr>
                <w:sz w:val="20"/>
                <w:szCs w:val="20"/>
                <w:color w:val="auto"/>
              </w:rPr>
            </w:pPr>
            <w:r>
              <w:rPr>
                <w:rFonts w:ascii="Arial" w:cs="Arial" w:eastAsia="Arial" w:hAnsi="Arial"/>
                <w:sz w:val="14"/>
                <w:szCs w:val="14"/>
                <w:b w:val="1"/>
                <w:bCs w:val="1"/>
                <w:color w:val="auto"/>
                <w:w w:val="98"/>
              </w:rPr>
              <w:t>1-3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77"/>
              <w:spacing w:after="0" w:line="14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1,793</w:t>
            </w:r>
          </w:p>
        </w:tc>
        <w:tc>
          <w:tcPr>
            <w:tcW w:w="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548</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1,146</w:t>
            </w:r>
          </w:p>
        </w:tc>
        <w:tc>
          <w:tcPr>
            <w:tcW w:w="2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99</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Manufacturing and service contracts </w:t>
            </w: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5,782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5,782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Term loan </w:t>
            </w: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7,071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1,278</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5,793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14,646</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1,826</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12,721</w:t>
            </w:r>
          </w:p>
        </w:tc>
        <w:tc>
          <w:tcPr>
            <w:tcW w:w="2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99</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8" w:lineRule="exact"/>
        <w:rPr>
          <w:sz w:val="20"/>
          <w:szCs w:val="20"/>
          <w:color w:val="auto"/>
        </w:rPr>
      </w:pPr>
    </w:p>
    <w:p>
      <w:pPr>
        <w:ind w:left="540" w:hanging="289"/>
        <w:spacing w:after="0"/>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Payments due for our lease of office and laboratory space in Burlingame, California under a single operating lease agreement that expires in 2023.</w:t>
      </w:r>
    </w:p>
    <w:p>
      <w:pPr>
        <w:ind w:left="540" w:right="20" w:hanging="289"/>
        <w:spacing w:after="0" w:line="211"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$6.7 million. These amounts are based on non-cancellable commitments and forecasts that include estimates of future market demand, quantity discounts and manufacturing efficiencies that may impact timing of purchases.</w:t>
      </w:r>
    </w:p>
    <w:p>
      <w:pPr>
        <w:spacing w:after="0" w:line="1" w:lineRule="exact"/>
        <w:rPr>
          <w:rFonts w:ascii="Arial" w:cs="Arial" w:eastAsia="Arial" w:hAnsi="Arial"/>
          <w:sz w:val="24"/>
          <w:szCs w:val="24"/>
          <w:color w:val="auto"/>
          <w:vertAlign w:val="superscript"/>
        </w:rPr>
      </w:pPr>
    </w:p>
    <w:p>
      <w:pPr>
        <w:ind w:left="540" w:right="420" w:hanging="289"/>
        <w:spacing w:after="0" w:line="183" w:lineRule="auto"/>
        <w:tabs>
          <w:tab w:leader="none" w:pos="54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On December 20, 2019, we borrowed a loan pursuant to the Loan Agreement as described above under “—Silicon Valley Bank and West River Group Loan and Security Agreement.”</w:t>
      </w:r>
    </w:p>
    <w:p>
      <w:pPr>
        <w:spacing w:after="0" w:line="142"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Cumulative Dividends on Convertible Preferred Shares</w:t>
      </w:r>
    </w:p>
    <w:p>
      <w:pPr>
        <w:spacing w:after="0" w:line="39"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As of March 31, 2020, there were $14.7 million of cumulative dividends on our Series A, Series B and Series C convertible preferred shares, which are payable upon the occurrence of certain change of control and liquidation events and upon the conversion of such convertible preferred shares upon a qualifying initial public offering, each as described in our organizational documents.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March 2015, we entered into a license agreement, or the Stanford Agreement, with the Board of Trustees of the</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Leland Stanford Junior University, or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51" w:lineRule="exact"/>
        <w:rPr>
          <w:sz w:val="20"/>
          <w:szCs w:val="20"/>
          <w:color w:val="auto"/>
        </w:rPr>
      </w:pPr>
    </w:p>
    <w:p>
      <w:pPr>
        <w:ind w:left="120" w:right="14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 specified aggregate amount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3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June 2016, we entered into a license agreement with Selexis SA, or Selexis, under which we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us under the agreement, we paid Selexis a nominal one-time fee and will pay Selexis an annual maintenance fee. We also agreed to pay Selexis milestone payments in respect of each licensed product developed and/or commercialized under the grant, that successfully satisfies certain milestone events. We also agreed to pay Selexis a flat royalty of a very low single-digit percentage on net sales made by us, our affiliates and our sublicensees of products. This royalty obligation, on a product-by-product and country-by-country basis, shall terminate and become fully paid-up upon the passing of ten years after the first commercial sale of the product in such country or our exercise of the royalty buyout option, exercisable at any time prior to the first commercial sale of a licensed product.</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Our obligations to make payments that are accrued or accruable will survive any termination of the agreement, and in certain circumstances the licenses granted under the agreement will terminate unless they have become fully paid up as described in the previous paragraph.</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52"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In March 2017, we entered into an agreement with Crystal Bioscience, Inc. (now a subsidiary of Ligand Pharmaceuticals Incorporated), or Crystal, under which we obtained an assignment of certain patents, covering certain SIRPa antibodies. Under this agreement, we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us under the agreement, we agreed to pay Crystal milestone payments up to $11.1 million in respect of all licensed products developed under the assigned patents, that successfully satisfy certain clinical and regulatory milestones, each milestone being paid only once for all products. We also agreed to pay Crystal tiered royalties on net sales of licensed products made by us, our affiliates and our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48"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We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Our obligations to pay royalties and milestone payments which accrued pre-termination or accrue post-termination will survive any termination.</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Agreement</w:t>
      </w:r>
    </w:p>
    <w:p>
      <w:pPr>
        <w:spacing w:after="0" w:line="52"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June 2018, we entered into the Tollnine Agreement with Tollnine, a related-party, to provide research and development services to Tollnine. Since June 2018 to April 2020, our Chief Executive Officer was also the Chief Executive Officer of Tollnine and currently two of our investors are also investors in Tollnine. In April 2020, our Chief Scientific Officer replaced our Chief Executive Officer to become the Chief Executive Officer of Tollnine. As such, Tollnine was deemed to be a related-party. The Tollnine Agreement has an initial term of three years, to be automatically renewed for additional one-year terms unless terminated by either party. The services are to be provided at a price based on the costs incurred by us plus a mark-up equal to 10.0% of such costs. We recognize revenue when Tollnine, as our customer, obtains control of promised goods or services, in an amount that reflects the consideration which we expect to receive in exchange for those goods or services.</w:t>
      </w:r>
    </w:p>
    <w:p>
      <w:pPr>
        <w:spacing w:after="0" w:line="205"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For the years ended December 31, 2018, and December 31, 2019, and for the three months ended March 31, 2019 and March 31, 2020, we recognized related-party revenues of $2.1 million and $4.8 million, and $1.0 million and $0.7 million, respectively, under the Tollnine Agreement.</w:t>
      </w:r>
    </w:p>
    <w:p>
      <w:pPr>
        <w:spacing w:after="0" w:line="144"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As of December 31, 2018, December 31, 2019 and March 31, 2020, we had outstanding related-party receivables from Tollnine of $0.9 million, $0.5 million and $1.2 million, respectively.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December 31, 2019, (i) and (ii) remain unremediated. A material weakness is a deficiency, or a combination of deficiencies, in internal control over financial reporting such that there is a reasonable possibility that a material misstatement of our consolidated basis. During the first quarter of 2020, we have undertaken specific remediation actions to address the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control deficiencies in our financial reporting. We have established more robust processes related to the review of complex accounting transactions, the preparation of account reconciliations and the review of journal entries. These remediation actions included hiring a full time Chief Financial Officer in January 2020 and a Vice President, Finance and Chief Accounting Officer in March 2020, both of whom have extensive experience in developing and implementing internal controls and executing plans to remediate control deficiencies. We added new control activities, modified existing controls, and enhanced the documentation that evidences that controls are performed.</w:t>
      </w:r>
    </w:p>
    <w:p>
      <w:pPr>
        <w:spacing w:after="0" w:line="20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If remediation of these material weaknesses is not effective, or if we fail to develop and maintain an effective system of disclosure controls and internal control over financial reporting, our ability to produce timely and accurate consolidated financial statements or comply with applicable laws and regulations could be impaired. See “Risk Factors—Risks Related to Our Operations—We identified material weaknesses in our internal control over financial reporting. If our remediation measures are not effective, we may not be able to report our financial condition or results of operations accurately or on a timely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66"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During the period presented, we did not have, nor do we currently have, any off-balance sheet arrangements, as defined in the rules and regulations of the SEC.</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4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As of March 31, 2020, we had cash and cash equivalents of $105.0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Financial Institution Risk</w:t>
      </w:r>
    </w:p>
    <w:p>
      <w:pPr>
        <w:spacing w:after="0" w:line="41"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March 31, 2020, we had $104.8 million in excess of this insured limit.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4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effect on our financial results.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an “emerging growth company,” as defined in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We have elected to take advantage of the extended transition period for complying with new or revised accounting standards. As a result of this election, our consolidated financial statements may not be comparable to companies that comply with public company effective dates. The JOBS Act also exempts us from having to provide an auditor attestation of internal control over financial reporting under SOX Section 404(b).</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0"/>
        <w:spacing w:after="0" w:line="235" w:lineRule="auto"/>
        <w:rPr>
          <w:sz w:val="20"/>
          <w:szCs w:val="20"/>
          <w:color w:val="auto"/>
        </w:rPr>
      </w:pPr>
      <w:r>
        <w:rPr>
          <w:rFonts w:ascii="Arial" w:cs="Arial" w:eastAsia="Arial" w:hAnsi="Arial"/>
          <w:sz w:val="17"/>
          <w:szCs w:val="17"/>
          <w:color w:val="auto"/>
        </w:rPr>
        <w:t>We will remain an “emerging growth company” until the earliest of (1) the last day of the fiscal year in which we have total annual gross revenues of $1.07 billion or more, (2) the last day of the fiscal year following the fifth anniversary of the completion of this initial public offering, (3) the date on which we have issued more than $1.0 billion in nonconvertible debt during the previous three years or (4) the date on which we are deemed to be a large accelerated filer under the rules of the SEC, which generally is when we have more than $700 million in market value of our stock held by non-affiliates and we have been a public company for at least 12 months and have filed one annual report on Form 10-K.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3"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U.S. generally accepted accounting principles.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51"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While our significant accounting policies are described in more detail in Note 1 to our audited consolidated financial statements elsewhere in this prospectus, we believe that the following accounting policies are those most critical to the judgments and estimates used in the preparation of our audited consolidated financial statements.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accrue for estimated costs of research and development activities conducted by third-party service providers, which include the conduct of clinical trials and contract manufacturing activities. We record the estimated costs of research and development activities based upon the estimated amount of services provided. These costs are included in either prepaid expenses and other current assets or accrued expenses and other current liabilities in the consolidated balance sheets and within research and development expense in the consolidated statements of operations and comprehensive loss. We accrue for these costs based on factors such as estimates of the work completed and in accordance with agreements established with its third-party service providers. We record prepaid expenses which consists of amounts paid in advance for services that have not yet been incurred as of the end of the fiscal year.</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account for stock-based compensation by measuring and recognizing compensation expense for all stock-based payments made to employees, directors and non-employees based on estimated grant-date fair values. We use the straight-line method to allocate compensation cost to reporting periods over each optionee’s requisite service period, which is generally the vesting period, and estimates the fair value of stock-based awards to employees, directors and non-employees using the Black-Scholes option-pricing model. The Black-Scholes option-pricing model requires the input of subjective assumptions, including expected volatility, expected dividend yield, expected term, risk-free rate of return, and the estimated fair value of the underlying common shares on the date of grant.</w:t>
      </w:r>
    </w:p>
    <w:p>
      <w:pPr>
        <w:spacing w:after="0" w:line="130" w:lineRule="exact"/>
        <w:rPr>
          <w:sz w:val="20"/>
          <w:szCs w:val="20"/>
          <w:color w:val="auto"/>
        </w:rPr>
      </w:pPr>
    </w:p>
    <w:p>
      <w:pPr>
        <w:ind w:left="120" w:right="280"/>
        <w:spacing w:after="0" w:line="265"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—We have opted to use the “simplified method” for estimating the expected term of options, whereby the expected term equals</w:t>
      </w:r>
      <w:r>
        <w:rPr>
          <w:rFonts w:ascii="Arial" w:cs="Arial" w:eastAsia="Arial" w:hAnsi="Arial"/>
          <w:sz w:val="17"/>
          <w:szCs w:val="17"/>
          <w:i w:val="1"/>
          <w:iCs w:val="1"/>
          <w:color w:val="auto"/>
        </w:rPr>
        <w:t xml:space="preserve"> </w:t>
      </w:r>
      <w:r>
        <w:rPr>
          <w:rFonts w:ascii="Arial" w:cs="Arial" w:eastAsia="Arial" w:hAnsi="Arial"/>
          <w:sz w:val="17"/>
          <w:szCs w:val="17"/>
          <w:color w:val="auto"/>
        </w:rPr>
        <w:t>the arithmetic average of the vesting term and the original contractual term of the option (generally 10 years).</w:t>
      </w:r>
    </w:p>
    <w:p>
      <w:pPr>
        <w:spacing w:after="0" w:line="108"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rate assumption is based on the U.S. Treasury instruments with maturities similar to the expected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stock options.</w:t>
      </w:r>
    </w:p>
    <w:p>
      <w:pPr>
        <w:spacing w:after="0" w:line="108" w:lineRule="exact"/>
        <w:rPr>
          <w:sz w:val="20"/>
          <w:szCs w:val="20"/>
          <w:color w:val="auto"/>
        </w:rPr>
      </w:pPr>
    </w:p>
    <w:p>
      <w:pPr>
        <w:ind w:left="120" w:right="360"/>
        <w:spacing w:after="0" w:line="265" w:lineRule="auto"/>
        <w:rPr>
          <w:sz w:val="20"/>
          <w:szCs w:val="20"/>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—We have not issued any dividends and do not expect to issue dividends over the life of the options. As a result,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the dividend yield to be zero.</w:t>
      </w:r>
    </w:p>
    <w:p>
      <w:pPr>
        <w:spacing w:after="0" w:line="108" w:lineRule="exact"/>
        <w:rPr>
          <w:sz w:val="20"/>
          <w:szCs w:val="20"/>
          <w:color w:val="auto"/>
        </w:rPr>
      </w:pPr>
    </w:p>
    <w:p>
      <w:pPr>
        <w:ind w:left="120" w:right="200"/>
        <w:spacing w:after="0" w:line="265"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—Due to our limited operating history and a lack of company specific historical and implied volatility data, we have based our</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of expected volatility on the historical volatility of a group of similar</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companies that are publicly traded. The historical volatility data was computed using the daily closing prices for the selected companies’ shares during the equivalent period of the calculated expected term of the stock-based awards.</w:t>
      </w:r>
    </w:p>
    <w:p>
      <w:pPr>
        <w:spacing w:after="0" w:line="14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 estimated fair value of stock options granted to employees and non-employee service providers are expensed over the requisite service period (generally the vesting term) on a straight-line basis. We account for the impact of forfeitures as they occur.</w:t>
      </w:r>
    </w:p>
    <w:p>
      <w:pPr>
        <w:spacing w:after="0" w:line="144"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fair values of the stock options granted during the years ended December 31, 2018 and December 31, 2019 and the three months ended March 31, 2019 and March 31, 2020 were estimated at the date of grant using the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480" w:type="dxa"/>
            <w:vAlign w:val="bottom"/>
          </w:tcPr>
          <w:p>
            <w:pPr>
              <w:spacing w:after="0"/>
              <w:rPr>
                <w:sz w:val="15"/>
                <w:szCs w:val="15"/>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5"/>
                <w:szCs w:val="15"/>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w:t>
            </w:r>
          </w:p>
        </w:tc>
      </w:tr>
      <w:tr>
        <w:trPr>
          <w:trHeight w:val="156"/>
        </w:trPr>
        <w:tc>
          <w:tcPr>
            <w:tcW w:w="64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4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2019</w:t>
            </w:r>
          </w:p>
        </w:tc>
        <w:tc>
          <w:tcPr>
            <w:tcW w:w="12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r>
      <w:tr>
        <w:trPr>
          <w:trHeight w:val="156"/>
        </w:trPr>
        <w:tc>
          <w:tcPr>
            <w:tcW w:w="6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jc w:val="right"/>
              <w:ind w:right="360"/>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term (in years)</w:t>
            </w:r>
          </w:p>
        </w:tc>
        <w:tc>
          <w:tcPr>
            <w:tcW w:w="13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5.2—6.0</w:t>
            </w:r>
          </w:p>
        </w:tc>
        <w:tc>
          <w:tcPr>
            <w:tcW w:w="13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4.4—6.0</w:t>
            </w:r>
          </w:p>
        </w:tc>
        <w:tc>
          <w:tcPr>
            <w:tcW w:w="4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6.0—6.1</w:t>
            </w: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2.6—3.0%</w:t>
            </w:r>
          </w:p>
        </w:tc>
        <w:tc>
          <w:tcPr>
            <w:tcW w:w="13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1.7—2.1%</w:t>
            </w:r>
          </w:p>
        </w:tc>
        <w:tc>
          <w:tcPr>
            <w:tcW w:w="440" w:type="dxa"/>
            <w:vAlign w:val="bottom"/>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0.5—0.8%</w:t>
            </w: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13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r>
      <w:tr>
        <w:trPr>
          <w:trHeight w:val="205"/>
        </w:trPr>
        <w:tc>
          <w:tcPr>
            <w:tcW w:w="648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66.5—68.7%</w:t>
            </w: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75.2—80.5%</w:t>
            </w:r>
          </w:p>
        </w:tc>
        <w:tc>
          <w:tcPr>
            <w:tcW w:w="440" w:type="dxa"/>
            <w:vAlign w:val="bottom"/>
          </w:tcPr>
          <w:p>
            <w:pPr>
              <w:ind w:left="2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79.6—80.0%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0"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Stock-based compensation expense, net of forfeitures, is reflected in the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155575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32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jc w:val="center"/>
              <w:ind w:left="381"/>
              <w:spacing w:after="0" w:line="155" w:lineRule="exact"/>
              <w:rPr>
                <w:sz w:val="20"/>
                <w:szCs w:val="20"/>
                <w:color w:val="auto"/>
              </w:rPr>
            </w:pPr>
            <w:r>
              <w:rPr>
                <w:rFonts w:ascii="Arial" w:cs="Arial" w:eastAsia="Arial" w:hAnsi="Arial"/>
                <w:sz w:val="14"/>
                <w:szCs w:val="14"/>
                <w:b w:val="1"/>
                <w:bCs w:val="1"/>
                <w:color w:val="auto"/>
              </w:rPr>
              <w:t>(unaudited)</w:t>
            </w:r>
          </w:p>
        </w:tc>
        <w:tc>
          <w:tcPr>
            <w:tcW w:w="6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60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3"/>
              </w:rPr>
              <w:t>$ 195</w:t>
            </w:r>
          </w:p>
        </w:tc>
        <w:tc>
          <w:tcPr>
            <w:tcW w:w="124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$ 105</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89"/>
        </w:trPr>
        <w:tc>
          <w:tcPr>
            <w:tcW w:w="7060" w:type="dxa"/>
            <w:vAlign w:val="bottom"/>
            <w:gridSpan w:val="2"/>
          </w:tcPr>
          <w:p>
            <w:pPr>
              <w:spacing w:after="0" w:line="189" w:lineRule="exact"/>
              <w:rPr>
                <w:sz w:val="20"/>
                <w:szCs w:val="20"/>
                <w:color w:val="auto"/>
              </w:rPr>
            </w:pPr>
            <w:r>
              <w:rPr>
                <w:rFonts w:ascii="Arial" w:cs="Arial" w:eastAsia="Arial" w:hAnsi="Arial"/>
                <w:sz w:val="17"/>
                <w:szCs w:val="17"/>
                <w:color w:val="auto"/>
              </w:rPr>
              <w:t>General and administrative</w:t>
            </w:r>
          </w:p>
        </w:tc>
        <w:tc>
          <w:tcPr>
            <w:tcW w:w="600" w:type="dxa"/>
            <w:vAlign w:val="bottom"/>
            <w:gridSpan w:val="3"/>
          </w:tcPr>
          <w:p>
            <w:pPr>
              <w:jc w:val="right"/>
              <w:ind w:right="180"/>
              <w:spacing w:after="0" w:line="189" w:lineRule="exact"/>
              <w:rPr>
                <w:sz w:val="20"/>
                <w:szCs w:val="20"/>
                <w:color w:val="auto"/>
              </w:rPr>
            </w:pPr>
            <w:r>
              <w:rPr>
                <w:rFonts w:ascii="Arial" w:cs="Arial" w:eastAsia="Arial" w:hAnsi="Arial"/>
                <w:sz w:val="17"/>
                <w:szCs w:val="17"/>
                <w:color w:val="auto"/>
              </w:rPr>
              <w:t>16</w:t>
            </w:r>
          </w:p>
        </w:tc>
        <w:tc>
          <w:tcPr>
            <w:tcW w:w="1240" w:type="dxa"/>
            <w:vAlign w:val="bottom"/>
            <w:gridSpan w:val="3"/>
          </w:tcPr>
          <w:p>
            <w:pPr>
              <w:jc w:val="right"/>
              <w:ind w:right="420"/>
              <w:spacing w:after="0" w:line="189" w:lineRule="exact"/>
              <w:rPr>
                <w:sz w:val="20"/>
                <w:szCs w:val="20"/>
                <w:color w:val="auto"/>
              </w:rPr>
            </w:pPr>
            <w:r>
              <w:rPr>
                <w:rFonts w:ascii="Arial" w:cs="Arial" w:eastAsia="Arial" w:hAnsi="Arial"/>
                <w:sz w:val="17"/>
                <w:szCs w:val="17"/>
                <w:color w:val="auto"/>
              </w:rPr>
              <w:t>33</w:t>
            </w:r>
          </w:p>
        </w:tc>
        <w:tc>
          <w:tcPr>
            <w:tcW w:w="140" w:type="dxa"/>
            <w:vAlign w:val="bottom"/>
          </w:tcPr>
          <w:p>
            <w:pPr>
              <w:spacing w:after="0"/>
              <w:rPr>
                <w:sz w:val="16"/>
                <w:szCs w:val="16"/>
                <w:color w:val="auto"/>
              </w:rPr>
            </w:pP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7</w:t>
            </w:r>
          </w:p>
        </w:tc>
        <w:tc>
          <w:tcPr>
            <w:tcW w:w="180" w:type="dxa"/>
            <w:vAlign w:val="bottom"/>
          </w:tcPr>
          <w:p>
            <w:pPr>
              <w:spacing w:after="0"/>
              <w:rPr>
                <w:sz w:val="16"/>
                <w:szCs w:val="16"/>
                <w:color w:val="auto"/>
              </w:rPr>
            </w:pPr>
          </w:p>
        </w:tc>
        <w:tc>
          <w:tcPr>
            <w:tcW w:w="6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89"/>
        </w:trPr>
        <w:tc>
          <w:tcPr>
            <w:tcW w:w="7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58</w:t>
            </w:r>
          </w:p>
        </w:tc>
        <w:tc>
          <w:tcPr>
            <w:tcW w:w="1240" w:type="dxa"/>
            <w:vAlign w:val="bottom"/>
            <w:gridSpan w:val="3"/>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159</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20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vMerge w:val="continue"/>
          </w:tcPr>
          <w:p>
            <w:pPr>
              <w:spacing w:after="0"/>
              <w:rPr>
                <w:sz w:val="17"/>
                <w:szCs w:val="17"/>
                <w:color w:val="auto"/>
              </w:rPr>
            </w:pPr>
          </w:p>
        </w:tc>
        <w:tc>
          <w:tcPr>
            <w:tcW w:w="5860" w:type="dxa"/>
            <w:vAlign w:val="bottom"/>
          </w:tcPr>
          <w:p>
            <w:pPr>
              <w:spacing w:after="0"/>
              <w:rPr>
                <w:sz w:val="17"/>
                <w:szCs w:val="17"/>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w w:val="93"/>
              </w:rPr>
              <w:t>$ 269</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$ 297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76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
        </w:trPr>
        <w:tc>
          <w:tcPr>
            <w:tcW w:w="70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tcBorders>
              <w:bottom w:val="single" w:sz="8" w:color="auto"/>
            </w:tcBorders>
            <w:gridSpan w:val="5"/>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7660" w:type="dxa"/>
            <w:vAlign w:val="bottom"/>
            <w:gridSpan w:val="5"/>
          </w:tcPr>
          <w:p>
            <w:pPr>
              <w:spacing w:after="0"/>
              <w:rPr>
                <w:sz w:val="20"/>
                <w:szCs w:val="20"/>
                <w:color w:val="auto"/>
              </w:rPr>
            </w:pPr>
            <w:r>
              <w:rPr>
                <w:rFonts w:ascii="Arial" w:cs="Arial" w:eastAsia="Arial" w:hAnsi="Arial"/>
                <w:sz w:val="17"/>
                <w:szCs w:val="17"/>
                <w:color w:val="auto"/>
              </w:rPr>
              <w:t>As of March 31, 2020, total unamortized stock-based compensation expense was $6.1 million.</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060" w:type="dxa"/>
            <w:vAlign w:val="bottom"/>
            <w:gridSpan w:val="2"/>
          </w:tcPr>
          <w:p>
            <w:pPr>
              <w:spacing w:after="0"/>
              <w:rPr>
                <w:sz w:val="20"/>
                <w:szCs w:val="20"/>
                <w:color w:val="auto"/>
              </w:rPr>
            </w:pPr>
            <w:r>
              <w:rPr>
                <w:rFonts w:ascii="Arial" w:cs="Arial" w:eastAsia="Arial" w:hAnsi="Arial"/>
                <w:sz w:val="17"/>
                <w:szCs w:val="17"/>
                <w:color w:val="auto"/>
              </w:rPr>
              <w:t>The intrinsic value of all outstanding stock options as of March 31, 2020 was approximately $</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60" w:type="dxa"/>
            <w:vAlign w:val="bottom"/>
            <w:gridSpan w:val="9"/>
          </w:tcPr>
          <w:p>
            <w:pPr>
              <w:jc w:val="center"/>
              <w:ind w:right="80"/>
              <w:spacing w:after="0"/>
              <w:rPr>
                <w:sz w:val="20"/>
                <w:szCs w:val="20"/>
                <w:color w:val="auto"/>
              </w:rPr>
            </w:pPr>
            <w:r>
              <w:rPr>
                <w:rFonts w:ascii="Arial" w:cs="Arial" w:eastAsia="Arial" w:hAnsi="Arial"/>
                <w:sz w:val="17"/>
                <w:szCs w:val="17"/>
                <w:color w:val="auto"/>
              </w:rPr>
              <w:t>million based on the common stock fair</w:t>
            </w:r>
          </w:p>
        </w:tc>
        <w:tc>
          <w:tcPr>
            <w:tcW w:w="0" w:type="dxa"/>
            <w:vAlign w:val="bottom"/>
          </w:tcPr>
          <w:p>
            <w:pPr>
              <w:spacing w:after="0"/>
              <w:rPr>
                <w:sz w:val="1"/>
                <w:szCs w:val="1"/>
                <w:color w:val="auto"/>
              </w:rPr>
            </w:pPr>
          </w:p>
        </w:tc>
      </w:tr>
      <w:tr>
        <w:trPr>
          <w:trHeight w:val="205"/>
        </w:trPr>
        <w:tc>
          <w:tcPr>
            <w:tcW w:w="1200" w:type="dxa"/>
            <w:vAlign w:val="bottom"/>
          </w:tcPr>
          <w:p>
            <w:pPr>
              <w:spacing w:after="0"/>
              <w:rPr>
                <w:sz w:val="20"/>
                <w:szCs w:val="20"/>
                <w:color w:val="auto"/>
              </w:rPr>
            </w:pPr>
            <w:r>
              <w:rPr>
                <w:rFonts w:ascii="Arial" w:cs="Arial" w:eastAsia="Arial" w:hAnsi="Arial"/>
                <w:sz w:val="17"/>
                <w:szCs w:val="17"/>
                <w:color w:val="auto"/>
              </w:rPr>
              <w:t>value of $</w:t>
            </w:r>
          </w:p>
        </w:tc>
        <w:tc>
          <w:tcPr>
            <w:tcW w:w="7700" w:type="dxa"/>
            <w:vAlign w:val="bottom"/>
            <w:gridSpan w:val="7"/>
          </w:tcPr>
          <w:p>
            <w:pPr>
              <w:ind w:left="340"/>
              <w:spacing w:after="0"/>
              <w:rPr>
                <w:sz w:val="20"/>
                <w:szCs w:val="20"/>
                <w:color w:val="auto"/>
              </w:rPr>
            </w:pPr>
            <w:r>
              <w:rPr>
                <w:rFonts w:ascii="Arial" w:cs="Arial" w:eastAsia="Arial" w:hAnsi="Arial"/>
                <w:sz w:val="17"/>
                <w:szCs w:val="17"/>
                <w:color w:val="auto"/>
              </w:rPr>
              <w:t>per share, the midpoint of the price range set forth on the cover page of this prospectus.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Determination of the Fair Value of Common Stock</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are required to estimate the fair value of the common stock underlying our stock-based awards when performing the fair value calculations using the Black-Scholes option pricing model. Because our common stock is not currently publicly traded, the fair value of the common stock underlying our stock-based awards has been determined on each grant date by our board of directors, with input from management, considering our most recently available third-party valuation of common shares.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48"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In the absence of a public trading market for our common stock, on each grant date, our board of directors made a reasonable determination of the fair value of our common stock based on the information known to us on the date of grant, upon a review of any recent events and their potential impact on the estimated fair value per share of the common stock, and timely valuations from an independent third-party valuation in accordance with guidance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17"/>
          <w:szCs w:val="17"/>
          <w:color w:val="auto"/>
        </w:rPr>
        <w:t xml:space="preserve">provided by the American Institute of Certified Public Accountants Practice Aid, </w:t>
      </w:r>
      <w:r>
        <w:rPr>
          <w:rFonts w:ascii="Arial" w:cs="Arial" w:eastAsia="Arial" w:hAnsi="Arial"/>
          <w:sz w:val="17"/>
          <w:szCs w:val="17"/>
          <w:i w:val="1"/>
          <w:iCs w:val="1"/>
          <w:color w:val="auto"/>
        </w:rPr>
        <w:t>Valuation of Privately-Held-Company Equity Securities Issued as</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or Practice Aid. In addition, our board of directors considered various objective and subjective factors to determine the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including:</w:t>
      </w:r>
    </w:p>
    <w:p>
      <w:pPr>
        <w:spacing w:after="0" w:line="182" w:lineRule="exact"/>
        <w:rPr>
          <w:sz w:val="20"/>
          <w:szCs w:val="20"/>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estimated value of each security both outstanding and anticipated;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anticipated capital structure that will directly impact the value of the currently outstanding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our results of operations and financial position;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status of our research and development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composition of, and changes to, our management team and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lack of liquidity of our common stock as a private company;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our stage of development and business strategy and the material risks related to our business and industry;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external market conditions affecting the life sciences and biotechnology industry sectors;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U.S. and global economic conditions;</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likelihood of achieving a liquidity event for the holders of our common stock, such as an initial public offering or a sale of our company, given prevailing market conditions;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market value and volatility of comparable companies.</w:t>
      </w:r>
    </w:p>
    <w:p>
      <w:pPr>
        <w:spacing w:after="0" w:line="156"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70" w:lineRule="exact"/>
        <w:rPr>
          <w:sz w:val="20"/>
          <w:szCs w:val="20"/>
          <w:color w:val="auto"/>
        </w:rPr>
      </w:pPr>
    </w:p>
    <w:p>
      <w:pPr>
        <w:ind w:left="980" w:hanging="432"/>
        <w:spacing w:after="0" w:line="248"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i w:val="1"/>
          <w:iCs w:val="1"/>
          <w:color w:val="auto"/>
        </w:rPr>
        <w:t>Option Pricing Method</w:t>
      </w:r>
      <w:r>
        <w:rPr>
          <w:rFonts w:ascii="Arial" w:cs="Arial" w:eastAsia="Arial" w:hAnsi="Arial"/>
          <w:sz w:val="17"/>
          <w:szCs w:val="17"/>
          <w:color w:val="auto"/>
        </w:rPr>
        <w:t>. Under the option pricing method, or OPM, shares are valued by creating a series of call options with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prices based on the liquidation preferences and conversion terms of each equity class. The estimated fair values of the preferred and common stock are inferred by analyzing these options.</w:t>
      </w:r>
    </w:p>
    <w:p>
      <w:pPr>
        <w:spacing w:after="0" w:line="1" w:lineRule="exact"/>
        <w:rPr>
          <w:rFonts w:ascii="MS PGothic" w:cs="MS PGothic" w:eastAsia="MS PGothic" w:hAnsi="MS PGothic"/>
          <w:sz w:val="13"/>
          <w:szCs w:val="13"/>
          <w:color w:val="auto"/>
        </w:rPr>
      </w:pPr>
    </w:p>
    <w:p>
      <w:pPr>
        <w:ind w:left="980" w:right="180" w:hanging="432"/>
        <w:spacing w:after="0" w:line="248"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i w:val="1"/>
          <w:iCs w:val="1"/>
          <w:color w:val="auto"/>
        </w:rPr>
        <w:t>Probability-Weighted Expected Return Method</w:t>
      </w:r>
      <w:r>
        <w:rPr>
          <w:rFonts w:ascii="Arial" w:cs="Arial" w:eastAsia="Arial" w:hAnsi="Arial"/>
          <w:sz w:val="17"/>
          <w:szCs w:val="17"/>
          <w:color w:val="auto"/>
        </w:rPr>
        <w:t>. The probability-weighted expected return method, or PWERM, is a scenario-based</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 w:lineRule="exact"/>
        <w:rPr>
          <w:rFonts w:ascii="MS PGothic" w:cs="MS PGothic" w:eastAsia="MS PGothic" w:hAnsi="MS PGothic"/>
          <w:sz w:val="13"/>
          <w:szCs w:val="13"/>
          <w:color w:val="auto"/>
        </w:rPr>
      </w:pPr>
    </w:p>
    <w:p>
      <w:pPr>
        <w:jc w:val="both"/>
        <w:ind w:left="980" w:right="40" w:hanging="432"/>
        <w:spacing w:after="0" w:line="248"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i w:val="1"/>
          <w:iCs w:val="1"/>
          <w:color w:val="auto"/>
        </w:rPr>
        <w:t>Current Value Method</w:t>
      </w:r>
      <w:r>
        <w:rPr>
          <w:rFonts w:ascii="Arial" w:cs="Arial" w:eastAsia="Arial" w:hAnsi="Arial"/>
          <w:sz w:val="17"/>
          <w:szCs w:val="17"/>
          <w:color w:val="auto"/>
        </w:rPr>
        <w:t>. Under the Current Value Method, or CVM, our value is determined based on our balance sheet. This value is</w:t>
      </w:r>
      <w:r>
        <w:rPr>
          <w:rFonts w:ascii="Arial" w:cs="Arial" w:eastAsia="Arial" w:hAnsi="Arial"/>
          <w:sz w:val="17"/>
          <w:szCs w:val="17"/>
          <w:i w:val="1"/>
          <w:iCs w:val="1"/>
          <w:color w:val="auto"/>
        </w:rPr>
        <w:t xml:space="preserve"> </w:t>
      </w:r>
      <w:r>
        <w:rPr>
          <w:rFonts w:ascii="Arial" w:cs="Arial" w:eastAsia="Arial" w:hAnsi="Arial"/>
          <w:sz w:val="17"/>
          <w:szCs w:val="17"/>
          <w:color w:val="auto"/>
        </w:rPr>
        <w:t>then first allocated based on the liquidation preference associated with convertible preferred stock issued as of the valuation date, and then any residual value is assigned to the common stock.</w:t>
      </w:r>
    </w:p>
    <w:p>
      <w:pPr>
        <w:spacing w:after="0" w:line="1"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i w:val="1"/>
          <w:iCs w:val="1"/>
          <w:color w:val="auto"/>
        </w:rPr>
        <w:t>Hybrid Methods of Enterprise Value Allocation</w:t>
      </w:r>
      <w:r>
        <w:rPr>
          <w:rFonts w:ascii="Arial" w:cs="Arial" w:eastAsia="Arial" w:hAnsi="Arial"/>
          <w:sz w:val="17"/>
          <w:szCs w:val="17"/>
          <w:color w:val="auto"/>
        </w:rPr>
        <w:t>. The hybrid method is a hybrid between the PWERM and OPM, estimating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probability-weighted value across multiple scenarios but using the OPM to estimate the allocation of value within one or more of those scenarios. The hybrid method can be a useful alternative to explicitly modeling all PWERM scenarios in situations when the company has transparency into one or more near-term exits but is unsure about what will occur if the current plans fall through.</w:t>
      </w:r>
    </w:p>
    <w:p>
      <w:pPr>
        <w:spacing w:after="0" w:line="144"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Based on our early stage of development and other relevant factors, we determined that an OPM was the most appropriate method for allocating our enterprise value to determine the estimated fair value of our common stock for valuations performed.</w:t>
      </w:r>
    </w:p>
    <w:p>
      <w:pPr>
        <w:spacing w:after="0" w:line="144"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April 15, 2019 ordinary share valuation was based on a back-solve method of OPM, which derives the implied equity value for one type of equity security from a contemporaneous transaction involving another type of security, the Series B convertible preferred shares in this instance.</w:t>
      </w:r>
    </w:p>
    <w:p>
      <w:pPr>
        <w:spacing w:after="0" w:line="144"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For valuations performed after this date, we began using a hybrid of the OPM and the PWERM methods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For the February 10, 2020, April 1, 2020 and May 18, 2020 ordinary share valuations, we have used a hybrid method to determine the fair value of our common stock, in addition to giving consideration hybrid method, multiple valuation approaches were used and then combined into a single probability-weighted valuation, consistent with the Practice Aid. Our approach included the use of initial public offering scenario and an OPM.</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49"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Following the closing of this offering, the fair value of our common stock will be the closing price of our common stock on the Nasdaq Global Select Market as reported on the date of the grant.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93"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are not expected to have a material impact on our financial position or results of operations upon adoption.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February 2016, the FASB issued ASU No. 2016-02 (Topic 842), Leases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us beginning January 1, 2022. Early adoption is permitted. We are currently evaluating the effects of the adoption of this guidance on our consolidated financial statements and related disclosures.</w:t>
      </w:r>
    </w:p>
    <w:p>
      <w:pPr>
        <w:spacing w:after="0" w:line="15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us beginning January 1, 2022. Early adoption is permitted. We are currently in the process of evaluating the effects of the adoption of this guidance on our consolidated financial statements and do not expect it to have a material impact on our consolidated financial statements.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a clinical 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51"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147"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ALX148’s design has several advantages that we believe will make it broadly applicable to treating a number of oncology indications. Due to the inactive Fc, ALX148 is specifically designed for use in combination with other anti-</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cancer agents that provide a positive immune-stimulating signal. We believe ALX148 has a favorable tolerability profile that may enable higher dosing levels and greater combination potential with other leading anti-cancer agents. Additionally, the molecular weight of ALX148 is half that of a typical antibody. The relatively smaller size of our molecule may facilitate increased penetrance into the tumor microenvironment. We believe these properties may enable ALX148 to provide superior therapeutic benefits.</w:t>
      </w:r>
    </w:p>
    <w:p>
      <w:pPr>
        <w:spacing w:after="0" w:line="149" w:lineRule="exact"/>
        <w:rPr>
          <w:sz w:val="20"/>
          <w:szCs w:val="20"/>
          <w:color w:val="auto"/>
        </w:rPr>
      </w:pPr>
    </w:p>
    <w:p>
      <w:pPr>
        <w:ind w:left="120" w:right="300"/>
        <w:spacing w:after="0" w:line="235" w:lineRule="auto"/>
        <w:rPr>
          <w:sz w:val="20"/>
          <w:szCs w:val="20"/>
          <w:color w:val="auto"/>
        </w:rPr>
      </w:pPr>
      <w:r>
        <w:rPr>
          <w:rFonts w:ascii="Arial" w:cs="Arial" w:eastAsia="Arial" w:hAnsi="Arial"/>
          <w:sz w:val="17"/>
          <w:szCs w:val="17"/>
          <w:color w:val="auto"/>
        </w:rPr>
        <w:t>Clinical data to date in ALX148 have not shown dose-dependent hematologic toxicities, which are characteristic of other CD47 blockers that incorporate an active Fc domain. At least 122 subjects have been treated with ALX148 in combination with targeted anti-cancer agents and checkpoint inhibitors as of April 1, 2020. As of the same date, two subjects (2%) experienced treatment-related grade 3+ anemia and only five subjects (4%) treatment-related serious adverse events of any kind. ALX148 has not reached a maximum tolerated dose in any of the combinations evaluated to date.</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plan to advance ALX148 for the treatment of MDS and AML. In our ongoing Phase 1b trial of ALX148 in combination with an anti-CD20 agent to treat subjects with relapsed/refractory non-Hodgkin’s lymphoma, or NHL, ALX148 demonstrated a higher response rate at higher doses and achieved a 54.6% objective response rate, or ORR, in the highest dose (15 mg/kg once per week, or QW) cohort as compared to a 40.9% ORR at the lower dose (10 mg/kg QW) cohort. We view this ORR as compelling evidence for the role of ALX148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both MDS and AML, albeit with high rates of cytopenias. We have conducted preclinical studies of ALX148 combined with azacitidine or venetoclax that support our clinical development plan in MDS and AML. Azacitidine is a standard of care agent for the treatment of MDS. Azacitidine and venetoclax are both standard of care regimen components for the treatment of AML in older patients and those who are not candidates for intensive induction chemotherapy due to comorbidities. Our studies and those of others show that azacitidine increases calreticulin display, an “eat me” signal, in tumor models. Additionally, we have shown that azacitidine and ALX148 in combination produce increased phagocytosis in vitro and anti-tumor activity in mouse models compared to azacitidine alone. Furthermore, we have demonstrated in preclinical studies that ALX148 when combined with venetoclax increases tumor growth inhibition in a leukemia tumor model, compared to venetoclax alone. We are planning to advance ALX148 into a Phase 1b/2 trial in combination with azacitidine for the first-line treatment of subjects with higher-risk MDS by the end of 2020. We also plan to advanced ALX148 into a Phase 1b/2 trial in combination with standard of care agents for the first-line treatment of subjects with AML in 2021.</w:t>
      </w:r>
    </w:p>
    <w:p>
      <w:pPr>
        <w:spacing w:after="0" w:line="15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ALX148 has also generated promising clinical data in solid tumors in combinations with a leading tumor antigen targeting antibody, a leading checkpoint inhibitor and chemotherapy. We believe that ALX148 induces multiple responses that bridge innate and adaptive immunity. We are investigating ALX148 for the treatment of HNSCC and HER2-positive gastric/GEJ carcinoma. In Phase 1b clinical trials, ALX148 has demonstrated both promising levels of anti-tumor activity and tolerability in combination with other broadly utilized cancer agents. Based on these results, the Food &amp; Drug Administration, or FDA, has granted Fast Track designation for ALX148 for both the treatment of patients with HNSCC in the first-line setting and for patients with HER2-positive advanced gastric or 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in solid tumors. We are planning to advance ALX148 into Phase 2 trials in subjects with HNSCC in combination with pembrolizumab, marketed as Keytruda and the market leading anti-programmed cell death protein-1, or PD-1, checkpoint inhibitor, in the first half of 2021, and gastric/GEJ carcinoma in combination with trastuzumab, marketed as Herceptin, the market-leading anti-HER2 antibody, in the second half of 2021.</w:t>
      </w:r>
    </w:p>
    <w:p>
      <w:pPr>
        <w:spacing w:after="0" w:line="15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 We own global rights to all of our product candidates.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980" w:right="40" w:hanging="432"/>
        <w:spacing w:after="0" w:line="237"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plan to initiate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1b/2 trial of ALX148, in combination with azacitidine, for the first-line treatment of patients with higher-risk MDS by the end of 2020 and in combination with standard of care agents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high-risk MDS. Similarly, we believe ALX148 combination therapies could address the significant unmet need for more active tolerable regimens in the majority of patients with AML who are not fit for intensive induction chemotherapy.</w:t>
      </w:r>
    </w:p>
    <w:p>
      <w:pPr>
        <w:spacing w:after="0" w:line="8"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CD47 blocking approaches in solid tumors. We have generated encouraging data in subjects with HNSCC treated with ALX148 in combination with a PD-1 checkpoint inhibitor and in subjects with HER2-positive gastric/GEJ cancer, who have progressed on prior HER2-targeted therapy and chemotherapy, treated in combination with a HER2-targeted antibody. We have initiated additional Phase 1b cohorts for the first-line treatment of subjects with HNSCC and patients with HER2-positive gastric/GEJ cancer, with Phase 1b data expected in 2021. The FDA has granted ALX148 Fast Track designation in first-line HNSCC and advanced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randomized Phase 2 trial of ALX148, trastuzumab and chemotherapy in first-line HER2-positive gastric/GEJ cancer to inform future paths to registration in this indication.</w:t>
      </w:r>
    </w:p>
    <w:p>
      <w:pPr>
        <w:spacing w:after="0" w:line="8" w:lineRule="exact"/>
        <w:rPr>
          <w:rFonts w:ascii="MS PGothic" w:cs="MS PGothic" w:eastAsia="MS PGothic" w:hAnsi="MS PGothic"/>
          <w:sz w:val="13"/>
          <w:szCs w:val="13"/>
          <w:color w:val="auto"/>
        </w:rPr>
      </w:pPr>
    </w:p>
    <w:p>
      <w:pPr>
        <w:ind w:left="980" w:right="80" w:hanging="432"/>
        <w:spacing w:after="0" w:line="244"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 engage the immune</w:t>
      </w:r>
      <w:r>
        <w:rPr>
          <w:rFonts w:ascii="Arial" w:cs="Arial" w:eastAsia="Arial" w:hAnsi="Arial"/>
          <w:sz w:val="17"/>
          <w:szCs w:val="17"/>
          <w:b w:val="1"/>
          <w:bCs w:val="1"/>
          <w:color w:val="auto"/>
        </w:rPr>
        <w:t xml:space="preserve"> </w:t>
      </w:r>
      <w:r>
        <w:rPr>
          <w:rFonts w:ascii="Arial" w:cs="Arial" w:eastAsia="Arial" w:hAnsi="Arial"/>
          <w:sz w:val="17"/>
          <w:szCs w:val="17"/>
          <w:color w:val="auto"/>
        </w:rPr>
        <w:t>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our future product candidates with other novel agents owned fully or in part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Pipeline</w:t>
      </w:r>
    </w:p>
    <w:p>
      <w:pPr>
        <w:spacing w:after="0" w:line="9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34975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4924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also developing preclinical programs that may offer additional ways to engage the innate and adaptive immune response to cancer.</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CD47 Scientific Background</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48"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Cancer cells evade phagocytosis by up-regulating CD47, a transmembrane protein that mainly functions as an anti-phagocytic “don’t eat me” signal for healthy cells. CD47 interacts with its cognate receptor SIRPa,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High CD47 expression in cancer cells has been shown to be a prognostic indicator of decreased survival in multiple oncology indications. A study published by Majeti, et al. in 2009, assessed this association in a validation cohort of 137 subjects with acute myeloid leukemia, or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124460</wp:posOffset>
            </wp:positionV>
            <wp:extent cx="2717165" cy="16973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1716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CD47 as a therapeutic checkpoint target</w:t>
      </w:r>
    </w:p>
    <w:p>
      <w:pPr>
        <w:spacing w:after="0" w:line="95"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4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Existing anti-cancer therapeutics can increase “eat me” signals on cancer cells. For example, the hypomethylating agent, or HMA, azacitidine activates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Fcg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product candidate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139700</wp:posOffset>
            </wp:positionV>
            <wp:extent cx="5349240" cy="2057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have been a number of approaches to blocking CD47, including monoclonal antibodies and fusion proteins that include an active Fc region.</w:t>
      </w:r>
    </w:p>
    <w:p>
      <w:pPr>
        <w:ind w:left="120"/>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76" w:lineRule="exact"/>
        <w:rPr>
          <w:sz w:val="20"/>
          <w:szCs w:val="20"/>
          <w:color w:val="auto"/>
        </w:rPr>
      </w:pPr>
    </w:p>
    <w:p>
      <w:pPr>
        <w:ind w:left="980" w:right="20" w:hanging="432"/>
        <w:spacing w:after="0" w:line="238"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b w:val="1"/>
          <w:bCs w:val="1"/>
          <w:color w:val="auto"/>
        </w:rPr>
        <w:t>Limited dosing and therapeutic window</w:t>
      </w:r>
      <w:r>
        <w:rPr>
          <w:rFonts w:ascii="Arial" w:cs="Arial" w:eastAsia="Arial" w:hAnsi="Arial"/>
          <w:sz w:val="17"/>
          <w:szCs w:val="17"/>
          <w:color w:val="auto"/>
        </w:rPr>
        <w:t>: All clinical data to date from other CD47 blocking agents have come from approaches</w:t>
      </w:r>
      <w:r>
        <w:rPr>
          <w:rFonts w:ascii="Arial" w:cs="Arial" w:eastAsia="Arial" w:hAnsi="Arial"/>
          <w:sz w:val="17"/>
          <w:szCs w:val="17"/>
          <w:b w:val="1"/>
          <w:bCs w:val="1"/>
          <w:color w:val="auto"/>
        </w:rPr>
        <w:t xml:space="preserve"> </w:t>
      </w:r>
      <w:r>
        <w:rPr>
          <w:rFonts w:ascii="Arial" w:cs="Arial" w:eastAsia="Arial" w:hAnsi="Arial"/>
          <w:sz w:val="17"/>
          <w:szCs w:val="17"/>
          <w:color w:val="auto"/>
        </w:rPr>
        <w:t>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6"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b w:val="1"/>
          <w:bCs w:val="1"/>
          <w:color w:val="auto"/>
        </w:rPr>
        <w:t>Limited ability to combine with other anti-cancer agents</w:t>
      </w:r>
      <w:r>
        <w:rPr>
          <w:rFonts w:ascii="Arial" w:cs="Arial" w:eastAsia="Arial" w:hAnsi="Arial"/>
          <w:sz w:val="17"/>
          <w:szCs w:val="17"/>
          <w:color w:val="auto"/>
        </w:rPr>
        <w:t>: Combination therapies continue to play an important role in treating</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Fcg receptors on immune cells.</w:t>
      </w:r>
    </w:p>
    <w:p>
      <w:pPr>
        <w:spacing w:after="0" w:line="20" w:lineRule="exact"/>
        <w:rPr>
          <w:rFonts w:ascii="MS PGothic" w:cs="MS PGothic" w:eastAsia="MS PGothic" w:hAnsi="MS PGothic"/>
          <w:sz w:val="13"/>
          <w:szCs w:val="13"/>
          <w:color w:val="auto"/>
        </w:rPr>
      </w:pPr>
    </w:p>
    <w:p>
      <w:pPr>
        <w:ind w:left="980" w:right="80" w:hanging="432"/>
        <w:spacing w:after="0" w:line="248"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b w:val="1"/>
          <w:bCs w:val="1"/>
          <w:color w:val="auto"/>
        </w:rPr>
        <w:t>Limited efficacy in solid tumors</w:t>
      </w:r>
      <w:r>
        <w:rPr>
          <w:rFonts w:ascii="Arial" w:cs="Arial" w:eastAsia="Arial" w:hAnsi="Arial"/>
          <w:sz w:val="17"/>
          <w:szCs w:val="17"/>
          <w:color w:val="auto"/>
        </w:rPr>
        <w:t>: To date, other CD47 blocking agents have failed to achieve meaningful clinical activity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solid tumors, as the balance between managing cytopenias and maximizing efficacy may lead to tolerable doses that are too low to facilitate tumor penetration and efficacy.</w:t>
      </w:r>
    </w:p>
    <w:p>
      <w:pPr>
        <w:spacing w:after="0" w:line="1" w:lineRule="exact"/>
        <w:rPr>
          <w:rFonts w:ascii="MS PGothic" w:cs="MS PGothic" w:eastAsia="MS PGothic" w:hAnsi="MS PGothic"/>
          <w:sz w:val="13"/>
          <w:szCs w:val="13"/>
          <w:color w:val="auto"/>
        </w:rPr>
      </w:pPr>
    </w:p>
    <w:p>
      <w:pPr>
        <w:ind w:left="980" w:right="60" w:hanging="432"/>
        <w:spacing w:after="0" w:line="241" w:lineRule="auto"/>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selection when evaluating potential indications. In some cases, only subjects with lower risk of hematologic complications have been selected for treatment for other CD47 blocking agents due to drug related risk of severe cytopenias. Several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2160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93"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17"/>
          <w:szCs w:val="17"/>
          <w:color w:val="auto"/>
        </w:rPr>
        <w:t>We founded ALX Oncology because we believed the limitations described above would prevent CD47 blockade from reaching its full potential as a therapy for patients with cancer. From the company’s inception, we designed ALX148 to overcome these limitations and to maximize the utility of CD47 blockade as an effective anti-cancer therapeutic for a broad range of tumors. Specifically, we believe ALX148 may provide the following significant advantages:</w:t>
      </w:r>
    </w:p>
    <w:p>
      <w:pPr>
        <w:sectPr>
          <w:pgSz w:w="11900" w:h="16838" w:orient="portrait"/>
          <w:cols w:equalWidth="0" w:num="1">
            <w:col w:w="11120"/>
          </w:cols>
          <w:pgMar w:left="320" w:top="459" w:right="459" w:bottom="1440" w:gutter="0" w:footer="0" w:header="0"/>
        </w:sectPr>
      </w:pPr>
    </w:p>
    <w:p>
      <w:pPr>
        <w:spacing w:after="0" w:line="170"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ALX148</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b w:val="1"/>
          <w:bCs w:val="1"/>
          <w:color w:val="auto"/>
        </w:rPr>
        <w:t>Broader therapeutic window</w:t>
      </w:r>
      <w:r>
        <w:rPr>
          <w:rFonts w:ascii="Arial" w:cs="Arial" w:eastAsia="Arial" w:hAnsi="Arial"/>
          <w:sz w:val="17"/>
          <w:szCs w:val="17"/>
          <w:color w:val="auto"/>
        </w:rPr>
        <w:t>: We believe ALX148’s broader therapeutic window will allow for greater drug exposure than other</w:t>
      </w:r>
      <w:r>
        <w:rPr>
          <w:rFonts w:ascii="Arial" w:cs="Arial" w:eastAsia="Arial" w:hAnsi="Arial"/>
          <w:sz w:val="17"/>
          <w:szCs w:val="17"/>
          <w:b w:val="1"/>
          <w:bCs w:val="1"/>
          <w:color w:val="auto"/>
        </w:rPr>
        <w:t xml:space="preserve"> </w:t>
      </w:r>
      <w:r>
        <w:rPr>
          <w:rFonts w:ascii="Arial" w:cs="Arial" w:eastAsia="Arial" w:hAnsi="Arial"/>
          <w:sz w:val="17"/>
          <w:szCs w:val="17"/>
          <w:color w:val="auto"/>
        </w:rPr>
        <w:t>CD47 blocking agents potentially translating into improved efficacy across a range of cancers, including MDS and AML, compared to other CD47 blocking agents. To date, we have not yet reached a maximum tolerated dose, or MTD, for ALX148. Furthermore, flexibility in dosing could allow for several administration schedules (weekly, bi-weekly, every three weeks, monthly) that are more amenable to combination therapy dosing schedules, potentially improving a patient’s quality of life.</w:t>
      </w:r>
    </w:p>
    <w:p>
      <w:pPr>
        <w:spacing w:after="0" w:line="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b w:val="1"/>
          <w:bCs w:val="1"/>
          <w:color w:val="auto"/>
        </w:rPr>
        <w:t>Strong potential for combination with other anti-cancer agents</w:t>
      </w:r>
      <w:r>
        <w:rPr>
          <w:rFonts w:ascii="Arial" w:cs="Arial" w:eastAsia="Arial" w:hAnsi="Arial"/>
          <w:sz w:val="17"/>
          <w:szCs w:val="17"/>
          <w:color w:val="auto"/>
        </w:rPr>
        <w:t>: CD47 blocking agents are combined with other therapeutics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maximize their potential in treating patients with cancer. Unlike other CD47 blocking agents, ALX148 was specifically designed to be combined with other anti-cancer agents. We believe ALX148’s favorable toxicity profile will enable it to be combined with a wider range of anti-cancer agents, including chemotherapy and cytotoxic containing regimens, compared to other CD47 blocking agents. Furthermore, we believe that ALX148’s inactive Fc domain will neither compete with nor potentially limit the efficacy of anti-cancer antibodies when used in combination treatments.</w:t>
      </w:r>
    </w:p>
    <w:p>
      <w:pPr>
        <w:spacing w:after="0" w:line="7"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b w:val="1"/>
          <w:bCs w:val="1"/>
          <w:color w:val="auto"/>
        </w:rPr>
        <w:t>Encouraging responses in solid tumors</w:t>
      </w:r>
      <w:r>
        <w:rPr>
          <w:rFonts w:ascii="Arial" w:cs="Arial" w:eastAsia="Arial" w:hAnsi="Arial"/>
          <w:sz w:val="17"/>
          <w:szCs w:val="17"/>
          <w:color w:val="auto"/>
        </w:rPr>
        <w:t>: ALX148 has demonstrated meaningful Phase 1 clinical data in the treatment of solid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While other CD47 blocking agents have failed to demonstrate meaningful clinical activity in solid tumors, ALX148’s differentiated properties may underlie its encouraging results. Based on the data generated with ALX148 in combination with anti-cancer antibodies and checkpoint inhibitors, our strategy is to pursue ALX148 as a potentially critical component for future combination treatment of solid tumors.</w:t>
      </w:r>
    </w:p>
    <w:p>
      <w:pPr>
        <w:spacing w:after="0" w:line="4"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Broader potential indications</w:t>
      </w:r>
      <w:r>
        <w:rPr>
          <w:rFonts w:ascii="Arial" w:cs="Arial" w:eastAsia="Arial" w:hAnsi="Arial"/>
          <w:sz w:val="17"/>
          <w:szCs w:val="17"/>
          <w:color w:val="auto"/>
        </w:rPr>
        <w:t>: We believe ALX148’s tolerability profile will allow for broad treatment of patient populations in a</w:t>
      </w:r>
      <w:r>
        <w:rPr>
          <w:rFonts w:ascii="Arial" w:cs="Arial" w:eastAsia="Arial" w:hAnsi="Arial"/>
          <w:sz w:val="17"/>
          <w:szCs w:val="17"/>
          <w:b w:val="1"/>
          <w:bCs w:val="1"/>
          <w:color w:val="auto"/>
        </w:rPr>
        <w:t xml:space="preserve"> </w:t>
      </w:r>
      <w:r>
        <w:rPr>
          <w:rFonts w:ascii="Arial" w:cs="Arial" w:eastAsia="Arial" w:hAnsi="Arial"/>
          <w:sz w:val="17"/>
          <w:szCs w:val="17"/>
          <w:color w:val="auto"/>
        </w:rPr>
        <w:t>wide range of oncology indications. Toxicities such as cytopenias associated with other CD47 blocking agents may potentially constrain their development strategies. While initial activity of other CD47 blocking agents has been reported in indications such as MDS and AML where many patients already suffer from disease-induced cytopenias, their development in oncology indications that do not include associated cytopenias may be challenged. We believe ALX148 is well positioned to expand the therapeutic potential of CD47 blockade across a broad spectrum of hematologic and solid tumor indications.</w:t>
      </w:r>
    </w:p>
    <w:p>
      <w:pPr>
        <w:spacing w:after="0" w:line="471" w:lineRule="exact"/>
        <w:rPr>
          <w:sz w:val="20"/>
          <w:szCs w:val="20"/>
          <w:color w:val="auto"/>
        </w:rPr>
      </w:pPr>
    </w:p>
    <w:p>
      <w:pPr>
        <w:sectPr>
          <w:pgSz w:w="11900" w:h="16838" w:orient="portrait"/>
          <w:cols w:equalWidth="0" w:num="2">
            <w:col w:w="780" w:space="200"/>
            <w:col w:w="10140"/>
          </w:cols>
          <w:pgMar w:left="320" w:top="459" w:right="459" w:bottom="1440" w:gutter="0" w:footer="0" w:header="0"/>
          <w:type w:val="continuous"/>
        </w:sectPr>
      </w:pPr>
    </w:p>
    <w:p>
      <w:pPr>
        <w:ind w:left="120" w:right="120"/>
        <w:spacing w:after="0" w:line="235" w:lineRule="auto"/>
        <w:rPr>
          <w:sz w:val="20"/>
          <w:szCs w:val="20"/>
          <w:color w:val="auto"/>
        </w:rPr>
      </w:pPr>
      <w:r>
        <w:rPr>
          <w:rFonts w:ascii="Arial" w:cs="Arial" w:eastAsia="Arial" w:hAnsi="Arial"/>
          <w:sz w:val="17"/>
          <w:szCs w:val="17"/>
          <w:color w:val="auto"/>
        </w:rPr>
        <w:t>Our lead product candidate, ALX148, is a CD47 blocking biologic in development as a combination therapy with other anti-cancer agents for treatment of various oncology indications, including MDS, AML, HNSCC and gastric/GEJ. We engineered ALX148 to maximize CD47 blockade and to avoid hematologic toxicities. We believe ALX148 enhances the efficacy of both anti-cancer targeted antibodies, numerous small molecule drugs and T cell checkpoint inhibitors and exhibits no dose-dependent cytopenias. ALX148 has demonstrated encouraging clinical responses in combination with multiple anti-cancer regimens for both hematologic and solid malignancies.</w:t>
      </w:r>
    </w:p>
    <w:p>
      <w:pPr>
        <w:spacing w:after="0" w:line="15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Other companies have pursued CD47 blocking approaches that prioritize single-agent activity, albeit with limited success. Rather than designing a molecule for monotherapy activity that has been associated with cytopenias, we designed ALX148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20"/>
          </w:cols>
          <w:pgMar w:left="320" w:top="459" w:right="45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Fusion Protein Design</w:t>
      </w:r>
    </w:p>
    <w:p>
      <w:pPr>
        <w:spacing w:after="0" w:line="54" w:lineRule="exact"/>
        <w:rPr>
          <w:sz w:val="20"/>
          <w:szCs w:val="20"/>
          <w:color w:val="auto"/>
        </w:rPr>
      </w:pPr>
    </w:p>
    <w:p>
      <w:pPr>
        <w:jc w:val="both"/>
        <w:ind w:left="120" w:right="180"/>
        <w:spacing w:after="0" w:line="245" w:lineRule="auto"/>
        <w:rPr>
          <w:sz w:val="20"/>
          <w:szCs w:val="20"/>
          <w:color w:val="auto"/>
        </w:rPr>
      </w:pPr>
      <w:r>
        <w:rPr>
          <w:rFonts w:ascii="Arial" w:cs="Arial" w:eastAsia="Arial" w:hAnsi="Arial"/>
          <w:sz w:val="17"/>
          <w:szCs w:val="17"/>
          <w:color w:val="auto"/>
        </w:rPr>
        <w:t>ALX148 is a fusion protein designed to provide a high CD47 blocking potency while potentially eliminating any associated toxicities. Our fusion protein comprises an engineered CD47-binding domain of SIRPa that has been genetically linked to a modified human immunoglobulin-derived Fc domain that does not bind to Fcg receptors. We engineered ALX148 in two important ways:</w:t>
      </w:r>
    </w:p>
    <w:p>
      <w:pPr>
        <w:spacing w:after="0" w:line="198" w:lineRule="exact"/>
        <w:rPr>
          <w:sz w:val="20"/>
          <w:szCs w:val="20"/>
          <w:color w:val="auto"/>
        </w:rPr>
      </w:pPr>
    </w:p>
    <w:p>
      <w:pPr>
        <w:ind w:left="980" w:right="220" w:hanging="432"/>
        <w:spacing w:after="0" w:line="243"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We mutated the binding domain to optimize CD47 affinity. ALX148 binding domain demonstrates an affinity that is over 3,000 times stronger than wildtype SIRPa.</w:t>
      </w:r>
    </w:p>
    <w:p>
      <w:pPr>
        <w:spacing w:after="0" w:line="24" w:lineRule="exact"/>
        <w:rPr>
          <w:rFonts w:ascii="MS PGothic" w:cs="MS PGothic" w:eastAsia="MS PGothic" w:hAnsi="MS PGothic"/>
          <w:sz w:val="13"/>
          <w:szCs w:val="13"/>
          <w:color w:val="auto"/>
        </w:rPr>
      </w:pPr>
    </w:p>
    <w:p>
      <w:pPr>
        <w:ind w:left="980" w:right="100" w:hanging="432"/>
        <w:spacing w:after="0" w:line="274" w:lineRule="auto"/>
        <w:tabs>
          <w:tab w:leader="none" w:pos="98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We fused the CD47-binding region of SIRPa to an inactive Fc domain. Incorporating an inactive Fc domain was intended to eliminate single-agent activation of macrophages while still maintaining an antibody-like pharmacokinetic, or PK, profile.</w:t>
      </w:r>
    </w:p>
    <w:p>
      <w:pPr>
        <w:spacing w:after="0" w:line="119"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 successful design of ALX148 required in-house generation of approximately 280 different protein constructs to thoroughly evaluate and optimize the impact of differing designs on multiple important evaluation criteria.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order to optimize ALX148’s properties we conducted the following processes:</w:t>
      </w:r>
    </w:p>
    <w:p>
      <w:pPr>
        <w:spacing w:after="0" w:line="196" w:lineRule="exact"/>
        <w:rPr>
          <w:sz w:val="20"/>
          <w:szCs w:val="20"/>
          <w:color w:val="auto"/>
        </w:rPr>
      </w:pPr>
    </w:p>
    <w:p>
      <w:pPr>
        <w:ind w:left="980" w:hanging="432"/>
        <w:spacing w:after="0"/>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Design of the high-affinity CD47 binding domain: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4"/>
        </w:numPr>
        <w:rPr>
          <w:rFonts w:ascii="MS PGothic" w:cs="MS PGothic" w:eastAsia="MS PGothic" w:hAnsi="MS PGothic"/>
          <w:sz w:val="13"/>
          <w:szCs w:val="13"/>
          <w:color w:val="auto"/>
        </w:rPr>
      </w:pPr>
      <w:r>
        <w:rPr>
          <w:rFonts w:ascii="Arial" w:cs="Arial" w:eastAsia="Arial" w:hAnsi="Arial"/>
          <w:sz w:val="17"/>
          <w:szCs w:val="17"/>
          <w:color w:val="auto"/>
        </w:rPr>
        <w:t>Optimization of binding affinity for human CD47;</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4"/>
        </w:numPr>
        <w:rPr>
          <w:rFonts w:ascii="MS PGothic" w:cs="MS PGothic" w:eastAsia="MS PGothic" w:hAnsi="MS PGothic"/>
          <w:sz w:val="13"/>
          <w:szCs w:val="13"/>
          <w:color w:val="auto"/>
        </w:rPr>
      </w:pPr>
      <w:r>
        <w:rPr>
          <w:rFonts w:ascii="Arial" w:cs="Arial" w:eastAsia="Arial" w:hAnsi="Arial"/>
          <w:sz w:val="17"/>
          <w:szCs w:val="17"/>
          <w:color w:val="auto"/>
        </w:rPr>
        <w:t>Optimization of cross-reactivity to rodent and monkey CD47 to enable key translational experiments; and</w:t>
      </w:r>
    </w:p>
    <w:p>
      <w:pPr>
        <w:spacing w:after="0" w:line="22"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4"/>
        </w:numPr>
        <w:rPr>
          <w:rFonts w:ascii="MS PGothic" w:cs="MS PGothic" w:eastAsia="MS PGothic" w:hAnsi="MS PGothic"/>
          <w:sz w:val="13"/>
          <w:szCs w:val="13"/>
          <w:color w:val="auto"/>
        </w:rPr>
      </w:pPr>
      <w:r>
        <w:rPr>
          <w:rFonts w:ascii="Arial" w:cs="Arial" w:eastAsia="Arial" w:hAnsi="Arial"/>
          <w:sz w:val="17"/>
          <w:szCs w:val="17"/>
          <w:color w:val="auto"/>
        </w:rPr>
        <w:t>Elimination of partially glycosylated sites in SIRPa to remove heterogeneity and enable consistent manufacturing.</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Design of the optimal fusion combination for PK extension: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4"/>
        </w:numPr>
        <w:rPr>
          <w:rFonts w:ascii="MS PGothic" w:cs="MS PGothic" w:eastAsia="MS PGothic" w:hAnsi="MS PGothic"/>
          <w:sz w:val="13"/>
          <w:szCs w:val="13"/>
          <w:color w:val="auto"/>
        </w:rPr>
      </w:pPr>
      <w:r>
        <w:rPr>
          <w:rFonts w:ascii="Arial" w:cs="Arial" w:eastAsia="Arial" w:hAnsi="Arial"/>
          <w:sz w:val="17"/>
          <w:szCs w:val="17"/>
          <w:color w:val="auto"/>
        </w:rPr>
        <w:t>Selection of an immunoglobulin isotype to prevent hemagglutination; and</w:t>
      </w:r>
    </w:p>
    <w:p>
      <w:pPr>
        <w:spacing w:after="0" w:line="22" w:lineRule="exact"/>
        <w:rPr>
          <w:rFonts w:ascii="MS PGothic" w:cs="MS PGothic" w:eastAsia="MS PGothic" w:hAnsi="MS PGothic"/>
          <w:sz w:val="13"/>
          <w:szCs w:val="13"/>
          <w:color w:val="auto"/>
        </w:rPr>
      </w:pPr>
    </w:p>
    <w:p>
      <w:pPr>
        <w:ind w:left="1420" w:right="280" w:hanging="427"/>
        <w:spacing w:after="0" w:line="274" w:lineRule="auto"/>
        <w:tabs>
          <w:tab w:leader="none" w:pos="1420" w:val="left"/>
        </w:tabs>
        <w:numPr>
          <w:ilvl w:val="1"/>
          <w:numId w:val="64"/>
        </w:numPr>
        <w:rPr>
          <w:rFonts w:ascii="MS PGothic" w:cs="MS PGothic" w:eastAsia="MS PGothic" w:hAnsi="MS PGothic"/>
          <w:sz w:val="13"/>
          <w:szCs w:val="13"/>
          <w:color w:val="auto"/>
        </w:rPr>
      </w:pPr>
      <w:r>
        <w:rPr>
          <w:rFonts w:ascii="Arial" w:cs="Arial" w:eastAsia="Arial" w:hAnsi="Arial"/>
          <w:sz w:val="17"/>
          <w:szCs w:val="17"/>
          <w:color w:val="auto"/>
        </w:rPr>
        <w:t>Selection of mutations to immunoglobulin G1, or IgG1, to functionally eliminate Fcg binding and avoid associated cytopenias while maintaining neonatal Fc receptor binding that enables antibody-like PK.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illustrated in the figure below, ALX148 comprises:</w:t>
      </w:r>
    </w:p>
    <w:p>
      <w:pPr>
        <w:spacing w:after="0" w:line="184" w:lineRule="exact"/>
        <w:rPr>
          <w:sz w:val="20"/>
          <w:szCs w:val="20"/>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 SIRPa binding domain optimized to bind to CD47 with high affinity at a picomolar level; and</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15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resulting fusion protein has approximately one-half the molecular weight of a typical antibody. ALX148’s lower molecular weight enables it to deliver the molar equivalent of an antibody at one half the dose. For example, a 30 mg/kg dose of ALX148, the highest level that we have dosed to date, is approximately equivalent to a 60 mg/kg dose of an antibody. ALX148’s lower molecular weight may also facilitate increased solid tumor penetration and provide greater potency within the tumor microenvironment. Furthermore, ALX148 can be efficiently and consistently produced at high yield at commercial scale utilizing standard monoclonal antibody manufacturing techniques. We believe ALX148’s differentiated properties potentially overcome the limitations of other CD47 blocking agents and may have utility as a combination agent in oncology.</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candidate is a fusion protein that potently and selectively binds CD47 to block the SIRP</w:t>
      </w:r>
      <w:r>
        <w:rPr>
          <w:rFonts w:ascii="Arial" w:cs="Arial" w:eastAsia="Arial" w:hAnsi="Arial"/>
          <w:sz w:val="17"/>
          <w:szCs w:val="17"/>
          <w:color w:val="auto"/>
        </w:rPr>
        <w:t>a</w:t>
      </w:r>
      <w:r>
        <w:rPr>
          <w:rFonts w:ascii="Arial" w:cs="Arial" w:eastAsia="Arial" w:hAnsi="Arial"/>
          <w:sz w:val="17"/>
          <w:szCs w:val="17"/>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148590</wp:posOffset>
            </wp:positionV>
            <wp:extent cx="4817745" cy="20313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177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Differentiation</w:t>
      </w:r>
    </w:p>
    <w:p>
      <w:pPr>
        <w:spacing w:after="0" w:line="41"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preclinical studies of ALX148 support a target product profile of favorable tolerability, the ability to be dosed in high levels and increased anti-tumor activity as compared to other CD47 blocking agents. These data include the following.</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Lack of hematologic side effects</w:t>
      </w:r>
    </w:p>
    <w:p>
      <w:pPr>
        <w:spacing w:after="0" w:line="39"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Our preclinical data demonstrate that CD47 blocking agents with an active Fc domain directly cause adverse hematologic side effects. To support this hypothesis, we engineered a fusion protein with a SIRPa CD47-binding domain identical to ALX148’s binding domain but fused to an active, wild-type IgG1 Fc domain, ALX377. We administered 30 mg/kg ALX148 and 30 mg/kg ALX377 in mouse models and measured red blood cell, or RBC, platelet and white blood cell (lymphocyte, monocytes and granulocytes) counts. As shown in the figure below, mice treated with ALX148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The inactive Fc domain on ALX148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139700</wp:posOffset>
            </wp:positionV>
            <wp:extent cx="5297805" cy="1431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29780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hanging="276"/>
        <w:spacing w:after="0"/>
        <w:tabs>
          <w:tab w:leader="none" w:pos="9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p&lt;0.001</w:t>
      </w:r>
    </w:p>
    <w:p>
      <w:pPr>
        <w:spacing w:after="0" w:line="1" w:lineRule="exact"/>
        <w:rPr>
          <w:rFonts w:ascii="Arial" w:cs="Arial" w:eastAsia="Arial" w:hAnsi="Arial"/>
          <w:sz w:val="14"/>
          <w:szCs w:val="14"/>
          <w:color w:val="auto"/>
        </w:rPr>
      </w:pPr>
    </w:p>
    <w:p>
      <w:pPr>
        <w:ind w:left="980" w:hanging="332"/>
        <w:spacing w:after="0"/>
        <w:tabs>
          <w:tab w:leader="none" w:pos="9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p&lt;0.0001</w:t>
      </w:r>
    </w:p>
    <w:p>
      <w:pPr>
        <w:spacing w:after="0" w:line="15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To further evaluate ALX148’s preclinical tolerability, cynomolgus monkeys were treated by weekly intravenous injections at doses of zero (control), 10, 30 and 100 mg/kg for five consecutive weeks. No toxicity or adverse findings related to CD47 blockade by ALX148 were seen in analysis of RBCs, white blood cells, platelets, body weight, ophthalmic examination, cytokine analysis, ECG parameters and anatomical pathology assessment. The no-observable-adverse-effect-level in the study was the highest dose tested, 100 mg/kg.</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Together, these preclinical studies demonstrate that inactivation of the Fc domain of ALX148 avoids adverse effects on normal blood cells seen on other CD47 blocking agents with an active Fc domain. They also supported our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expectation that ALX148’s lack of overlapping toxicities with other anti-cancer therapies would result in fewer adverse outcomes in a clinic when combined with these therapies than combinations with conventional CD47 blocking agents.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ALX148 elicits superior phagocytosis in combination with anti-cancer antibodies</w:t>
      </w:r>
    </w:p>
    <w:p>
      <w:pPr>
        <w:spacing w:after="0" w:line="2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inactive Fc of ALX148 does not compete with the active Fc domain of other therapeutic antibodies for binding with Fcg receptors on effector cells of the immune system. This fact, coupled with the high-affinity CD47 binding of our agent, results in enhanced phagocytosis from ALX148 in combination with other anti-cancer antibodies to a greater extent than other CD47 blockers. We believe this will allow us to explore ALX148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ALX148 with cetuximab, an epidermal growth factor receptor, or EGFR, inhibitor that is FDA approved for several solid tumors, to assess phagocytic activity as compared to single-agent cetuximab. Both cetuximab and the active Fc domain of a CD47 blocking agent bind to the same cell surface Fcg receptors on a macrophage, potentially creating competition. IgG1 binds to receptors with higher affinity than IgG4 does, and ALX148’s inactive Fc does not bind. This experiment shows that CD47 blocking agents with active Fc domains and lower affinity, combined with cetuximab result in lower phagocytic activity from macrophages as compared to ALX148 with cetuximab. This experiment suggests ALX148, the only clinical CD47 blocking agent with an inactive Fc domain and high-affinity CD47 binding, may be unique in its anti-tumor activity when combined with anti-tumor antibodies.</w:t>
      </w:r>
    </w:p>
    <w:p>
      <w:pPr>
        <w:spacing w:after="0" w:line="130"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i w:val="1"/>
          <w:iCs w:val="1"/>
          <w:color w:val="auto"/>
        </w:rPr>
        <w:t>ALX148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109855</wp:posOffset>
            </wp:positionV>
            <wp:extent cx="5186045" cy="2305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860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Data</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Favorable safety profile</w:t>
      </w:r>
    </w:p>
    <w:p>
      <w:pPr>
        <w:spacing w:after="0" w:line="39"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Clinical trials to date continue to support ALX148’s differentiated approach to CD47 blockade. ALX148 has been administered in over 150 subjects with advanced solid or hematologic malignancies, including in combination with a range of standard of care anti-cancer regimens. ALX148 has been consistently well-tolerated, with low occurrences of cytopenias and other toxicities. Adverse events are reported as of April 1, 2020.</w:t>
      </w:r>
    </w:p>
    <w:p>
      <w:pPr>
        <w:spacing w:after="0" w:line="149"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We have not yet reached a maximum tolerated dose in any trial of ALX148 and are continuing to test higher doses. Because the half-life of ALX148 is longer with higher dose levels, such dosing may allow up to an every four weeks, or Q4W, administration schedule. Furthermore, ALX148’s tolerability profile could potentially result in a broad therapeutic window. We believe its tolerability profile to date supports initiation of trials in combination with highly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effective, but more toxic, standard of care agents, such as chemotherapies that can cause cytopenias. Many other CD47 blocking agents are unable to combine with these anti-cancer agents due to overlapping toxicity profiles. We believe ALX148 may be uniquely positioned in its ability to combine with standard of care agents including those with associated cytopenias.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Initial data suggests that ALX148 demonstrates a consistent tolerability profile in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36830</wp:posOffset>
            </wp:positionV>
            <wp:extent cx="4157345" cy="22542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5734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As of April 1, 2020. Treatment-related adverse events occurring in ³2 subjects in all histologies.</w:t>
      </w:r>
    </w:p>
    <w:p>
      <w:pPr>
        <w:spacing w:after="0" w:line="16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Single-digit incident rates of treatment-related grade three and higher cytopenias occurred across each of the trial cohorts in this heavily pre-treated group of subjects who are typical participants in early stage cancer trials and are often hematologically fragile at baseline. Additionally, the majority of treatment-related adverse events were of low-grade and were easily managed. Overall, ALX148 was well tolerated in an advanced cancer population and can be combined with a wide range of anti-cancer therapeutics.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All other CD47 blockers that have reported clinical data have reported high rates of both all grade and high grade cytopenias. A magrolimab clinical trial in solid tumors resulted in 56% anemia in the first 48 subjects dosed, despite each subject receiving an initial priming dose to mitigate anemia. A recent trial of magrolimab in 62 subjects with higher-risk MDS or AML presented in December 2019 reported over 35% grade 3 or 4 treatment-related anemia, over 20% grade 3 or 4 treatment-related neutropenia and over 15% grade 4 treatment-related thrombocytopenia. An unfavorable tolerability profile such as this could present challenges to these agents. In contrast, ALX148’s tolerability profile may enhance the breadth of clinical development by providing better treatment options for patients with cancer.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PK and PD Data</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Initial clinical trials have confirmed that ALX148 exhibits favorable PK, and CD47 target occupancy, or TO. Human PK following intravenous, or IV, doses of ALX148 ranging from 0.3 to 30 mg/kg either as a single-agent, or in combination with pembrolizumab, trastuzumab or rituximab have been characterized in 131 subjects as of January 21, 2020. ALX148’s PK profiles demonstrated a non-linear PK trend with faster clearance at lower doses and slower clearance at higher doses of 10 mg/kg QW and 30 mg/kg once every other week, or QoW. ALX148’s PK profile was not affected by combination with rituximab, trastuzumab or pembrolizumab.</w:t>
      </w:r>
    </w:p>
    <w:p>
      <w:pPr>
        <w:spacing w:after="0" w:line="150" w:lineRule="exact"/>
        <w:rPr>
          <w:sz w:val="20"/>
          <w:szCs w:val="20"/>
          <w:color w:val="auto"/>
        </w:rPr>
      </w:pPr>
    </w:p>
    <w:p>
      <w:pPr>
        <w:ind w:left="120" w:right="420"/>
        <w:spacing w:after="0" w:line="235" w:lineRule="auto"/>
        <w:rPr>
          <w:sz w:val="20"/>
          <w:szCs w:val="20"/>
          <w:color w:val="auto"/>
        </w:rPr>
      </w:pPr>
      <w:r>
        <w:rPr>
          <w:rFonts w:ascii="Arial" w:cs="Arial" w:eastAsia="Arial" w:hAnsi="Arial"/>
          <w:sz w:val="17"/>
          <w:szCs w:val="17"/>
          <w:color w:val="auto"/>
        </w:rPr>
        <w:t>The pharmacodynamics, or PD, following AXL148 IV infusion either as a single-agent or in combination with pembrolizumab, trastuzumab or rituximab have been characterized in 139 subjects in as of January 21, 2020. Target engagement has been confirmed based on CD47 TO in peripheral blood T lymphocytes and erythrocytes measured by a flow cytometry assay. At lower doses of 0.3 mg/kg and 1 mg/kg, a dose-dependent increase of TO was observed. Increased TO was observed following the subsequent IV dosing compared to the first IV infusion. Complete TO (&gt; 85%) in peripheral blood was observed at doses ³ 3 mg/kg QW. Complete TO in peripheral blood was also</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observed for ALX148 dosed at 10 mg/kg QW in combination with pembrolizumab, trastuzumab or rituximab. Based in part on this data, Phase 1b expansion trials used 10 mg/kg QW dosing of ALX148.</w:t>
      </w:r>
    </w:p>
    <w:p>
      <w:pPr>
        <w:spacing w:after="0" w:line="144"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In our Phase 1b expansion trial to date, we have observed what may be a dose-response in subjects with NHL. While our data support full TO in the periphery at 10 mg/kg, enhanced tumor penetration may explain the higher response rate seen at 15 mg/kg in the clinic. Given the favorable tolerability observed to date at doses up to 15 mg/kg QW, we plan to evaluate these higher doses of ALX148.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of ALX148 in Hematologic Malignancies</w:t>
      </w:r>
    </w:p>
    <w:p>
      <w:pPr>
        <w:spacing w:after="0" w:line="120"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potential role of CD47 blockade to date has been clearly demonstrated in hematologic malignancies. This includes both our trials of ALX148 as well as trials by other CD47 blockade programs. We are planning to advance ALX148 in MDS and AML based on our initial trials in relapsed/refractory NHL, preclinical studies and evidence for the clinical utility of the CD47 blockade from other programs.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NHL Proof-of-Principle</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ALX148’s initial hematologic clinical trial is an ongoing Phase 1b expansion trial in combination with rituximab to treat subjects with relapsed/refractory NHL. This is an open-label, multisite trial to assess safety. Subjects received ALX148 10 mg/kg QW or 15 mg/kg QW in combination with rituximab 375 mg/m</w:t>
      </w:r>
      <w:r>
        <w:rPr>
          <w:rFonts w:ascii="Arial" w:cs="Arial" w:eastAsia="Arial" w:hAnsi="Arial"/>
          <w:sz w:val="14"/>
          <w:szCs w:val="14"/>
          <w:color w:val="auto"/>
        </w:rPr>
        <w:t>2</w:t>
      </w:r>
      <w:r>
        <w:rPr>
          <w:rFonts w:ascii="Arial" w:cs="Arial" w:eastAsia="Arial" w:hAnsi="Arial"/>
          <w:sz w:val="17"/>
          <w:szCs w:val="17"/>
          <w:color w:val="auto"/>
        </w:rPr>
        <w:t xml:space="preserve"> administered as an intravenous infusion QW for four doses followed by once monthly for eight doses. In order to meet inclusion criteria, subjects must have had no curative therapy or standard approved therapy option available to them. Across all cohorts, as of April 1, 2020, subjects had received a median of three lines of therapy prior to enrollment in the ALX148 trial. These were heavily pre-treated subjects, all of whom had progressed on previous rituximab-containing regimens.</w:t>
      </w:r>
    </w:p>
    <w:p>
      <w:pPr>
        <w:spacing w:after="0" w:line="14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Responses were evaluated according to Lugano 2014 response criteria and reported as of April 1, 2020. As of April 1, 2020, ALX148 had been administered to 33 subjects. All subjects were response evaluable. 11 had indolent lymphomas and 22 had aggressive lymphomas. There were 11 subjects in the higher dose 15 mg/kg QW cohort. This cohort achieved an ORR of 54.6% (6/11). The ORR in the lower dose 10 mg/kg QW cohort was 40.9% (9/22).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124460</wp:posOffset>
            </wp:positionV>
            <wp:extent cx="3017520" cy="2186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01752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As of April 1, 2020.</w:t>
      </w:r>
    </w:p>
    <w:p>
      <w:pPr>
        <w:spacing w:after="0" w:line="274"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view ALX148’s initial activity in heavily pre-treated subjects with NHL as compelling evidence for the role of ALX148 in treating hematologic malignancies and as a favorable comparison to outcomes reported by other CD47 blocking agents in similar subjects. We believe the data in our 10 and 15 mg/kg QW cohorts may show a dose-dependent response that demonstrates ALX148’s activity and supports higher dose administration in trials for subjects with MDS.</w:t>
      </w:r>
    </w:p>
    <w:p>
      <w:pPr>
        <w:spacing w:after="0" w:line="14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are intending to test higher doses, up to 60 mg/kg Q4W in MDS. We believe this dosing schedule may be unique among</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060"/>
          </w:cols>
          <w:pgMar w:left="32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CD47 blockade programs and can potentially provide a more convenient regimen in combination with monthly azacitidine for patients. This data set also supported our decision to advance ALX148 into solid tumor indications at higher doses of 45 mg/kg once every three weeks, or Q3W, in combination with standard agents also administered Q3W.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MDS</w:t>
      </w:r>
    </w:p>
    <w:p>
      <w:pPr>
        <w:spacing w:after="0" w:line="4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Our development of ALX148 in hematologic indications is initially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14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147"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149" w:lineRule="exact"/>
        <w:rPr>
          <w:sz w:val="20"/>
          <w:szCs w:val="20"/>
          <w:color w:val="auto"/>
        </w:rPr>
      </w:pPr>
    </w:p>
    <w:p>
      <w:pPr>
        <w:jc w:val="both"/>
        <w:ind w:left="120" w:right="140"/>
        <w:spacing w:after="0" w:line="232" w:lineRule="auto"/>
        <w:rPr>
          <w:sz w:val="20"/>
          <w:szCs w:val="20"/>
          <w:color w:val="auto"/>
        </w:rPr>
      </w:pPr>
      <w:r>
        <w:rPr>
          <w:rFonts w:ascii="Arial" w:cs="Arial" w:eastAsia="Arial" w:hAnsi="Arial"/>
          <w:sz w:val="17"/>
          <w:szCs w:val="17"/>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w:t>
      </w:r>
    </w:p>
    <w:p>
      <w:pPr>
        <w:ind w:left="120" w:right="380"/>
        <w:spacing w:after="0" w:line="238" w:lineRule="auto"/>
        <w:rPr>
          <w:sz w:val="20"/>
          <w:szCs w:val="20"/>
          <w:color w:val="auto"/>
        </w:rPr>
      </w:pPr>
      <w:r>
        <w:rPr>
          <w:rFonts w:ascii="Arial" w:cs="Arial" w:eastAsia="Arial" w:hAnsi="Arial"/>
          <w:sz w:val="17"/>
          <w:szCs w:val="17"/>
          <w:color w:val="auto"/>
        </w:rPr>
        <w:t>Therefore, achieving transfusion 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promising clinical data with CD47 blocking agents in MDS underscore the need for combination of two agents to achieve CRs. As previously discussed, pro-phagocytic signals in ALX148-based combinations can be provided by drugs that increase display of the “eat me” signal calreticulin on the surface of tumor cells. We have conducted preclinical studies that show that azacitidine increases the display of the “eat me” signal calreticulin on AML cells. Additionally, we have shown that azacitidine and ALX148 in combination produces increased phagocytosis in vitro and anti-tumor activity in mouse models compared to azacitidine alone. Furthermore, we have demonstrated in preclinical studies that ALX148 when combined with venetoclax, a BCL-2 inhibitor that is FDA-approved for the treatment of patients with AML, increases tumor growth inhibition in a leukemia tumor model, compared to venetoclax alone.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12080" cy="29660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208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Recent data from a competitive CD47 blockade program, magrolimab, further support trials of ALX148 for treatment of MDS. Magrolimab was studied both as a single-agent and in combination with azacitidine in subjects with higher-risk MDS or AML. Magrolimab plus azacitidine achieved a 42% CR rate in previously untreated MDS and a 40% CR in previously untreated AML. As a single-agent, magrolimab achieved no CRs in relapsed/refractory MDS and AML, suggesting that a separate pro-phagocytic signal is required for the observed clinical activity. Despite the high rate of CRs achieved in combination, over 38% of subjects in these trials have experienced grade 3 or higher treatment-related anemia. Notwithstanding these limitations, magrolimab’s data support the potential role of CD47 blockade in treating these subjects.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strategy is to pursue ALX148 as a potentially critical component for future combination treatment options for patients with higher-risk MDS. Our preclinical models, activity of ALX148 in NHL where magrolimab has reported similar data and available CD47 clinical data in this indication support a potential role for ALX148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 leukopenia and 12% had grade 3 or higher anemia. We believe that it is important to develop a CD47 blocking therapy that does not exacerbate cytopenias that patients may already exhibit pre-treatment. ALX148’s tolerability profile to date suggests it may address this unmet need in patients who suffer from MDS.</w:t>
      </w:r>
    </w:p>
    <w:p>
      <w:pPr>
        <w:spacing w:after="0" w:line="15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plan to initiate a Phase 1b/2 trial of ALX148 in combination with azacitidine for the first-line treatment of subjects with higher-risk MDS by the end of 2020. The Phase 1b portion of the trial will seek to evaluate up to 60 mg/kg Q4W of ALX148 plus standard azacitidine in subjects with relapsed/refractory and previously untreated MDS. The Phase 2 portion of the trial will assess the combination of ALX148 and azacitidine in subjects with previously untreated higher-risk MDS. The primary endpoint will be complete remission rate by six months. We intend to pursue a strategy in which we will leverage the data generated from the Phase 1b/2 trial to request from the FDA that ALX148 be a candidate for accelerated approval in the treatment of MDS.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AML</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Our preclinical studies and clinical studies from competing CD47 agents support the potential role of ALX148 in the treatment of patients with AML. In the United States, there are over 35,000 people living with AML with an expected 20,000 newly diagnosed cases and over 11,000 deaths from the disease in 2020. Overall survival for patients with AML is generally worse than patients with higher-risk MDS. Median overall survival for patients with</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AML ranges from approximately 15 months for patients with favorable cytogenetic risk factors to less than 5 months for those with adverse risk factors. Similar to MDS, patients tend to be older with a median age at diagnosis of 68.</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First-line treatment options for patients can be broadly stratified into high-intensity and low-intensity induction regimens. High-intensity induction chemotherapy is typically cytarabine plus an anthracycline (so called “7+3”) administered over a 28-day cycle. While patients can derive long term benefit from 7+3, the risks of the regimen are substantial. 60-day treatment-related mortality from 7+3 induction have been as high as 27% and have declined to 6-8% in recent years, likely due in part to more stringent patient selection and the decreased average age of patients who receive 7+3. Patients who are not candidates for intensive induction chemotherapy due to preference, performance status, or other reasons are likely to receive low-intensity regimens characterized by the use of HMAs, venetoclax or combined HMA plus venetoclax. In the past decade, the percentage of patients 65 and older who receive first-line high-intensity treatment has declined from approximately 70% to 40%, while the use of HMAs in this population increased from 11% to 44%. Venetoclax combined with an HMA recently received accelerated approval from the FDA for use in adults who are 75 years or older or who have comorbidities that exclude the use of intensive induction chemotherapy. Venetoclax was approved on the basis of CR rate and duration of CR and achieved a 37% CR rate in combination with azacitidine and 54% in combination with decitabine, and a median observed time in remission of 5.5 months. Despite these results, we believe there is a significant unmet need for more effective and well-tolerated first-line treatment options for patients who are not candidates for high-intensity therapy.</w:t>
      </w:r>
    </w:p>
    <w:p>
      <w:pPr>
        <w:spacing w:after="0" w:line="153"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The mechanistic rationale for combining ALX148 with azacitidine in AML is similar to the rationale for MDS. Preclinical studies show that azacitidine increases the display of calreticulin, a pro-phagocytic signal, on cancer cells in AML models. The preclinical studies that support the use of ALX148 combinations in MDS also support its use in AML. Clinically, the CD47 agent magrolimab has achieved a 40% CR rate in untreated AML when used in combination with azacitidine. In a separate study in patients 65 and older with untreated AML, single-agent azacitidine as achieved a 20% CR rate. We believe this indicates CD47 agents could increase the activity of HMAs above their single-agent levels. Furthermore, our preclinical data of ALX148 in combination with venetoclax supports the combination with this agent that is increasingly being used in the treatment of patients with AML.</w:t>
      </w:r>
    </w:p>
    <w:p>
      <w:pPr>
        <w:spacing w:after="0" w:line="151"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We plan to initiate a Phase 1b/2 trial of ALX148 in combination with standard of care agents for the first-line treatment of patients with AML in 2021.</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Solid Tumors</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have generated promising clinical data with ALX148 in solid tumors. We believe the smaller molecular weight of ALX148 as compared to a typical antibody may facilitate greater penetration into solid tumors. In addition, we believe the favorable tolerability profile of ALX148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ALX148 in combination treatment in two solid tumor settings in initial clinical trials: HNSCC and HER2-positive gastric/GEJ cancer. We believe these indications offer registration pathways in combination with existing approved therapies and we intend to advance ALX148 into randomized Phase 2 trials in both oncology indications in 2021.</w:t>
      </w:r>
    </w:p>
    <w:p>
      <w:pPr>
        <w:spacing w:after="0" w:line="15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ALX148 can be combined with PD-1/programmed death-ligand 1, or PD-(L)1, agents in a broad range of solid tumors. As part of our development strategy, we are exploring the use of ALX148 in combination with a PD-1 inhibitor in HNSCC. PD-(L)1 inhibitors are currently approved by the FDA for 18 indications and had over $20 billion in 2019 sales. Other CD47 blocking approaches may be limited in their ability to combine with PD-(L)1 inhibitors due to cumulative or overlapping toxicities.</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are investigating ALX148 in subjects with solid tumors in additional cohorts as part of an extensive and ongoing Phase 1 trial. Part 1 was a dose escalation trial of single-agent ALX148 intended to examine tolerability and recommended dosing and was not expected to show single-agent activity. Sixteen subjects with solid tumors received ALX148 as a single-agent on a QW schedule at doses ranging from 0.1 mg/kg to 10 mg/kg and 12 subjects received ALX148 as a single-agent on a QoW dosing schedule at a dose of 30 mg/kg. The maximum tolerated dose was not determined on either schedule. However, the maximum administered dose was 30 mg/kg for the Q2W dosing schedule and 10 mg/kg for the QW schedule.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Part 2, which is ongoing, is comprised of ALX148 escalation and expansion cohorts. In subjects with solid tumors, ALX148 was combined with various anti-cancer agents including pembrolizumab, trastuzumab and chemotherapy. Adverse events from the ALX148 plus pembrolizumab cohort and ALX148 plus trastuzumab cohort are reported above. As previously discussed, ALX148 has consistently displayed a favorable tolerability profile. Many of the reported adverse events have been associated with either pembrolizumab or trastuzumab.</w:t>
      </w:r>
    </w:p>
    <w:p>
      <w:pPr>
        <w:spacing w:after="0" w:line="149"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In HNSCC, our initial Phase 1b expansion trial combined ALX148 with pembrolizumab, an anti-PD-1 agent, which is a standard of care for subjects with HNSCC. ALX148 plus pembrolizumab combination studies provided the first demonstration of ALX148’s ability to enhance checkpoint inhibitor antibody activity in solid tumors and is the basis for FDA Fast Track designation in first-line treatment of HNSCC. Data from this trial support our recently initiated trial in HNSCC.</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HER2-positive gastric/GEJ cancer, our initial expansion trial included a combination with trastuzumab, an anti-HER2 agent, that is the standard of care for subjects with HER2-positive gastric/GEJ cancer and is FDA-approved for other HER2-expressing tumors. ALX148 combined with trastuzumab provided the first demonstration of ALX148 activity with an anti-tumor targeted antibody in subjects with solid tumors. Data from this trial formed the basis for FDA Fast Track designation in second-line subjects with advanced HER2-positive gastric/GEJ cancer and supports our recently initiated trial in gastric/GEJ cancer.</w:t>
      </w:r>
    </w:p>
    <w:p>
      <w:pPr>
        <w:spacing w:after="0" w:line="15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Overall, we believe our development plan for ALX148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HNSCC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14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³1 and approval of pembrolizumab plus chemotherapy as a first-line treatment in patients with HNSCC regardless of CPS . In KEYNOTE-048, pembrolizumab monotherapy achieved 17% ORR with a median progression-free survival, or mPFS, of</w:t>
      </w:r>
    </w:p>
    <w:p>
      <w:pPr>
        <w:ind w:left="120"/>
        <w:spacing w:after="0" w:line="236" w:lineRule="auto"/>
        <w:rPr>
          <w:sz w:val="20"/>
          <w:szCs w:val="20"/>
          <w:color w:val="auto"/>
        </w:rPr>
      </w:pPr>
      <w:r>
        <w:rPr>
          <w:rFonts w:ascii="Arial" w:cs="Arial" w:eastAsia="Arial" w:hAnsi="Arial"/>
          <w:sz w:val="17"/>
          <w:szCs w:val="17"/>
          <w:color w:val="auto"/>
        </w:rPr>
        <w:t>2.3 months in subjects with HNSCC regardless of CPS. Of particular note, in subjects with CPS &lt;1 pembrolizumab monotherapy only achieved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ORR.</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Despite the recent approval of pembrolizumab, we believe that there is significant unmet need remaining for patients with HNSCC. The addition of ALX148 to pembrolizumab, or pembrolizumab plus chemotherapy, may have the potential to improve response rates and provide additional clinical benefit to patients with metastatic HNSCC. We have evaluated ALX148 in subjects with metastatic HNSCC and continue to develop ALX148 in this setting.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52"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7"/>
          <w:szCs w:val="17"/>
          <w:color w:val="auto"/>
        </w:rPr>
        <w:t>ALX148 was investigated in combination with pembrolizumab in subjects with recurrent/metastatic HNSCC who had received at least one prior systemic therapy. The clinical evaluation of ALX148 in HNSCC was an open-label, multisite expansion of our Phase 1 trial to assess safety and tolerability with response rate and duration as secondary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endpoints. There was no requirement for PD-L1 expression. Subjects received ALX148 10 mg/kg QW in combination with pembrolizumab 200 mg on a Q3W dosing schedule. Subject response was evaluated based on RECIST version 1.1. Twenty subjects were dosed with ALX148 and as of April 1, 2020, all subjects in the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3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primary objective of the trial is to assess safety. As reported above in the summary tables of treatment-related adverse events from all ALX148 trials, the combination was well tolerated. As of April 1, 2020, ALX148 with pembrolizumab achieved an ORR of 40% (4/10) in checkpoint inhibitor naïve subjects while maintaining a tolerability profile consistent with earlier trials. Some of the 20 subjects had a CPS of zero and response was also observed within this subject population. We believe the addition of ALX148 to pembrolizumab represents a potentially significant advance over pembrolizumab monotherapy based on a review of the KEYNOTE-040 trial results that showed an ORR of 15%. Based on our clinical trial data, the FDA granted ALX148 Fast Track designation for first-line treatment of subjects with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123190</wp:posOffset>
            </wp:positionV>
            <wp:extent cx="5212080" cy="23831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21208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also analyzed paired pre- and on-treatment tumor biopsies from subjects for the presence of CD8+ T cells, CD68+ and CD163+ myeloid cells.</w:t>
      </w:r>
    </w:p>
    <w:p>
      <w:pPr>
        <w:ind w:left="120"/>
        <w:spacing w:after="0" w:line="232" w:lineRule="auto"/>
        <w:rPr>
          <w:sz w:val="20"/>
          <w:szCs w:val="20"/>
          <w:color w:val="auto"/>
        </w:rPr>
      </w:pPr>
      <w:r>
        <w:rPr>
          <w:rFonts w:ascii="Arial" w:cs="Arial" w:eastAsia="Arial" w:hAnsi="Arial"/>
          <w:sz w:val="17"/>
          <w:szCs w:val="17"/>
          <w:color w:val="auto"/>
        </w:rPr>
        <w:t>After treatment with ALX148, tumor samples showed increased infiltration of CD8+, CD68+ and CD163+ cells in the tumor, which suggests that</w:t>
      </w:r>
    </w:p>
    <w:p>
      <w:pPr>
        <w:ind w:left="120"/>
        <w:spacing w:after="0"/>
        <w:rPr>
          <w:sz w:val="20"/>
          <w:szCs w:val="20"/>
          <w:color w:val="auto"/>
        </w:rPr>
      </w:pPr>
      <w:r>
        <w:rPr>
          <w:rFonts w:ascii="Arial" w:cs="Arial" w:eastAsia="Arial" w:hAnsi="Arial"/>
          <w:sz w:val="17"/>
          <w:szCs w:val="17"/>
          <w:color w:val="auto"/>
        </w:rPr>
        <w:t>ALX148 also engages the innate and adaptive immune system consistent with its mechanism of action.</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w:t>
      </w:r>
    </w:p>
    <w:p>
      <w:pPr>
        <w:spacing w:after="0" w:line="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HNSCC development plan is to build on the initial results of ALX148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or pembrolizumab plus chemotherapy, in the front-line metastatic HNSCC setting. In January 2020, we initiated a Phase 1b trial that is evaluating ALX148 plus pembrolizumab plus chemotherapy in subjects with no PD-L1 expression requirements. In addition to our initial dosing of 10 mg/kg QW, a higher dosing will be explored with 15 mg/kg QW dosing planned. We anticipate initiation of a Phase 2 trial of ALX148 and pembrolizumab by the first half of 2021.</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HER2-Positive Gastric/GEJ</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Over 25,000 people are estimated to be living in the United States with diagnosed metastatic gastric/GEJ carcinoma. A large, international Phase 3 trial of trastuzumab in gastric/GEJ cancer found that of the nearly 4,000 subjects screened for inclusion in the trial, 17% of them were HER2-positive, which suggests a general HER2-</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19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First-line standard of care treatment is trastuzumab combined with the chemotherapy agents platinum and fluoropyrimidine. Trastuzumab, marketed as Herceptin, is an anti-HER2 antibody that has multiple FDA approvals in patients with HER2-positive cancers. In the second-line HER2-positive gastric setting, there are no HER2 targeted FDA-approved therapies. As such, the standard of care regimen in the U.S. is ramucirumab, marketed as Cyramza, a vascular endothelial growth factor 2 receptor monoclonal antibody, in combination with paclitaxel, a widely used chemotherapy. In a Phase 3 trial leading to FDA approval, ramucirumab plus paclitaxel achieved a 28% ORR with a 9.6 month mOS in subjects with previously treated gastric/GEJ cancer.</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HER2-positive patients with gastric/GEJ cancers in second-line treatment are likely to have received an anti-HER2 antibody-based treatment in their first line of treatment. A recently reported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any observed responses when treating a similar subject population with ALX148 paired with trastuzumab, to a combination effect of the two agents and not simply a response to trastuzumab alone.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39"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ALX148 was investigated in combination with trastuzumab in subjects with relapsed/refractory HER2-positive gastric/GEJ cancer. This trial was an open-label, multisite expansion of our Phase 1 trial to assess safety and tolerability with response rate and duration as secondary endpoints. Twenty subjects from the gastric/GEJ expansion cohort received ALX148 10 mg/kg QW in combination with trastuzumab at an initial dose of 8 mg/kg followed by 6 mg/kg intravenous infusion Q3W. As of April 1, 2020, 19 subjects were response evaluable. One of the twenty subjects administered ALX148 discontinued the study due to clinical symptoms of progression prior to their first scheduled on study scan and therefore was not response evaluable per protocol definition.</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As of April 1, 2020, in our trial of ALX148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11430</wp:posOffset>
            </wp:positionV>
            <wp:extent cx="5212080" cy="23914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208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primary objective of the trial was to assess safety and the combination regimen was well tolerated as of April 1, 2020. Importantly, ALX148 with trastuzumab achieved an ORR of 21.1% (4/19) in these subjects. The FDA granted ALX148 Fast Track designation for second-line treatment of advanced HER2-positive gastric/GEJ carcinoma partly due to this data. Based on prior studies, one of which is described above, any observed response can likely be attributed to the combination effect and not a response to single-agent trastuzumab. We believe that an ORR of 21.1% in this second-line or later population supports further development of ALX148 in HER2-positive cancers.</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plans</w:t>
      </w:r>
    </w:p>
    <w:p>
      <w:pPr>
        <w:spacing w:after="0" w:line="39"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Based on ALX148’s activity in second-line and later subjects, in December 2019, we initiated a Phase 1b trial in HER2-positive subjects who previously received a trastuzumab-containing regimen. In this trial, we are combining ALX148 with trastuzumab, ramucirumab and paclitaxel to demonstrate the tolerability of ALX148, at doses of 10 mg/kg and 15 mg/kg QW, and an anti-HER2 antibody when combined with second-line standard-of-care treatment.</w:t>
      </w:r>
    </w:p>
    <w:p>
      <w:pPr>
        <w:spacing w:after="0" w:line="149"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We intend to initiate a randomized Phase 2 trial of trastuzumab and chemotherapy with and without ALX148 for subjects with untreated HER2-positive gastric/GEJ cancer by the second half of 2021. Data from this trial would confirm whether ALX148 improves the response rate to anti-HER2-based therapy in patients with HER2-positive gastric/GEJ cancer. Of note, there are multiple emerging agents, predominantly antibody-based therapies, in development for patients with HER2-positive cancer. Because these agents target HER2 as does trastuzumab, we believe that ALX148 has the potential to maximize the anti-cancer activity of these novel agents should they supplant trastuzumab in the treatment paradigm for these patients.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Programs</w:t>
      </w:r>
    </w:p>
    <w:p>
      <w:pPr>
        <w:spacing w:after="0" w:line="93"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In addition to ALX148, we are also developing preclinical programs that may offer additional ways to engage the innate and adaptive immune response to cancer.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and Intellectual Property</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 trade secrets, knowhow, continuing technological innovation and confidential information to develop and maintain our proprietary position.</w:t>
      </w:r>
    </w:p>
    <w:p>
      <w:pPr>
        <w:spacing w:after="0" w:line="15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As of May 31, 2020, we own one issued U.S. patent, seven pending U.S. nonprovisional patent applications, seven pending U.S. provisional patent applications and a portfolio of national patent application filings in a variety of non-U.S. jurisdictions, including Europe, Hong Kong, Brazil, Mexico, New Zealand, Japan, Australia, Canada, China, India, Israel, Republic of Korea, Singapore and Russia. Of these patents and patent applications, the following relate to ALX148: one issued U.S. patent, four pending U.S. nonprovisional patent applications, seven pending U.S. provisional patent applications and a portfolio of national patent application filings in a variety of non-U.S. jurisdictions, including Europe, Hong Kong, Brazil, Mexico, New Zealand, Japan, Australia, Canada, China, India, Israel, Republic of Korea, Singapore and Russia.</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Our one U.S. issued patent and, if issued as U.S. patents, our seven U.S. nonprovisional patent applications and seven U.S. provisional patent applications are expected to expire between August 2036 and November 2040, excluding any additional term for patent term adjustments or patent term extensions, with an expiration of between August 2036 and November 2040 with respect to our patent and patent applications related to ALX148, excluding any additional term for patent term extensions.</w:t>
      </w:r>
    </w:p>
    <w:p>
      <w:pPr>
        <w:spacing w:after="0" w:line="15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We obtained a worldwide, royalty-bearing, sublicensable license from the Board of Trustees of the Leland Stanford Junior University, or Stanford, under certain patents relating to high-affinity SIRPa variant polypeptides, to develop,</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manufacture and commercialize products for use in certain licensed fields, the scope of which would include the application of the licensed intellectual property in oncology. Our portfolio of exclusively licensed patents from Stanford includes five issued patents (one of which is in the United States) and applications are pending in six jurisdictions (including the United States and the European Patent Office). For more information regarding our license agreement with Stanford, please see “—Exclusive (Equity) Agreement with The Board of Trustees of the Leland Stanford Junior University.”</w:t>
      </w:r>
    </w:p>
    <w:p>
      <w:pPr>
        <w:spacing w:after="0" w:line="138"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Our patent portfolio exclusively licensed from Stanford contains patent families relating to high-affinity SIRPa variant polypeptides, which is comprised of one issued patent in each of U.S., Australia, China, Hong Kong and Japan, one pending U.S. patent application and one pending European patent application, which has been allowed and will be validated as national patents in 37 different European countries.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48"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We are aware of a revoked European patent (EP 2 429 574) owned by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w:t>
      </w:r>
    </w:p>
    <w:p>
      <w:pPr>
        <w:spacing w:after="0" w:line="149"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For more information regarding the risks related to our intellectual property, including the above referenced intellectual property proceedings, see “Risk Factors—Risks Related to Our Intellectual Property.”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(Equity) Agreement with The Board of Trustees of the Leland Stanford Junior University</w:t>
      </w:r>
    </w:p>
    <w:p>
      <w:pPr>
        <w:spacing w:after="0" w:line="120"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March 2015, we entered into a license agreement, or the Stanford Agreement, with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51" w:lineRule="exact"/>
        <w:rPr>
          <w:sz w:val="20"/>
          <w:szCs w:val="20"/>
          <w:color w:val="auto"/>
        </w:rPr>
      </w:pPr>
    </w:p>
    <w:p>
      <w:pPr>
        <w:ind w:left="120" w:right="14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 specified aggregate amount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We may terminate the Stanford Agreement, on a licensed product-by-licensed product basis, at any time for any reason by providing at least 60 days’ written notice to Stanford. Stanford may terminate the Stanford Agreement if</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Third-Party Agreements</w:t>
      </w:r>
    </w:p>
    <w:p>
      <w:pPr>
        <w:spacing w:after="0" w:line="9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have entered into license agreements with third parties related to the development and commercialization of our product candidates, including ALX148, and SIRPa antibodies which we are exploring in our research program. In consideration of the foregoing, we have agreed to customary payments terms in these agreements, including certain milestone payments upon the achievement of clinical and commercial milestones and low single-digit royalties. See the section titled “Management’s Discussion and Analysis of Financial Condition and Results of Operations— Contractual Obligations and Commitments—License and Collaboration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8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8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do not own or operate and do not intend to establish our own manufacturing facilities. We rely on, and will continue to rely on, CMOs for both drug substance and drug product. Both ALX148 bulk drug substance and finished drug product are produced in accordance with cGMPs.</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existing supply of ALX148 drug product is sufficient to complete our clinical trials through the first half of 2021. We plan to manufacture additional supplies with our existing CMOs to produce ALX148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in 2016 and have subsequently used them for all ALX148 drug product used in clinical trials to date.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60"/>
        <w:spacing w:after="0" w:line="243" w:lineRule="auto"/>
        <w:rPr>
          <w:sz w:val="20"/>
          <w:szCs w:val="20"/>
          <w:color w:val="auto"/>
        </w:rPr>
      </w:pPr>
      <w:r>
        <w:rPr>
          <w:rFonts w:ascii="Arial" w:cs="Arial" w:eastAsia="Arial" w:hAnsi="Arial"/>
          <w:sz w:val="17"/>
          <w:szCs w:val="17"/>
          <w:color w:val="auto"/>
        </w:rPr>
        <w:t>agencies and other public and private research organizations that conduct research, seek patent protection and establish collaborative arrangements for research, development, manufacturing and commercialization.</w:t>
      </w:r>
    </w:p>
    <w:p>
      <w:pPr>
        <w:spacing w:after="0" w:line="14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93"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4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Biologics Regulation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future product candidates must be approved by the FDA through the BLA process before they may be legally marketed in the United States.</w:t>
      </w:r>
    </w:p>
    <w:p>
      <w:pPr>
        <w:ind w:left="120"/>
        <w:spacing w:after="0"/>
        <w:rPr>
          <w:sz w:val="20"/>
          <w:szCs w:val="20"/>
          <w:color w:val="auto"/>
        </w:rPr>
      </w:pPr>
      <w:r>
        <w:rPr>
          <w:rFonts w:ascii="Arial" w:cs="Arial" w:eastAsia="Arial" w:hAnsi="Arial"/>
          <w:sz w:val="17"/>
          <w:szCs w:val="17"/>
          <w:color w:val="auto"/>
        </w:rPr>
        <w:t>The process generally involves the following:</w:t>
      </w:r>
    </w:p>
    <w:p>
      <w:pPr>
        <w:spacing w:after="0" w:line="196" w:lineRule="exact"/>
        <w:rPr>
          <w:sz w:val="20"/>
          <w:szCs w:val="20"/>
          <w:color w:val="auto"/>
        </w:rPr>
      </w:pPr>
    </w:p>
    <w:p>
      <w:pPr>
        <w:ind w:left="980" w:right="700" w:hanging="432"/>
        <w:spacing w:after="0" w:line="243"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Completion of extensive preclinical laboratory tests and animal studies performed in accordance with the FDA’s current Good Laboratory Practices, or GLP, regulation.</w:t>
      </w:r>
    </w:p>
    <w:p>
      <w:pPr>
        <w:spacing w:after="0" w:line="22"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investigational new drug, or IND, application, which must become effective before clinical trials may begin and must be updated annually or when significant changes are made.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400" w:hanging="432"/>
        <w:spacing w:after="0" w:line="238"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7"/>
          <w:szCs w:val="17"/>
          <w:i w:val="1"/>
          <w:iCs w:val="1"/>
          <w:color w:val="auto"/>
        </w:rPr>
        <w:t>i.e.</w:t>
      </w:r>
      <w:r>
        <w:rPr>
          <w:rFonts w:ascii="Arial" w:cs="Arial" w:eastAsia="Arial" w:hAnsi="Arial"/>
          <w:sz w:val="17"/>
          <w:szCs w:val="17"/>
          <w:color w:val="auto"/>
        </w:rPr>
        <w:t>, safety and effectiveness) of the proposed biologic product candidate for its intended purpose.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Preparation of and submission to the FDA of a BLA after completion of all pivotal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A determination by the FDA within 60 days of its receipt of a BLA to file the application for review.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34" w:lineRule="exact"/>
        <w:rPr>
          <w:rFonts w:ascii="MS PGothic" w:cs="MS PGothic" w:eastAsia="MS PGothic" w:hAnsi="MS PGothic"/>
          <w:sz w:val="13"/>
          <w:szCs w:val="13"/>
          <w:color w:val="auto"/>
        </w:rPr>
      </w:pPr>
    </w:p>
    <w:p>
      <w:pPr>
        <w:jc w:val="both"/>
        <w:ind w:left="980" w:right="200" w:hanging="432"/>
        <w:spacing w:after="0" w:line="236"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pre-approval inspection of the manufacturing facility or facilities at which the proposed product is produced to assess compliance with current good manufacturing practices, or cGMPs, and to assure that the facilities, methods and controls are adequate to preserve the biological product’s continued safety, purity and potency, and of selected clinical investigation sites to assess compliance with GCPs.</w:t>
      </w:r>
    </w:p>
    <w:p>
      <w:pPr>
        <w:spacing w:after="0" w:line="27"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FDA review and approval of a BLA to permit commercial marketing of the product for particular indications for use in the United States.</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the potential requirement to implement an REMS and the potential requirement to conduct post-approval studies.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47"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5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Prior to beginning the first clinical trial with a product candidate, we must submit an IND to the FDA. An IND is a request for authorization from the FDA to administer an investigational new biopharmaceutical product to humans. 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 overlap.</w:t>
      </w:r>
    </w:p>
    <w:p>
      <w:pPr>
        <w:spacing w:after="0" w:line="196" w:lineRule="exact"/>
        <w:rPr>
          <w:sz w:val="20"/>
          <w:szCs w:val="20"/>
          <w:color w:val="auto"/>
        </w:rPr>
      </w:pPr>
    </w:p>
    <w:p>
      <w:pPr>
        <w:ind w:left="980" w:right="80" w:hanging="432"/>
        <w:spacing w:after="0" w:line="236"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Phase 1. For biologics being studied in oncology indications, the investigational product is initially introduced into patients with the target disease or condition. These trials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7" w:lineRule="exact"/>
        <w:rPr>
          <w:rFonts w:ascii="MS PGothic" w:cs="MS PGothic" w:eastAsia="MS PGothic" w:hAnsi="MS PGothic"/>
          <w:sz w:val="13"/>
          <w:szCs w:val="13"/>
          <w:color w:val="auto"/>
        </w:rPr>
      </w:pPr>
    </w:p>
    <w:p>
      <w:pPr>
        <w:ind w:left="980" w:right="140" w:hanging="432"/>
        <w:spacing w:after="0" w:line="236"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27" w:lineRule="exact"/>
        <w:rPr>
          <w:rFonts w:ascii="MS PGothic" w:cs="MS PGothic" w:eastAsia="MS PGothic" w:hAnsi="MS PGothic"/>
          <w:sz w:val="13"/>
          <w:szCs w:val="13"/>
          <w:color w:val="auto"/>
        </w:rPr>
      </w:pPr>
    </w:p>
    <w:p>
      <w:pPr>
        <w:ind w:left="980" w:right="120" w:hanging="432"/>
        <w:spacing w:after="0" w:line="235"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150" w:lineRule="exact"/>
        <w:rPr>
          <w:sz w:val="20"/>
          <w:szCs w:val="20"/>
          <w:color w:val="auto"/>
        </w:rPr>
      </w:pPr>
    </w:p>
    <w:p>
      <w:pPr>
        <w:ind w:left="120" w:right="380"/>
        <w:spacing w:after="0" w:line="234"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BLA Submission and Review</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4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48" w:lineRule="exact"/>
        <w:rPr>
          <w:sz w:val="20"/>
          <w:szCs w:val="20"/>
          <w:color w:val="auto"/>
        </w:rPr>
      </w:pPr>
    </w:p>
    <w:p>
      <w:pPr>
        <w:ind w:left="120" w:right="400"/>
        <w:spacing w:after="0" w:line="236" w:lineRule="auto"/>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49"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54"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90" w:lineRule="exact"/>
        <w:rPr>
          <w:sz w:val="20"/>
          <w:szCs w:val="20"/>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Fines, warning letters or holds on post-approval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of the FDA to permit the import or export of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Consent decrees, corporate integrity agreements, debarment or exclusion from federal healthcare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Mandated modification of promotional materials and labeling and the issuance of corrective information.</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Biosimilars and Reference Product Exclusivity</w:t>
      </w:r>
    </w:p>
    <w:p>
      <w:pPr>
        <w:spacing w:after="0" w:line="54"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14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90" w:lineRule="exact"/>
        <w:rPr>
          <w:sz w:val="20"/>
          <w:szCs w:val="20"/>
          <w:color w:val="auto"/>
        </w:rPr>
      </w:pPr>
    </w:p>
    <w:p>
      <w:pPr>
        <w:ind w:left="980" w:right="120" w:hanging="432"/>
        <w:spacing w:after="0" w:line="234"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In addition, the intent standard under the federal Anti-Kickback Statute was amended by the ACA to eliminate the need to prove specific intent and actual knowledge to establish an Anti-Kickback Statute violation.</w:t>
      </w:r>
    </w:p>
    <w:p>
      <w:pPr>
        <w:spacing w:after="0" w:line="27"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FCA that can be enforced by private citizens through civil whistleblower or qui tam actions, prohibit individuals or entities from, among other things,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spacing w:after="0" w:line="243" w:lineRule="auto"/>
        <w:rPr>
          <w:sz w:val="20"/>
          <w:szCs w:val="20"/>
          <w:color w:val="auto"/>
        </w:rPr>
      </w:pPr>
      <w:r>
        <w:rPr>
          <w:rFonts w:ascii="Arial" w:cs="Arial" w:eastAsia="Arial" w:hAnsi="Arial"/>
          <w:sz w:val="17"/>
          <w:szCs w:val="17"/>
          <w:color w:val="auto"/>
        </w:rPr>
        <w:t>knowingly presenting, or causing to be presented, to the federal government, claims for payment that are false or fraudulent or making a false statement to avoid, decrease or conceal an obligation to pay money to the federal government.</w:t>
      </w:r>
    </w:p>
    <w:p>
      <w:pPr>
        <w:spacing w:after="0" w:line="23" w:lineRule="exact"/>
        <w:rPr>
          <w:sz w:val="20"/>
          <w:szCs w:val="20"/>
          <w:color w:val="auto"/>
        </w:rPr>
      </w:pPr>
    </w:p>
    <w:p>
      <w:pPr>
        <w:ind w:left="980" w:right="180" w:hanging="432"/>
        <w:spacing w:after="0" w:line="235"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8" w:lineRule="exact"/>
        <w:rPr>
          <w:rFonts w:ascii="MS PGothic" w:cs="MS PGothic" w:eastAsia="MS PGothic" w:hAnsi="MS PGothic"/>
          <w:sz w:val="13"/>
          <w:szCs w:val="13"/>
          <w:color w:val="auto"/>
        </w:rPr>
      </w:pPr>
    </w:p>
    <w:p>
      <w:pPr>
        <w:ind w:left="980" w:right="100" w:hanging="432"/>
        <w:spacing w:after="0" w:line="234"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as well as their respective business associates that perform services for them that involve the use, or disclosure of, individually identifiable health information, with respect to safeguarding the privacy, security and transmission of individually identifiable health information.</w:t>
      </w:r>
    </w:p>
    <w:p>
      <w:pPr>
        <w:spacing w:after="0" w:line="29"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FDCA, which prohibits, among other things, the adulteration or misbranding of drugs, biologics and medical devices.</w:t>
      </w:r>
    </w:p>
    <w:p>
      <w:pPr>
        <w:spacing w:after="0" w:line="34" w:lineRule="exact"/>
        <w:rPr>
          <w:rFonts w:ascii="MS PGothic" w:cs="MS PGothic" w:eastAsia="MS PGothic" w:hAnsi="MS PGothic"/>
          <w:sz w:val="13"/>
          <w:szCs w:val="13"/>
          <w:color w:val="auto"/>
        </w:rPr>
      </w:pPr>
    </w:p>
    <w:p>
      <w:pPr>
        <w:ind w:left="980" w:right="120" w:hanging="432"/>
        <w:spacing w:after="0" w:line="234"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26" w:lineRule="exact"/>
        <w:rPr>
          <w:rFonts w:ascii="MS PGothic" w:cs="MS PGothic" w:eastAsia="MS PGothic" w:hAnsi="MS PGothic"/>
          <w:sz w:val="13"/>
          <w:szCs w:val="13"/>
          <w:color w:val="auto"/>
        </w:rPr>
      </w:pPr>
    </w:p>
    <w:p>
      <w:pPr>
        <w:ind w:left="980" w:right="60" w:hanging="432"/>
        <w:spacing w:after="0" w:line="234"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29"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26"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spacing w:after="0" w:line="234" w:lineRule="auto"/>
        <w:rPr>
          <w:sz w:val="20"/>
          <w:szCs w:val="20"/>
          <w:color w:val="auto"/>
        </w:rPr>
      </w:pPr>
      <w:r>
        <w:rPr>
          <w:rFonts w:ascii="Arial" w:cs="Arial" w:eastAsia="Arial" w:hAnsi="Arial"/>
          <w:sz w:val="17"/>
          <w:szCs w:val="17"/>
          <w:color w:val="auto"/>
        </w:rPr>
        <w:t>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49"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54"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52"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On December 22, 2017, President Trump signed into law new federal tax legislation commonly referred to as the Tax Cuts and Jobs Act, or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 mandated “Cadillac” tax on high-cost employer-sponsored health coverage and medical device tax and, effective January 1, 2021, also eliminates the health insurer tax. 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that the individual mandate was unconstitutional and remanded the case back to the District Court to determine whether the remaining provisions of the ACA are invalid as well. On March 2, 2020, the U.S. Supreme Court granted the petitions for writs of certiorari to review this case and will hear oral arguments, which are expected to occur later this year. It is unclear how such litigation and other efforts to repeal and replace the ACA will impact the ACA.</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designed to provide financial support and resources to individuals and businesses affected by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48"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solicited feedback on certain of these measures and has implemented others under its existing authority. For example, in May 2019, the U.S. Centers for Medicare &amp; Medicaid Services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w:t>
      </w:r>
    </w:p>
    <w:p>
      <w:pPr>
        <w:spacing w:after="0" w:line="16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93"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As of May 31, 2020, we had 24 full-time employees, 11 of whom hold Ph.D. or M.D. degrees and 16 of whom were engaged in research and development activities. None of our employees are represented by a labor union and we believe we maintain good relations with our employees.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80"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We currently lease 11,424 square feet of laboratory and office space in Burlingame, California, under a lease that expires in 2023. We believe that this space is sufficient to meet our needs for the foreseeable future and that any additional space we may require will be available on commercially reasonable terms.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020"/>
          </w:cols>
          <w:pgMar w:left="320" w:top="459" w:right="5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names, ages and positions of our executive officers and directors as of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 w:type="dxa"/>
            <w:vAlign w:val="bottom"/>
          </w:tcPr>
          <w:p>
            <w:pPr>
              <w:spacing w:after="0"/>
              <w:rPr>
                <w:sz w:val="20"/>
                <w:szCs w:val="20"/>
                <w:color w:val="auto"/>
              </w:rPr>
            </w:pPr>
            <w:r>
              <w:rPr>
                <w:rFonts w:ascii="Arial" w:cs="Arial" w:eastAsia="Arial" w:hAnsi="Arial"/>
                <w:sz w:val="14"/>
                <w:szCs w:val="14"/>
                <w:b w:val="1"/>
                <w:bCs w:val="1"/>
                <w:color w:val="auto"/>
                <w:w w:val="96"/>
              </w:rPr>
              <w:t>NAME</w:t>
            </w:r>
          </w:p>
        </w:tc>
        <w:tc>
          <w:tcPr>
            <w:tcW w:w="40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AGE</w:t>
            </w: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r>
      <w:tr>
        <w:trPr>
          <w:trHeight w:val="163"/>
        </w:trPr>
        <w:tc>
          <w:tcPr>
            <w:tcW w:w="446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b w:val="1"/>
                <w:bCs w:val="1"/>
                <w:i w:val="1"/>
                <w:iCs w:val="1"/>
                <w:color w:val="auto"/>
              </w:rPr>
              <w:t>Executive Officers</w:t>
            </w:r>
            <w:r>
              <w:rPr>
                <w:rFonts w:ascii="Arial" w:cs="Arial" w:eastAsia="Arial" w:hAnsi="Arial"/>
                <w:sz w:val="17"/>
                <w:szCs w:val="17"/>
                <w:b w:val="1"/>
                <w:bCs w:val="1"/>
                <w:color w:val="auto"/>
              </w:rPr>
              <w:t>:</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400" w:type="dxa"/>
            <w:vAlign w:val="bottom"/>
            <w:shd w:val="clear" w:color="auto" w:fill="CCEEFF"/>
          </w:tcPr>
          <w:p>
            <w:pPr>
              <w:spacing w:after="0"/>
              <w:rPr>
                <w:sz w:val="14"/>
                <w:szCs w:val="14"/>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Jaume Pons,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54</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Nathan Caffo</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Chief Business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Peter García</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59</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Steffen Pietzke</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Vice President, Finance and Chief Accounting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Sophia Randolph, M.D.,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52</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Chief Medical Officer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Hong Wan, Ph.D.</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47</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Chief Scientific Officer</w:t>
            </w:r>
          </w:p>
        </w:tc>
      </w:tr>
      <w:tr>
        <w:trPr>
          <w:trHeight w:val="189"/>
        </w:trPr>
        <w:tc>
          <w:tcPr>
            <w:tcW w:w="4460" w:type="dxa"/>
            <w:vAlign w:val="bottom"/>
            <w:gridSpan w:val="2"/>
          </w:tcPr>
          <w:p>
            <w:pPr>
              <w:spacing w:after="0" w:line="189" w:lineRule="exact"/>
              <w:rPr>
                <w:sz w:val="20"/>
                <w:szCs w:val="20"/>
                <w:color w:val="auto"/>
              </w:rPr>
            </w:pPr>
            <w:r>
              <w:rPr>
                <w:rFonts w:ascii="Arial" w:cs="Arial" w:eastAsia="Arial" w:hAnsi="Arial"/>
                <w:sz w:val="17"/>
                <w:szCs w:val="17"/>
                <w:b w:val="1"/>
                <w:bCs w:val="1"/>
                <w:i w:val="1"/>
                <w:iCs w:val="1"/>
                <w:color w:val="auto"/>
              </w:rPr>
              <w:t>Non-Employee Directors</w:t>
            </w: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0" w:type="dxa"/>
            <w:vAlign w:val="bottom"/>
          </w:tcPr>
          <w:p>
            <w:pPr>
              <w:spacing w:after="0"/>
              <w:rPr>
                <w:sz w:val="16"/>
                <w:szCs w:val="16"/>
                <w:color w:val="auto"/>
              </w:rPr>
            </w:pP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 xml:space="preserve">Corey Goodman, Ph.D. </w:t>
            </w:r>
            <w:r>
              <w:rPr>
                <w:rFonts w:ascii="Arial" w:cs="Arial" w:eastAsia="Arial" w:hAnsi="Arial"/>
                <w:sz w:val="14"/>
                <w:szCs w:val="14"/>
                <w:color w:val="auto"/>
              </w:rPr>
              <w:t>(2) (3)</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68</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Executive Chairman of the Board</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Rekha Hemrajani </w:t>
            </w:r>
            <w:r>
              <w:rPr>
                <w:rFonts w:ascii="Arial" w:cs="Arial" w:eastAsia="Arial" w:hAnsi="Arial"/>
                <w:sz w:val="14"/>
                <w:szCs w:val="14"/>
                <w:color w:val="auto"/>
              </w:rPr>
              <w:t>(1) (3)</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 xml:space="preserve">Jason Lettmann </w:t>
            </w:r>
            <w:r>
              <w:rPr>
                <w:rFonts w:ascii="Arial" w:cs="Arial" w:eastAsia="Arial" w:hAnsi="Arial"/>
                <w:sz w:val="14"/>
                <w:szCs w:val="14"/>
                <w:color w:val="auto"/>
              </w:rPr>
              <w:t>(2) (3)</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42</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Jack Nielsen </w:t>
            </w:r>
            <w:r>
              <w:rPr>
                <w:rFonts w:ascii="Arial" w:cs="Arial" w:eastAsia="Arial" w:hAnsi="Arial"/>
                <w:sz w:val="14"/>
                <w:szCs w:val="14"/>
                <w:color w:val="auto"/>
              </w:rPr>
              <w:t>(1) (2)</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56</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 xml:space="preserve">Graham Walmsley, M.D., Ph.D. </w:t>
            </w:r>
            <w:r>
              <w:rPr>
                <w:rFonts w:ascii="Arial" w:cs="Arial" w:eastAsia="Arial" w:hAnsi="Arial"/>
                <w:sz w:val="14"/>
                <w:szCs w:val="14"/>
                <w:color w:val="auto"/>
              </w:rPr>
              <w:t>(1) (3)</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33</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1" w:lineRule="exact"/>
        <w:rPr>
          <w:sz w:val="20"/>
          <w:szCs w:val="20"/>
          <w:color w:val="auto"/>
        </w:rPr>
      </w:pPr>
    </w:p>
    <w:p>
      <w:pPr>
        <w:ind w:left="540" w:hanging="289"/>
        <w:spacing w:after="0"/>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289"/>
        <w:spacing w:after="0" w:line="187" w:lineRule="auto"/>
        <w:tabs>
          <w:tab w:leader="none" w:pos="540" w:val="left"/>
        </w:tabs>
        <w:numPr>
          <w:ilvl w:val="0"/>
          <w:numId w:val="74"/>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289"/>
        <w:spacing w:after="0" w:line="189" w:lineRule="auto"/>
        <w:tabs>
          <w:tab w:leader="none" w:pos="540" w:val="left"/>
        </w:tabs>
        <w:numPr>
          <w:ilvl w:val="0"/>
          <w:numId w:val="74"/>
        </w:numPr>
        <w:rPr>
          <w:rFonts w:ascii="Arial" w:cs="Arial" w:eastAsia="Arial" w:hAnsi="Arial"/>
          <w:sz w:val="19"/>
          <w:szCs w:val="19"/>
          <w:color w:val="auto"/>
          <w:vertAlign w:val="superscript"/>
        </w:rPr>
      </w:pPr>
      <w:r>
        <w:rPr>
          <w:rFonts w:ascii="Arial" w:cs="Arial" w:eastAsia="Arial" w:hAnsi="Arial"/>
          <w:sz w:val="12"/>
          <w:szCs w:val="12"/>
          <w:color w:val="auto"/>
        </w:rPr>
        <w:t>Member of the corporate governance and nominating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62" w:lineRule="exact"/>
        <w:rPr>
          <w:sz w:val="20"/>
          <w:szCs w:val="20"/>
          <w:color w:val="auto"/>
        </w:rPr>
      </w:pPr>
    </w:p>
    <w:p>
      <w:pPr>
        <w:ind w:left="120" w:right="140"/>
        <w:spacing w:after="0" w:line="237" w:lineRule="auto"/>
        <w:rPr>
          <w:sz w:val="20"/>
          <w:szCs w:val="20"/>
          <w:color w:val="auto"/>
        </w:rPr>
      </w:pPr>
      <w:r>
        <w:rPr>
          <w:rFonts w:ascii="Arial" w:cs="Arial" w:eastAsia="Arial" w:hAnsi="Arial"/>
          <w:sz w:val="17"/>
          <w:szCs w:val="17"/>
          <w:i w:val="1"/>
          <w:iCs w:val="1"/>
          <w:color w:val="auto"/>
        </w:rPr>
        <w:t xml:space="preserve">Jaume Pons, Ph.D. </w:t>
      </w:r>
      <w:r>
        <w:rPr>
          <w:rFonts w:ascii="Arial" w:cs="Arial" w:eastAsia="Arial" w:hAnsi="Arial"/>
          <w:sz w:val="17"/>
          <w:szCs w:val="17"/>
          <w:color w:val="auto"/>
        </w:rPr>
        <w:t>has served as our President, Chief Executive Officer and a member of our board of directors since April 2015. He has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 Research and Development Team and Chief Technology Officer for Pfizer Biotherapeutics from September 2009 to February 2015. From October 2007 to February 2015, he served as Chief Scientific Officer at Rinat Neuroscience Corporation, a subsidiary of Pfizer. Dr. Pons holds a B.S. in Biochemistry and an M.S. in Biotechnology from Autonoma University of Barcelona and a Ph.D. in Molecular and Cell Biology from the Institute on Fundamental Biology, Barcelona (Autonomous University of Barcelona)</w:t>
      </w:r>
      <w:r>
        <w:rPr>
          <w:rFonts w:ascii="Arial" w:cs="Arial" w:eastAsia="Arial" w:hAnsi="Arial"/>
          <w:sz w:val="17"/>
          <w:szCs w:val="17"/>
          <w:i w:val="1"/>
          <w:iCs w:val="1"/>
          <w:color w:val="auto"/>
        </w:rPr>
        <w:t>.</w:t>
      </w:r>
    </w:p>
    <w:p>
      <w:pPr>
        <w:spacing w:after="0" w:line="148"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knowledge.</w:t>
      </w:r>
    </w:p>
    <w:p>
      <w:pPr>
        <w:spacing w:after="0" w:line="126"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i w:val="1"/>
          <w:iCs w:val="1"/>
          <w:color w:val="auto"/>
        </w:rPr>
        <w:t xml:space="preserve">Nathan Caffo </w:t>
      </w:r>
      <w:r>
        <w:rPr>
          <w:rFonts w:ascii="Arial" w:cs="Arial" w:eastAsia="Arial" w:hAnsi="Arial"/>
          <w:sz w:val="17"/>
          <w:szCs w:val="17"/>
          <w:color w:val="auto"/>
        </w:rPr>
        <w:t>has served as our Chief Business Officer since September 2018. Prior to joining us, Mr. Caffo was with Presage Biosciences, an</w:t>
      </w:r>
      <w:r>
        <w:rPr>
          <w:rFonts w:ascii="Arial" w:cs="Arial" w:eastAsia="Arial" w:hAnsi="Arial"/>
          <w:sz w:val="17"/>
          <w:szCs w:val="17"/>
          <w:i w:val="1"/>
          <w:iCs w:val="1"/>
          <w:color w:val="auto"/>
        </w:rPr>
        <w:t xml:space="preserve"> </w:t>
      </w:r>
      <w:r>
        <w:rPr>
          <w:rFonts w:ascii="Arial" w:cs="Arial" w:eastAsia="Arial" w:hAnsi="Arial"/>
          <w:sz w:val="17"/>
          <w:szCs w:val="17"/>
          <w:color w:val="auto"/>
        </w:rPr>
        <w:t>oncology company, from April 2009 to August 2018, where he served in various executive roles, including as President, from December 2011 to August 2018, and from September 2017 until August 2018, he also served as Presage’s Chief Executive Officer. Mr. Caffo holds a B.S. in Microbiology from Pennsylvania State University</w:t>
      </w:r>
      <w:r>
        <w:rPr>
          <w:rFonts w:ascii="Arial" w:cs="Arial" w:eastAsia="Arial" w:hAnsi="Arial"/>
          <w:sz w:val="17"/>
          <w:szCs w:val="17"/>
          <w:i w:val="1"/>
          <w:iCs w:val="1"/>
          <w:color w:val="auto"/>
        </w:rPr>
        <w:t>.</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 xml:space="preserve">Peter Garcia </w:t>
      </w:r>
      <w:r>
        <w:rPr>
          <w:rFonts w:ascii="Arial" w:cs="Arial" w:eastAsia="Arial" w:hAnsi="Arial"/>
          <w:sz w:val="17"/>
          <w:szCs w:val="17"/>
          <w:color w:val="auto"/>
        </w:rPr>
        <w:t>has served as our Chief Financial Officer since January 2020. Prior to joining us, he served as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holds a B.A. in Economics and Sociology from Stanford University and an M.B.A. from the University of California, Los Angeles.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 xml:space="preserve">Steffen Pietzke </w:t>
      </w:r>
      <w:r>
        <w:rPr>
          <w:rFonts w:ascii="Arial" w:cs="Arial" w:eastAsia="Arial" w:hAnsi="Arial"/>
          <w:sz w:val="17"/>
          <w:szCs w:val="17"/>
          <w:color w:val="auto"/>
        </w:rPr>
        <w:t>has served as our Vice President, Finance and Chief Accounting Officer since March 2020. Prior to joining us,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Finance and Chief Accounting Officer at Tricida, Inc., a biotechnology company, from April 2018 to March 2020. From June 2015 to April 2018, Mr. Pietzke served as Vice President, Finance and Chief Accounting Officer at PDL BioPharma. From July 2013 to June 2015, he served as a Senior Manager with Ernst &amp; Young LLP, a professional services firm. From September 2000 to June 2013, Mr. Pietzke was with PricewaterhouseCoopers LLP, a professional services firm, where he served most recently as a Senior Manager. He holds a Bachelor of Business Science in Accounting from the University of Applied Sciences in Offenburg, Germany and is a certified public accountant.</w:t>
      </w:r>
    </w:p>
    <w:p>
      <w:pPr>
        <w:spacing w:after="0" w:line="133" w:lineRule="exact"/>
        <w:rPr>
          <w:sz w:val="20"/>
          <w:szCs w:val="20"/>
          <w:color w:val="auto"/>
        </w:rPr>
      </w:pPr>
    </w:p>
    <w:p>
      <w:pPr>
        <w:ind w:left="120" w:right="40"/>
        <w:spacing w:after="0"/>
        <w:rPr>
          <w:sz w:val="20"/>
          <w:szCs w:val="20"/>
          <w:color w:val="auto"/>
        </w:rPr>
      </w:pPr>
      <w:r>
        <w:rPr>
          <w:rFonts w:ascii="Arial" w:cs="Arial" w:eastAsia="Arial" w:hAnsi="Arial"/>
          <w:sz w:val="17"/>
          <w:szCs w:val="17"/>
          <w:i w:val="1"/>
          <w:iCs w:val="1"/>
          <w:color w:val="auto"/>
        </w:rPr>
        <w:t xml:space="preserve">Sophia Randolph, M.D., Ph.D. </w:t>
      </w:r>
      <w:r>
        <w:rPr>
          <w:rFonts w:ascii="Arial" w:cs="Arial" w:eastAsia="Arial" w:hAnsi="Arial"/>
          <w:sz w:val="17"/>
          <w:szCs w:val="17"/>
          <w:color w:val="auto"/>
        </w:rPr>
        <w:t>has served as our Chief Medical Officer since June 2016. Prior to joining us, she was with Pfizer Oncology Early</w:t>
      </w:r>
      <w:r>
        <w:rPr>
          <w:rFonts w:ascii="Arial" w:cs="Arial" w:eastAsia="Arial" w:hAnsi="Arial"/>
          <w:sz w:val="17"/>
          <w:szCs w:val="17"/>
          <w:i w:val="1"/>
          <w:iCs w:val="1"/>
          <w:color w:val="auto"/>
        </w:rPr>
        <w:t xml:space="preserve"> </w:t>
      </w:r>
      <w:r>
        <w:rPr>
          <w:rFonts w:ascii="Arial" w:cs="Arial" w:eastAsia="Arial" w:hAnsi="Arial"/>
          <w:sz w:val="17"/>
          <w:szCs w:val="17"/>
          <w:color w:val="auto"/>
        </w:rPr>
        <w:t>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13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 xml:space="preserve">Hong Wan, Ph.D. </w:t>
      </w:r>
      <w:r>
        <w:rPr>
          <w:rFonts w:ascii="Arial" w:cs="Arial" w:eastAsia="Arial" w:hAnsi="Arial"/>
          <w:sz w:val="17"/>
          <w:szCs w:val="17"/>
          <w:color w:val="auto"/>
        </w:rPr>
        <w:t>has served as our Chief Scientific Officer since June 2017 and previously served as our Vice President, Early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Translational Medicine from April 2015 to May 2017. Prior to joining us, she was with Pfizer from September 2005 to March 2015 where she served most recently as Senior Director, Biotechnology Clinical Development from September 2012 to March 2015. Dr. Wan holds an A.B. in Biochemical Sciences from Harvard University and a Ph.D. in Molecular and Cell Biology from the University of California, Berkeley.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Non-Employee Directors</w:t>
      </w:r>
    </w:p>
    <w:p>
      <w:pPr>
        <w:spacing w:after="0" w:line="77"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i w:val="1"/>
          <w:iCs w:val="1"/>
          <w:color w:val="auto"/>
        </w:rPr>
        <w:t xml:space="preserve">Corey Goodman, Ph.D. </w:t>
      </w:r>
      <w:r>
        <w:rPr>
          <w:rFonts w:ascii="Arial" w:cs="Arial" w:eastAsia="Arial" w:hAnsi="Arial"/>
          <w:sz w:val="17"/>
          <w:szCs w:val="17"/>
          <w:color w:val="auto"/>
        </w:rPr>
        <w:t>is our co-founder and has served as a member of our board of directors and as Executive Chairman since March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He currently serves as chairman and as a member of the board of directors of several privately held biotechnology companies. Dr. Goodman holds a B.S. in Biology from Stanford University and a Ph.D. in Neurobiology from U.C. Berkeley and was a postdoctoral fellow at the University of California, San Diego.</w:t>
      </w:r>
    </w:p>
    <w:p>
      <w:pPr>
        <w:spacing w:after="0" w:line="15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believe Dr. Goodman is qualified to serve on our board of directors due to his experience founding and managing biotechnology companies in both the private and public markets.</w:t>
      </w:r>
    </w:p>
    <w:p>
      <w:pPr>
        <w:spacing w:after="0" w:line="126"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i w:val="1"/>
          <w:iCs w:val="1"/>
          <w:color w:val="auto"/>
        </w:rPr>
        <w:t xml:space="preserve">Rekha Hemrajani </w:t>
      </w:r>
      <w:r>
        <w:rPr>
          <w:rFonts w:ascii="Arial" w:cs="Arial" w:eastAsia="Arial" w:hAnsi="Arial"/>
          <w:sz w:val="17"/>
          <w:szCs w:val="17"/>
          <w:color w:val="auto"/>
        </w:rPr>
        <w:t>has served as a member of our board of directors since April 2020. She served as President and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Ms. Hemrajani currently serves as a director at Adverum Biotechnologies, Inc., a clinical-stage gene therapy company, and previously served as a director at Aravive. She holds a B.S. in Economics and Computer Science from the University of Michigan and an M.B.A. from the Kellogg Graduate School of Management at Northwestern University.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believe Ms. Hemrajani is qualified to serve on our board of directors due to her executive and financial experience at multiple companies in the biopharmaceutical and biotechnology industries.</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Jason Lettmann </w:t>
      </w:r>
      <w:r>
        <w:rPr>
          <w:rFonts w:ascii="Arial" w:cs="Arial" w:eastAsia="Arial" w:hAnsi="Arial"/>
          <w:sz w:val="17"/>
          <w:szCs w:val="17"/>
          <w:color w:val="auto"/>
        </w:rPr>
        <w:t>has served as a member of our board of directors since April 2020 and previously served as a member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March 2015 to May 2017. Mr. Lettmann has served as a General Partner of 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52"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We believe Mr. Lettmann is qualified to serve on our board of directors because of his industry experience, his experience serving on the boards of directors for multiple life sciences companies and his extensive experience with venture capital investments.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Jack Nielsen </w:t>
      </w:r>
      <w:r>
        <w:rPr>
          <w:rFonts w:ascii="Arial" w:cs="Arial" w:eastAsia="Arial" w:hAnsi="Arial"/>
          <w:sz w:val="17"/>
          <w:szCs w:val="17"/>
          <w:color w:val="auto"/>
        </w:rPr>
        <w:t>has served as a member of our board of directors since February 2020. Mr. Nielsen has served as a Managing Director at Vivo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LLC, a healthcare focused investment firm, since August 2017, and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Reata Pharmaceuticals, a pharmaceutical company, and previously served as a director of Akebia Therapeutics, Apollo Endosurgery, Crinetics Pharmaceuticals and Merus, N.V. Mr. Nielsen holds an M.Sc. in Chemical Engineering from the Technical University of Denmark and a Masters in Management of Technology from Center for Technology, Economics and Management, Technical University of Denmark.</w:t>
      </w:r>
    </w:p>
    <w:p>
      <w:pPr>
        <w:spacing w:after="0" w:line="151"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We believe Mr. Nielsen is qualified to serve on our board of directors because of his experience working in the biotechnology industry, his experience as a venture capital investor and his board service for several companies in the biotechnology sector.</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Graham Walmsley, M.D., Ph.D. </w:t>
      </w:r>
      <w:r>
        <w:rPr>
          <w:rFonts w:ascii="Arial" w:cs="Arial" w:eastAsia="Arial" w:hAnsi="Arial"/>
          <w:sz w:val="17"/>
          <w:szCs w:val="17"/>
          <w:color w:val="auto"/>
        </w:rPr>
        <w:t>has served as a member of our board of directors since February 2020. Dr. Walmsley is a Founding Member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Managing Partner of Logos Global Management, LP, a biotechnology-focused hedge fund, since August 2019. From July 2016 to August 2019, he served as a Principal at Versant Ventures, a healthcare focused venture capital firm. Dr. Walmsley served as Head of Business Development at Pipeline Therapeutics Inc., a biotechnology company, from April 2018 to December 2018 and as Head of Business Development at Jecure Therapeutics, Inc., a biotechnology company, from June 2017 until its acquisition by Genentech, a subsidiary of Roche, in November 2018. He currently serves as a member of the board of directors of Akero Therapeutics, a clinical-stage biotechnology company. Dr. Walmsley received a B.A. in Molecular and Cell Biology from the University of California, Berkeley in June 2009 and a Ph.D. and an M.D. in Stem Cell Biology and Regenerative Medicine from Stanford University School of Medicine in June 2016 and June 2018, respectively.</w:t>
      </w:r>
    </w:p>
    <w:p>
      <w:pPr>
        <w:spacing w:after="0" w:line="14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We believe Dr. Walmsley is qualified to serve on our board of directors because of his significant experience in the healthcare and biotechnology industry, his educational background and his experience as a director for companies in the biotechnology sector.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Board Composition</w:t>
      </w:r>
    </w:p>
    <w:p>
      <w:pPr>
        <w:spacing w:after="0" w:line="95"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board of directors currently consists of six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49"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staggered three-year terms. Only one class of directors will be elected at each annual meeting of</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stockholders, with the other classes continuing for the remainder of their respective three-year terms. Our current directors will be divided among the three classes as follows:</w:t>
      </w:r>
    </w:p>
    <w:p>
      <w:pPr>
        <w:spacing w:after="0" w:line="165"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60" w:type="dxa"/>
            <w:vAlign w:val="bottom"/>
          </w:tcPr>
          <w:p>
            <w:pPr>
              <w:ind w:left="180"/>
              <w:spacing w:after="0"/>
              <w:rPr>
                <w:sz w:val="20"/>
                <w:szCs w:val="20"/>
                <w:color w:val="auto"/>
              </w:rPr>
            </w:pPr>
            <w:r>
              <w:rPr>
                <w:rFonts w:ascii="Arial" w:cs="Arial" w:eastAsia="Arial" w:hAnsi="Arial"/>
                <w:sz w:val="17"/>
                <w:szCs w:val="17"/>
                <w:color w:val="auto"/>
              </w:rPr>
              <w:t>the Class I directors will be</w:t>
            </w:r>
          </w:p>
        </w:tc>
        <w:tc>
          <w:tcPr>
            <w:tcW w:w="7120" w:type="dxa"/>
            <w:vAlign w:val="bottom"/>
          </w:tcPr>
          <w:p>
            <w:pPr>
              <w:ind w:left="360"/>
              <w:spacing w:after="0"/>
              <w:rPr>
                <w:sz w:val="20"/>
                <w:szCs w:val="20"/>
                <w:color w:val="auto"/>
              </w:rPr>
            </w:pPr>
            <w:r>
              <w:rPr>
                <w:rFonts w:ascii="Arial" w:cs="Arial" w:eastAsia="Arial" w:hAnsi="Arial"/>
                <w:sz w:val="17"/>
                <w:szCs w:val="17"/>
                <w:color w:val="auto"/>
              </w:rPr>
              <w:t>, and their terms will expire at the annual meeting of stockholders to be held in 2021;</w:t>
            </w:r>
          </w:p>
        </w:tc>
      </w:tr>
      <w:tr>
        <w:trPr>
          <w:trHeight w:val="230"/>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60" w:type="dxa"/>
            <w:vAlign w:val="bottom"/>
          </w:tcPr>
          <w:p>
            <w:pPr>
              <w:ind w:left="180"/>
              <w:spacing w:after="0"/>
              <w:rPr>
                <w:sz w:val="20"/>
                <w:szCs w:val="20"/>
                <w:color w:val="auto"/>
              </w:rPr>
            </w:pPr>
            <w:r>
              <w:rPr>
                <w:rFonts w:ascii="Arial" w:cs="Arial" w:eastAsia="Arial" w:hAnsi="Arial"/>
                <w:sz w:val="17"/>
                <w:szCs w:val="17"/>
                <w:color w:val="auto"/>
              </w:rPr>
              <w:t>the Class II directors will be</w:t>
            </w:r>
          </w:p>
        </w:tc>
        <w:tc>
          <w:tcPr>
            <w:tcW w:w="7120" w:type="dxa"/>
            <w:vAlign w:val="bottom"/>
          </w:tcPr>
          <w:p>
            <w:pPr>
              <w:ind w:left="400"/>
              <w:spacing w:after="0"/>
              <w:rPr>
                <w:sz w:val="20"/>
                <w:szCs w:val="20"/>
                <w:color w:val="auto"/>
              </w:rPr>
            </w:pPr>
            <w:r>
              <w:rPr>
                <w:rFonts w:ascii="Arial" w:cs="Arial" w:eastAsia="Arial" w:hAnsi="Arial"/>
                <w:sz w:val="17"/>
                <w:szCs w:val="17"/>
                <w:color w:val="auto"/>
              </w:rPr>
              <w:t>, and their terms will expire at the annual meeting of stockholders to be held in 2022; and</w:t>
            </w:r>
          </w:p>
        </w:tc>
      </w:tr>
      <w:tr>
        <w:trPr>
          <w:trHeight w:val="229"/>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60" w:type="dxa"/>
            <w:vAlign w:val="bottom"/>
          </w:tcPr>
          <w:p>
            <w:pPr>
              <w:ind w:left="180"/>
              <w:spacing w:after="0"/>
              <w:rPr>
                <w:sz w:val="20"/>
                <w:szCs w:val="20"/>
                <w:color w:val="auto"/>
              </w:rPr>
            </w:pPr>
            <w:r>
              <w:rPr>
                <w:rFonts w:ascii="Arial" w:cs="Arial" w:eastAsia="Arial" w:hAnsi="Arial"/>
                <w:sz w:val="17"/>
                <w:szCs w:val="17"/>
                <w:color w:val="auto"/>
              </w:rPr>
              <w:t>the Class III directors will be</w:t>
            </w:r>
          </w:p>
        </w:tc>
        <w:tc>
          <w:tcPr>
            <w:tcW w:w="7120" w:type="dxa"/>
            <w:vAlign w:val="bottom"/>
          </w:tcPr>
          <w:p>
            <w:pPr>
              <w:ind w:left="460"/>
              <w:spacing w:after="0"/>
              <w:rPr>
                <w:sz w:val="20"/>
                <w:szCs w:val="20"/>
                <w:color w:val="auto"/>
              </w:rPr>
            </w:pPr>
            <w:r>
              <w:rPr>
                <w:rFonts w:ascii="Arial" w:cs="Arial" w:eastAsia="Arial" w:hAnsi="Arial"/>
                <w:sz w:val="17"/>
                <w:szCs w:val="17"/>
                <w:color w:val="auto"/>
              </w:rPr>
              <w:t>, and their terms will expire at the annual meeting of stockholders to be held in 2023.</w:t>
            </w:r>
          </w:p>
        </w:tc>
      </w:tr>
    </w:tbl>
    <w:p>
      <w:pPr>
        <w:spacing w:after="0" w:line="146"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classification of our board of directors may have the effect of delaying or preventing changes in control of our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Upon the completion of this offering, we anticipate that our common stock will be listed on the Nasdaq Global Select Market.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1" w:lineRule="exact"/>
        <w:rPr>
          <w:sz w:val="20"/>
          <w:szCs w:val="20"/>
          <w:color w:val="auto"/>
        </w:rPr>
      </w:pPr>
    </w:p>
    <w:p>
      <w:pPr>
        <w:ind w:left="120" w:right="360"/>
        <w:spacing w:after="0" w:line="232" w:lineRule="auto"/>
        <w:rPr>
          <w:sz w:val="20"/>
          <w:szCs w:val="20"/>
          <w:color w:val="auto"/>
        </w:rPr>
      </w:pPr>
      <w:r>
        <w:rPr>
          <w:rFonts w:ascii="Arial" w:cs="Arial" w:eastAsia="Arial" w:hAnsi="Arial"/>
          <w:sz w:val="17"/>
          <w:szCs w:val="17"/>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w:t>
      </w:r>
    </w:p>
    <w:p>
      <w:pPr>
        <w:ind w:left="120" w:right="60" w:hanging="4"/>
        <w:spacing w:after="0" w:line="243" w:lineRule="auto"/>
        <w:tabs>
          <w:tab w:leader="none" w:pos="376" w:val="left"/>
        </w:tabs>
        <w:numPr>
          <w:ilvl w:val="0"/>
          <w:numId w:val="75"/>
        </w:numPr>
        <w:rPr>
          <w:rFonts w:ascii="Arial" w:cs="Arial" w:eastAsia="Arial" w:hAnsi="Arial"/>
          <w:sz w:val="17"/>
          <w:szCs w:val="17"/>
          <w:color w:val="auto"/>
        </w:rPr>
      </w:pPr>
      <w:r>
        <w:rPr>
          <w:rFonts w:ascii="Arial" w:cs="Arial" w:eastAsia="Arial" w:hAnsi="Arial"/>
          <w:sz w:val="17"/>
          <w:szCs w:val="17"/>
          <w:color w:val="auto"/>
        </w:rPr>
        <w:t>accept, directly or indirectly, any consulting, advisory or other compensatory fee from the listed company or any of its subsidiaries or (2) be an affiliated person of the listed company or any of its subsidiaries.</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4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Corey Goodman, Ph.D., Rekha Hemrajani, Jason Lettmann, Jack Nielsen and Graham Walmsley, M.D., Ph.D., representing five of our six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but is not an officer. We currently expect and intend the positions of Executive Chairman of our board of directors and Chief Executive Officer to continue to be held by two individuals in the future.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8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Our board of directors has an audit committee, a compensation committee and a corporate governance and nominating committee, each of which has the composition and the responsibilities described below.</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41" w:lineRule="exact"/>
        <w:rPr>
          <w:sz w:val="20"/>
          <w:szCs w:val="20"/>
          <w:color w:val="auto"/>
        </w:rPr>
      </w:pPr>
    </w:p>
    <w:p>
      <w:pPr>
        <w:jc w:val="both"/>
        <w:ind w:left="120" w:right="180"/>
        <w:spacing w:after="0" w:line="236" w:lineRule="auto"/>
        <w:rPr>
          <w:sz w:val="20"/>
          <w:szCs w:val="20"/>
          <w:color w:val="auto"/>
        </w:rPr>
      </w:pPr>
      <w:r>
        <w:rPr>
          <w:rFonts w:ascii="Arial" w:cs="Arial" w:eastAsia="Arial" w:hAnsi="Arial"/>
          <w:sz w:val="17"/>
          <w:szCs w:val="17"/>
          <w:color w:val="auto"/>
        </w:rPr>
        <w:t>The members of our audit committee are Rekha Hemrajani, Jack Nielsen and Graham Walmsley, M.D., Ph.D. Ms. Hemrajani is the chair of our audit committee and is our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90" w:lineRule="exact"/>
        <w:rPr>
          <w:sz w:val="20"/>
          <w:szCs w:val="20"/>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select and hire the independent registered public accounting firm to audit our consolidated financial statements;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help to ensure the independence and performance of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approve audit and non-audit services and fees;</w:t>
      </w:r>
    </w:p>
    <w:p>
      <w:pPr>
        <w:spacing w:after="0" w:line="34"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review consolidated financial statements and discuss with management and the independent registered public accounting firm our annual audited and quarterly consolidated financial statements, the results of the independent audit and the quarterly reviews and the reports and certifications regarding internal controls over financial reporting and disclosure controls;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prepare the audit committee report that the SEC requires to be included in our annual proxy statement;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review reports and communications from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review the adequacy and effectiveness of our internal controls and disclosure controls and procedure;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review our policies on risk assessment and risk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review related-party transactions; and</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560" w:hanging="432"/>
        <w:spacing w:after="0" w:line="243"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44"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which will satisfy the applicable rules of the SEC and the listing standards of Nasdaq.</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1"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7"/>
          <w:szCs w:val="17"/>
          <w:color w:val="auto"/>
        </w:rPr>
        <w:t>The members of our compensation committee are Corey Goodman, Ph.D., Jason Lettmann and Jack Nielsen. Dr. Goodman is the chair of our compensation committee. Our compensation committee oversees our compensation policies, plans and benefits programs. The compensation committee will also:</w:t>
      </w:r>
    </w:p>
    <w:p>
      <w:pPr>
        <w:spacing w:after="0" w:line="188" w:lineRule="exact"/>
        <w:rPr>
          <w:sz w:val="20"/>
          <w:szCs w:val="20"/>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oversee our overall compensation philosophy and compensation policies, plans and benefit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review and approve or recommend to the board of directors for approval compensation for our executive officers and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prepare the compensation committee report that the SEC will require to be included in our annual proxy statement;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administer our equity compensation plans.</w:t>
      </w:r>
    </w:p>
    <w:p>
      <w:pPr>
        <w:spacing w:after="0" w:line="156"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Our compensation committee will operate under a written charter, to be effective prior to the completion of this offering, which will satisfy the applicable rules of the SEC and the listing standards of Nasdaq.</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Corporate Governance and Nominating Committee</w:t>
      </w:r>
    </w:p>
    <w:p>
      <w:pPr>
        <w:spacing w:after="0" w:line="4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members of our corporate governance and nominating committee are Corey Goodman, Ph.D., Rekha Hemrajani, Jason Lettmann and Graham Walmsley, M.D., Ph.D. Mr. Lettmann is the chairman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190" w:lineRule="exact"/>
        <w:rPr>
          <w:sz w:val="20"/>
          <w:szCs w:val="20"/>
          <w:color w:val="auto"/>
        </w:rPr>
      </w:pPr>
    </w:p>
    <w:p>
      <w:pPr>
        <w:ind w:left="980" w:right="14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identify, evaluate and make recommendations to our board of directors regarding nominees for election to our board of directors and its committees;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review developments in corporate governance practices;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evaluate the adequacy of our corporate governance practices and reporting;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evaluate the performance of our board of directors and of individual directors.</w:t>
      </w:r>
    </w:p>
    <w:p>
      <w:pPr>
        <w:spacing w:after="0" w:line="156"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Our corporate governance and nominating committee will operate under a written charter, to be effective prior to the completion of this offering, which will satisfy the applicable rules of the SEC and the listing standards of Nasdaq.</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As of May 31, 2020, none of our directors have received any cash or equity compensation for serving on our board of directors. This includes our current directors and Dr. Robert Adelman and Ms. Caroline Gaynor, each of whom served on our board of directors during the fiscal year ended December 31, 2019.</w:t>
      </w:r>
    </w:p>
    <w:p>
      <w:pPr>
        <w:spacing w:after="0" w:line="147" w:lineRule="exact"/>
        <w:rPr>
          <w:sz w:val="20"/>
          <w:szCs w:val="20"/>
          <w:color w:val="auto"/>
        </w:rPr>
      </w:pPr>
    </w:p>
    <w:p>
      <w:pPr>
        <w:ind w:left="120" w:right="660"/>
        <w:spacing w:after="0" w:line="238" w:lineRule="auto"/>
        <w:rPr>
          <w:sz w:val="20"/>
          <w:szCs w:val="20"/>
          <w:color w:val="auto"/>
        </w:rPr>
      </w:pPr>
      <w:r>
        <w:rPr>
          <w:rFonts w:ascii="Arial" w:cs="Arial" w:eastAsia="Arial" w:hAnsi="Arial"/>
          <w:sz w:val="17"/>
          <w:szCs w:val="17"/>
          <w:color w:val="auto"/>
        </w:rPr>
        <w:t>We do reimburse our directors for expenses associated with attending meetings of our board of directors and committees of our board of directors. Following the completion of this offering, we expect to implement an annual cash and equity compensation program for our non-employee directors.</w:t>
      </w:r>
    </w:p>
    <w:p>
      <w:pPr>
        <w:spacing w:after="0" w:line="147"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Dr. Pons was our only employee director during 2019. See the section titled “Executive Compensation” for additional information about Dr. Pons’ compensation.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80"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fiscal year has served, as a member of the board of directors or</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080"/>
          </w:cols>
          <w:pgMar w:left="32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93"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Prior to the closing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http://alxoncology.com.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6"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named executive officers for the year ended December 31, 2019, which consist of our principal executive officer and the next two most highly compensated executive officers, are:</w:t>
      </w:r>
    </w:p>
    <w:p>
      <w:pPr>
        <w:spacing w:after="0" w:line="185" w:lineRule="exact"/>
        <w:rPr>
          <w:sz w:val="20"/>
          <w:szCs w:val="20"/>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Jaume Pons, Ph.D., our President and Chief Executive Officer;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Sophia Randolph, M.D., Ph.D., our Chief Medical Officer;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Hong Wan, Ph.D., our Chief Scientific Officer.</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INCENTIVE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18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300" w:type="dxa"/>
            <w:vAlign w:val="bottom"/>
            <w:tcBorders>
              <w:bottom w:val="single" w:sz="8" w:color="auto"/>
            </w:tcBorders>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0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60" w:type="dxa"/>
            <w:vAlign w:val="bottom"/>
          </w:tcPr>
          <w:p>
            <w:pPr>
              <w:spacing w:after="0"/>
              <w:rPr>
                <w:sz w:val="16"/>
                <w:szCs w:val="16"/>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Jaume Pons, Ph.D.</w:t>
            </w:r>
          </w:p>
        </w:tc>
        <w:tc>
          <w:tcPr>
            <w:tcW w:w="460" w:type="dxa"/>
            <w:vAlign w:val="bottom"/>
            <w:tcBorders>
              <w:top w:val="single" w:sz="8" w:color="auto"/>
            </w:tcBorders>
            <w:shd w:val="clear" w:color="auto" w:fill="CCEEFF"/>
          </w:tcPr>
          <w:p>
            <w:pPr>
              <w:ind w:left="80"/>
              <w:spacing w:after="0" w:line="176" w:lineRule="exact"/>
              <w:rPr>
                <w:sz w:val="20"/>
                <w:szCs w:val="20"/>
                <w:color w:val="auto"/>
              </w:rPr>
            </w:pPr>
            <w:r>
              <w:rPr>
                <w:rFonts w:ascii="Arial" w:cs="Arial" w:eastAsia="Arial" w:hAnsi="Arial"/>
                <w:sz w:val="17"/>
                <w:szCs w:val="17"/>
                <w:color w:val="auto"/>
                <w:w w:val="95"/>
              </w:rPr>
              <w:t>2019</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422,300</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134,002</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147,900</w:t>
            </w: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704,202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ind w:left="500"/>
              <w:spacing w:after="0" w:line="189" w:lineRule="exact"/>
              <w:rPr>
                <w:sz w:val="20"/>
                <w:szCs w:val="20"/>
                <w:color w:val="auto"/>
              </w:rPr>
            </w:pPr>
            <w:r>
              <w:rPr>
                <w:rFonts w:ascii="Arial" w:cs="Arial" w:eastAsia="Arial" w:hAnsi="Arial"/>
                <w:sz w:val="17"/>
                <w:szCs w:val="17"/>
                <w:i w:val="1"/>
                <w:iCs w:val="1"/>
                <w:color w:val="auto"/>
              </w:rPr>
              <w:t>President and Chief Executive Officer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Sophia Randolph, M.D., Ph.D.</w:t>
            </w:r>
          </w:p>
        </w:tc>
        <w:tc>
          <w:tcPr>
            <w:tcW w:w="64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351,100</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40,834</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105,400</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497,334</w:t>
            </w:r>
          </w:p>
        </w:tc>
        <w:tc>
          <w:tcPr>
            <w:tcW w:w="0" w:type="dxa"/>
            <w:vAlign w:val="bottom"/>
          </w:tcPr>
          <w:p>
            <w:pPr>
              <w:spacing w:after="0"/>
              <w:rPr>
                <w:sz w:val="1"/>
                <w:szCs w:val="1"/>
                <w:color w:val="auto"/>
              </w:rPr>
            </w:pPr>
          </w:p>
        </w:tc>
      </w:tr>
      <w:tr>
        <w:trPr>
          <w:trHeight w:val="189"/>
        </w:trPr>
        <w:tc>
          <w:tcPr>
            <w:tcW w:w="6480" w:type="dxa"/>
            <w:vAlign w:val="bottom"/>
            <w:gridSpan w:val="2"/>
          </w:tcPr>
          <w:p>
            <w:pPr>
              <w:ind w:left="500"/>
              <w:spacing w:after="0" w:line="189" w:lineRule="exact"/>
              <w:rPr>
                <w:sz w:val="20"/>
                <w:szCs w:val="20"/>
                <w:color w:val="auto"/>
              </w:rPr>
            </w:pPr>
            <w:r>
              <w:rPr>
                <w:rFonts w:ascii="Arial" w:cs="Arial" w:eastAsia="Arial" w:hAnsi="Arial"/>
                <w:sz w:val="17"/>
                <w:szCs w:val="17"/>
                <w:i w:val="1"/>
                <w:iCs w:val="1"/>
                <w:color w:val="auto"/>
              </w:rPr>
              <w:t>Chief Medical Officer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Hong Wan, Ph.D.</w:t>
            </w:r>
          </w:p>
        </w:tc>
        <w:tc>
          <w:tcPr>
            <w:tcW w:w="64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313,100</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40,372</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94,000</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447,472</w:t>
            </w:r>
          </w:p>
        </w:tc>
        <w:tc>
          <w:tcPr>
            <w:tcW w:w="0" w:type="dxa"/>
            <w:vAlign w:val="bottom"/>
          </w:tcPr>
          <w:p>
            <w:pPr>
              <w:spacing w:after="0"/>
              <w:rPr>
                <w:sz w:val="1"/>
                <w:szCs w:val="1"/>
                <w:color w:val="auto"/>
              </w:rPr>
            </w:pPr>
          </w:p>
        </w:tc>
      </w:tr>
      <w:tr>
        <w:trPr>
          <w:trHeight w:val="223"/>
        </w:trPr>
        <w:tc>
          <w:tcPr>
            <w:tcW w:w="6480" w:type="dxa"/>
            <w:vAlign w:val="bottom"/>
            <w:gridSpan w:val="2"/>
          </w:tcPr>
          <w:p>
            <w:pPr>
              <w:ind w:left="500"/>
              <w:spacing w:after="0"/>
              <w:rPr>
                <w:sz w:val="20"/>
                <w:szCs w:val="20"/>
                <w:color w:val="auto"/>
              </w:rPr>
            </w:pPr>
            <w:r>
              <w:rPr>
                <w:rFonts w:ascii="Arial" w:cs="Arial" w:eastAsia="Arial" w:hAnsi="Arial"/>
                <w:sz w:val="17"/>
                <w:szCs w:val="17"/>
                <w:i w:val="1"/>
                <w:iCs w:val="1"/>
                <w:color w:val="auto"/>
              </w:rPr>
              <w:t>Chief Scientific Officer</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0"/>
          <w:szCs w:val="20"/>
          <w:color w:val="auto"/>
        </w:rPr>
      </w:pPr>
    </w:p>
    <w:p>
      <w:pPr>
        <w:ind w:left="540" w:right="20" w:hanging="276"/>
        <w:spacing w:after="0" w:line="249"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consolidated financial statements included elsewhere in this prospectus. These amounts do not correspond to the actual value that may be recognized by the named executive officers upon vesting of the applicable awards.</w:t>
      </w:r>
    </w:p>
    <w:p>
      <w:pPr>
        <w:spacing w:after="0" w:line="25" w:lineRule="exact"/>
        <w:rPr>
          <w:rFonts w:ascii="Arial" w:cs="Arial" w:eastAsia="Arial" w:hAnsi="Arial"/>
          <w:sz w:val="14"/>
          <w:szCs w:val="14"/>
          <w:color w:val="auto"/>
        </w:rPr>
      </w:pPr>
    </w:p>
    <w:p>
      <w:pPr>
        <w:ind w:left="540" w:right="620" w:hanging="276"/>
        <w:spacing w:after="0" w:line="258"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amounts disclosed represent discretionary bonuses based upon achievement of certain Company and individual performance metrics for the year ended December 31, 2019, which were paid in March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80"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4"/>
          </w:tcPr>
          <w:p>
            <w:pPr>
              <w:ind w:left="3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28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6"/>
              </w:rPr>
              <w:t>NUMBER OF</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NUMBER OF</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44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7"/>
              </w:rPr>
              <w:t>SECURITIES</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SECURITIES</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44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OR UNITS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5"/>
              </w:rPr>
              <w:t>UNDERLYING</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UNDERLYING</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OPTION</w:t>
            </w: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THAT HAVE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5"/>
              </w:rPr>
              <w:t>OPTIONS</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OPTIONS</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EXERCISE</w:t>
            </w: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OPTION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NOT</w:t>
            </w:r>
          </w:p>
        </w:tc>
        <w:tc>
          <w:tcPr>
            <w:tcW w:w="0" w:type="dxa"/>
            <w:vAlign w:val="bottom"/>
          </w:tcPr>
          <w:p>
            <w:pPr>
              <w:spacing w:after="0"/>
              <w:rPr>
                <w:sz w:val="1"/>
                <w:szCs w:val="1"/>
                <w:color w:val="auto"/>
              </w:rPr>
            </w:pPr>
          </w:p>
        </w:tc>
      </w:tr>
      <w:tr>
        <w:trPr>
          <w:trHeight w:val="135"/>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w:t>
            </w:r>
          </w:p>
        </w:tc>
        <w:tc>
          <w:tcPr>
            <w:tcW w:w="2820" w:type="dxa"/>
            <w:vAlign w:val="bottom"/>
            <w:vMerge w:val="restart"/>
          </w:tcPr>
          <w:p>
            <w:pPr>
              <w:spacing w:after="0"/>
              <w:rPr>
                <w:sz w:val="11"/>
                <w:szCs w:val="11"/>
                <w:color w:val="auto"/>
              </w:rPr>
            </w:pPr>
          </w:p>
        </w:tc>
        <w:tc>
          <w:tcPr>
            <w:tcW w:w="118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GRANT</w:t>
            </w:r>
          </w:p>
        </w:tc>
        <w:tc>
          <w:tcPr>
            <w:tcW w:w="136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7"/>
              </w:rPr>
              <w:t>EXERCISABLE</w:t>
            </w: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EXERCISABLE</w:t>
            </w: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PRICE</w:t>
            </w: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EXPIRATION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NOT</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VESTED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1180" w:type="dxa"/>
            <w:vAlign w:val="bottom"/>
            <w:gridSpan w:val="2"/>
          </w:tcPr>
          <w:p>
            <w:pPr>
              <w:ind w:left="220"/>
              <w:spacing w:after="0" w:line="144"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0"/>
                <w:szCs w:val="10"/>
                <w:b w:val="1"/>
                <w:bCs w:val="1"/>
                <w:color w:val="auto"/>
              </w:rPr>
              <w:t>(1)</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4"/>
                <w:szCs w:val="14"/>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4"/>
                <w:szCs w:val="14"/>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280" w:type="dxa"/>
            <w:vAlign w:val="bottom"/>
          </w:tcPr>
          <w:p>
            <w:pPr>
              <w:spacing w:after="0"/>
              <w:rPr>
                <w:sz w:val="14"/>
                <w:szCs w:val="14"/>
                <w:color w:val="auto"/>
              </w:rPr>
            </w:pPr>
          </w:p>
        </w:tc>
        <w:tc>
          <w:tcPr>
            <w:tcW w:w="11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5"/>
              </w:rPr>
              <w:t>DATE</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VESTED (#)</w:t>
            </w:r>
          </w:p>
        </w:tc>
        <w:tc>
          <w:tcPr>
            <w:tcW w:w="440" w:type="dxa"/>
            <w:vAlign w:val="bottom"/>
          </w:tcPr>
          <w:p>
            <w:pPr>
              <w:spacing w:after="0"/>
              <w:rPr>
                <w:sz w:val="14"/>
                <w:szCs w:val="14"/>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Jaume Pons, Ph.D.</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03/30/2017</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1,150,200</w:t>
            </w:r>
          </w:p>
        </w:tc>
        <w:tc>
          <w:tcPr>
            <w:tcW w:w="440" w:type="dxa"/>
            <w:vAlign w:val="bottom"/>
            <w:tcBorders>
              <w:top w:val="single" w:sz="8" w:color="CCEEFF"/>
            </w:tcBorders>
            <w:shd w:val="clear" w:color="auto" w:fill="CCEEFF"/>
          </w:tcPr>
          <w:p>
            <w:pPr>
              <w:jc w:val="right"/>
              <w:ind w:right="188"/>
              <w:spacing w:after="0" w:line="164" w:lineRule="exact"/>
              <w:rPr>
                <w:sz w:val="20"/>
                <w:szCs w:val="20"/>
                <w:color w:val="auto"/>
              </w:rPr>
            </w:pPr>
            <w:r>
              <w:rPr>
                <w:rFonts w:ascii="Arial" w:cs="Arial" w:eastAsia="Arial" w:hAnsi="Arial"/>
                <w:sz w:val="15"/>
                <w:szCs w:val="15"/>
                <w:color w:val="auto"/>
                <w:w w:val="87"/>
              </w:rPr>
              <w:t>(4)</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575,100</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0.15</w:t>
            </w: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03/30/2027</w:t>
            </w:r>
          </w:p>
        </w:tc>
        <w:tc>
          <w:tcPr>
            <w:tcW w:w="2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
        </w:trPr>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80" w:type="dxa"/>
            <w:vAlign w:val="bottom"/>
            <w:gridSpan w:val="2"/>
          </w:tcPr>
          <w:p>
            <w:pPr>
              <w:jc w:val="right"/>
              <w:ind w:right="260"/>
              <w:spacing w:after="0" w:line="4" w:lineRule="exact"/>
              <w:rPr>
                <w:sz w:val="20"/>
                <w:szCs w:val="20"/>
                <w:color w:val="auto"/>
              </w:rPr>
            </w:pPr>
            <w:r>
              <w:rPr>
                <w:rFonts w:ascii="Arial" w:cs="Arial" w:eastAsia="Arial" w:hAnsi="Arial"/>
                <w:sz w:val="1"/>
                <w:szCs w:val="1"/>
                <w:color w:val="auto"/>
              </w:rPr>
              <w:t>09/12/2019</w:t>
            </w:r>
          </w:p>
        </w:tc>
        <w:tc>
          <w:tcPr>
            <w:tcW w:w="1360" w:type="dxa"/>
            <w:vAlign w:val="bottom"/>
            <w:gridSpan w:val="2"/>
          </w:tcPr>
          <w:p>
            <w:pPr>
              <w:jc w:val="right"/>
              <w:ind w:right="368"/>
              <w:spacing w:after="0" w:line="4" w:lineRule="exact"/>
              <w:rPr>
                <w:sz w:val="20"/>
                <w:szCs w:val="20"/>
                <w:color w:val="auto"/>
              </w:rPr>
            </w:pPr>
            <w:r>
              <w:rPr>
                <w:rFonts w:ascii="Arial" w:cs="Arial" w:eastAsia="Arial" w:hAnsi="Arial"/>
                <w:sz w:val="1"/>
                <w:szCs w:val="1"/>
                <w:color w:val="auto"/>
              </w:rPr>
              <w:t>695,700</w:t>
            </w:r>
          </w:p>
        </w:tc>
        <w:tc>
          <w:tcPr>
            <w:tcW w:w="1200" w:type="dxa"/>
            <w:vAlign w:val="bottom"/>
            <w:gridSpan w:val="2"/>
          </w:tcPr>
          <w:p>
            <w:pPr>
              <w:jc w:val="right"/>
              <w:ind w:right="280"/>
              <w:spacing w:after="0" w:line="4" w:lineRule="exact"/>
              <w:rPr>
                <w:sz w:val="20"/>
                <w:szCs w:val="20"/>
                <w:color w:val="auto"/>
              </w:rPr>
            </w:pPr>
            <w:r>
              <w:rPr>
                <w:rFonts w:ascii="Arial" w:cs="Arial" w:eastAsia="Arial" w:hAnsi="Arial"/>
                <w:sz w:val="1"/>
                <w:szCs w:val="1"/>
                <w:color w:val="auto"/>
              </w:rPr>
              <w:t>—</w:t>
            </w:r>
          </w:p>
        </w:tc>
        <w:tc>
          <w:tcPr>
            <w:tcW w:w="920" w:type="dxa"/>
            <w:vAlign w:val="bottom"/>
            <w:gridSpan w:val="2"/>
          </w:tcPr>
          <w:p>
            <w:pPr>
              <w:jc w:val="right"/>
              <w:ind w:right="280"/>
              <w:spacing w:after="0" w:line="4" w:lineRule="exact"/>
              <w:rPr>
                <w:sz w:val="20"/>
                <w:szCs w:val="20"/>
                <w:color w:val="auto"/>
              </w:rPr>
            </w:pPr>
            <w:r>
              <w:rPr>
                <w:rFonts w:ascii="Arial" w:cs="Arial" w:eastAsia="Arial" w:hAnsi="Arial"/>
                <w:sz w:val="1"/>
                <w:szCs w:val="1"/>
                <w:color w:val="auto"/>
              </w:rPr>
              <w:t>0.29</w:t>
            </w:r>
          </w:p>
        </w:tc>
        <w:tc>
          <w:tcPr>
            <w:tcW w:w="1180" w:type="dxa"/>
            <w:vAlign w:val="bottom"/>
            <w:gridSpan w:val="2"/>
          </w:tcPr>
          <w:p>
            <w:pPr>
              <w:jc w:val="right"/>
              <w:ind w:right="260"/>
              <w:spacing w:after="0" w:line="4" w:lineRule="exact"/>
              <w:rPr>
                <w:sz w:val="20"/>
                <w:szCs w:val="20"/>
                <w:color w:val="auto"/>
              </w:rPr>
            </w:pPr>
            <w:r>
              <w:rPr>
                <w:rFonts w:ascii="Arial" w:cs="Arial" w:eastAsia="Arial" w:hAnsi="Arial"/>
                <w:sz w:val="1"/>
                <w:szCs w:val="1"/>
                <w:color w:val="auto"/>
              </w:rPr>
              <w:t>09/12/2029</w:t>
            </w:r>
          </w:p>
        </w:tc>
        <w:tc>
          <w:tcPr>
            <w:tcW w:w="780" w:type="dxa"/>
            <w:vAlign w:val="bottom"/>
          </w:tcPr>
          <w:p>
            <w:pPr>
              <w:jc w:val="right"/>
              <w:spacing w:after="0" w:line="4" w:lineRule="exact"/>
              <w:rPr>
                <w:sz w:val="20"/>
                <w:szCs w:val="20"/>
                <w:color w:val="auto"/>
              </w:rPr>
            </w:pPr>
            <w:r>
              <w:rPr>
                <w:rFonts w:ascii="Arial" w:cs="Arial" w:eastAsia="Arial" w:hAnsi="Arial"/>
                <w:sz w:val="1"/>
                <w:szCs w:val="1"/>
                <w:color w:val="auto"/>
              </w:rPr>
              <w:t>—</w:t>
            </w:r>
          </w:p>
        </w:tc>
        <w:tc>
          <w:tcPr>
            <w:tcW w:w="440" w:type="dxa"/>
            <w:vAlign w:val="bottom"/>
          </w:tcPr>
          <w:p>
            <w:pPr>
              <w:spacing w:after="0" w:line="20" w:lineRule="exact"/>
              <w:rPr>
                <w:sz w:val="1"/>
                <w:szCs w:val="1"/>
                <w:color w:val="auto"/>
              </w:rPr>
            </w:pPr>
          </w:p>
        </w:tc>
        <w:tc>
          <w:tcPr>
            <w:tcW w:w="76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88"/>
              <w:spacing w:after="0"/>
              <w:rPr>
                <w:sz w:val="20"/>
                <w:szCs w:val="20"/>
                <w:color w:val="auto"/>
              </w:rPr>
            </w:pPr>
            <w:r>
              <w:rPr>
                <w:rFonts w:ascii="Arial" w:cs="Arial" w:eastAsia="Arial" w:hAnsi="Arial"/>
                <w:sz w:val="15"/>
                <w:szCs w:val="15"/>
                <w:color w:val="auto"/>
              </w:rPr>
              <w:t>(5)</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tcBorders>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6"/>
                <w:szCs w:val="16"/>
                <w:color w:val="auto"/>
              </w:rPr>
              <w:t>Sophia Randolph, M.D., Ph.D.</w:t>
            </w:r>
          </w:p>
        </w:tc>
        <w:tc>
          <w:tcPr>
            <w:tcW w:w="1180" w:type="dxa"/>
            <w:vAlign w:val="bottom"/>
            <w:tcBorders>
              <w:bottom w:val="single" w:sz="8" w:color="CCEEFF"/>
            </w:tcBorders>
            <w:gridSpan w:val="2"/>
            <w:shd w:val="clear" w:color="auto" w:fill="CCEEFF"/>
          </w:tcPr>
          <w:p>
            <w:pPr>
              <w:jc w:val="right"/>
              <w:ind w:right="260"/>
              <w:spacing w:after="0" w:line="141" w:lineRule="exact"/>
              <w:rPr>
                <w:sz w:val="20"/>
                <w:szCs w:val="20"/>
                <w:color w:val="auto"/>
              </w:rPr>
            </w:pPr>
            <w:r>
              <w:rPr>
                <w:rFonts w:ascii="Arial" w:cs="Arial" w:eastAsia="Arial" w:hAnsi="Arial"/>
                <w:sz w:val="16"/>
                <w:szCs w:val="16"/>
                <w:color w:val="auto"/>
              </w:rPr>
              <w:t>11/10/2016</w:t>
            </w:r>
          </w:p>
        </w:tc>
        <w:tc>
          <w:tcPr>
            <w:tcW w:w="1360" w:type="dxa"/>
            <w:vAlign w:val="bottom"/>
            <w:tcBorders>
              <w:bottom w:val="single" w:sz="8" w:color="CCEEFF"/>
            </w:tcBorders>
            <w:gridSpan w:val="2"/>
            <w:shd w:val="clear" w:color="auto" w:fill="CCEEFF"/>
          </w:tcPr>
          <w:p>
            <w:pPr>
              <w:jc w:val="right"/>
              <w:ind w:right="368"/>
              <w:spacing w:after="0" w:line="14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80"/>
              <w:spacing w:after="0" w:line="14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80"/>
              <w:spacing w:after="0" w:line="14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60"/>
              <w:spacing w:after="0" w:line="141"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6"/>
                <w:szCs w:val="16"/>
                <w:color w:val="auto"/>
              </w:rPr>
              <w:t>109,374</w:t>
            </w:r>
          </w:p>
        </w:tc>
        <w:tc>
          <w:tcPr>
            <w:tcW w:w="440" w:type="dxa"/>
            <w:vAlign w:val="bottom"/>
            <w:tcBorders>
              <w:bottom w:val="single" w:sz="8" w:color="CCEEFF"/>
            </w:tcBorders>
            <w:shd w:val="clear" w:color="auto" w:fill="CCEEFF"/>
          </w:tcPr>
          <w:p>
            <w:pPr>
              <w:jc w:val="right"/>
              <w:ind w:right="207"/>
              <w:spacing w:after="0" w:line="169" w:lineRule="exact"/>
              <w:rPr>
                <w:sz w:val="20"/>
                <w:szCs w:val="20"/>
                <w:color w:val="auto"/>
              </w:rPr>
            </w:pPr>
            <w:r>
              <w:rPr>
                <w:rFonts w:ascii="Arial" w:cs="Arial" w:eastAsia="Arial" w:hAnsi="Arial"/>
                <w:sz w:val="15"/>
                <w:szCs w:val="15"/>
                <w:color w:val="auto"/>
                <w:w w:val="76"/>
              </w:rPr>
              <w:t>(6)</w:t>
            </w:r>
          </w:p>
        </w:tc>
        <w:tc>
          <w:tcPr>
            <w:tcW w:w="760" w:type="dxa"/>
            <w:vAlign w:val="bottom"/>
            <w:tcBorders>
              <w:bottom w:val="single" w:sz="8" w:color="CCEEFF"/>
            </w:tcBorders>
            <w:gridSpan w:val="2"/>
            <w:shd w:val="clear" w:color="auto" w:fill="CCEEFF"/>
          </w:tcPr>
          <w:p>
            <w:pPr>
              <w:jc w:val="right"/>
              <w:ind w:right="60"/>
              <w:spacing w:after="0" w:line="141" w:lineRule="exact"/>
              <w:rPr>
                <w:sz w:val="20"/>
                <w:szCs w:val="20"/>
                <w:color w:val="auto"/>
              </w:rPr>
            </w:pPr>
            <w:r>
              <w:rPr>
                <w:rFonts w:ascii="Arial" w:cs="Arial" w:eastAsia="Arial" w:hAnsi="Arial"/>
                <w:sz w:val="16"/>
                <w:szCs w:val="16"/>
                <w:color w:val="auto"/>
              </w:rPr>
              <w:t>31,718</w:t>
            </w:r>
          </w:p>
        </w:tc>
        <w:tc>
          <w:tcPr>
            <w:tcW w:w="0" w:type="dxa"/>
            <w:vAlign w:val="bottom"/>
          </w:tcPr>
          <w:p>
            <w:pPr>
              <w:spacing w:after="0"/>
              <w:rPr>
                <w:sz w:val="1"/>
                <w:szCs w:val="1"/>
                <w:color w:val="auto"/>
              </w:rPr>
            </w:pPr>
          </w:p>
        </w:tc>
      </w:tr>
      <w:tr>
        <w:trPr>
          <w:trHeight w:val="10"/>
        </w:trPr>
        <w:tc>
          <w:tcPr>
            <w:tcW w:w="3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18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03/30/2017</w:t>
            </w:r>
          </w:p>
        </w:tc>
        <w:tc>
          <w:tcPr>
            <w:tcW w:w="1360" w:type="dxa"/>
            <w:vAlign w:val="bottom"/>
            <w:gridSpan w:val="2"/>
          </w:tcPr>
          <w:p>
            <w:pPr>
              <w:jc w:val="right"/>
              <w:ind w:right="368"/>
              <w:spacing w:after="0" w:line="10" w:lineRule="exact"/>
              <w:rPr>
                <w:sz w:val="20"/>
                <w:szCs w:val="20"/>
                <w:color w:val="auto"/>
              </w:rPr>
            </w:pPr>
            <w:r>
              <w:rPr>
                <w:rFonts w:ascii="Arial" w:cs="Arial" w:eastAsia="Arial" w:hAnsi="Arial"/>
                <w:sz w:val="1"/>
                <w:szCs w:val="1"/>
                <w:color w:val="auto"/>
              </w:rPr>
              <w:t>299,333</w:t>
            </w:r>
          </w:p>
        </w:tc>
        <w:tc>
          <w:tcPr>
            <w:tcW w:w="1200" w:type="dxa"/>
            <w:vAlign w:val="bottom"/>
            <w:gridSpan w:val="2"/>
          </w:tcPr>
          <w:p>
            <w:pPr>
              <w:jc w:val="right"/>
              <w:ind w:right="280"/>
              <w:spacing w:after="0" w:line="10" w:lineRule="exact"/>
              <w:rPr>
                <w:sz w:val="20"/>
                <w:szCs w:val="20"/>
                <w:color w:val="auto"/>
              </w:rPr>
            </w:pPr>
            <w:r>
              <w:rPr>
                <w:rFonts w:ascii="Arial" w:cs="Arial" w:eastAsia="Arial" w:hAnsi="Arial"/>
                <w:sz w:val="1"/>
                <w:szCs w:val="1"/>
                <w:color w:val="auto"/>
              </w:rPr>
              <w:t>149,667</w:t>
            </w:r>
          </w:p>
        </w:tc>
        <w:tc>
          <w:tcPr>
            <w:tcW w:w="920" w:type="dxa"/>
            <w:vAlign w:val="bottom"/>
            <w:gridSpan w:val="2"/>
          </w:tcPr>
          <w:p>
            <w:pPr>
              <w:jc w:val="right"/>
              <w:ind w:right="280"/>
              <w:spacing w:after="0" w:line="10" w:lineRule="exact"/>
              <w:rPr>
                <w:sz w:val="20"/>
                <w:szCs w:val="20"/>
                <w:color w:val="auto"/>
              </w:rPr>
            </w:pPr>
            <w:r>
              <w:rPr>
                <w:rFonts w:ascii="Arial" w:cs="Arial" w:eastAsia="Arial" w:hAnsi="Arial"/>
                <w:sz w:val="1"/>
                <w:szCs w:val="1"/>
                <w:color w:val="auto"/>
              </w:rPr>
              <w:t>0.15</w:t>
            </w:r>
          </w:p>
        </w:tc>
        <w:tc>
          <w:tcPr>
            <w:tcW w:w="118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03/30/2027</w:t>
            </w:r>
          </w:p>
        </w:tc>
        <w:tc>
          <w:tcPr>
            <w:tcW w:w="780" w:type="dxa"/>
            <w:vAlign w:val="bottom"/>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tcPr>
          <w:p>
            <w:pPr>
              <w:spacing w:after="0" w:line="20" w:lineRule="exact"/>
              <w:rPr>
                <w:sz w:val="1"/>
                <w:szCs w:val="1"/>
                <w:color w:val="auto"/>
              </w:rPr>
            </w:pPr>
          </w:p>
        </w:tc>
        <w:tc>
          <w:tcPr>
            <w:tcW w:w="760" w:type="dxa"/>
            <w:vAlign w:val="bottom"/>
            <w:gridSpan w:val="2"/>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88"/>
              <w:spacing w:after="0"/>
              <w:rPr>
                <w:sz w:val="20"/>
                <w:szCs w:val="20"/>
                <w:color w:val="auto"/>
              </w:rPr>
            </w:pPr>
            <w:r>
              <w:rPr>
                <w:rFonts w:ascii="Arial" w:cs="Arial" w:eastAsia="Arial" w:hAnsi="Arial"/>
                <w:sz w:val="15"/>
                <w:szCs w:val="15"/>
                <w:color w:val="auto"/>
              </w:rPr>
              <w:t>(4)</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09/12/2019</w:t>
            </w:r>
          </w:p>
        </w:tc>
        <w:tc>
          <w:tcPr>
            <w:tcW w:w="1360" w:type="dxa"/>
            <w:vAlign w:val="bottom"/>
            <w:gridSpan w:val="2"/>
            <w:shd w:val="clear" w:color="auto" w:fill="CCEEFF"/>
          </w:tcPr>
          <w:p>
            <w:pPr>
              <w:jc w:val="right"/>
              <w:ind w:right="368"/>
              <w:spacing w:after="0" w:line="10" w:lineRule="exact"/>
              <w:rPr>
                <w:sz w:val="20"/>
                <w:szCs w:val="20"/>
                <w:color w:val="auto"/>
              </w:rPr>
            </w:pPr>
            <w:r>
              <w:rPr>
                <w:rFonts w:ascii="Arial" w:cs="Arial" w:eastAsia="Arial" w:hAnsi="Arial"/>
                <w:sz w:val="1"/>
                <w:szCs w:val="1"/>
                <w:color w:val="auto"/>
              </w:rPr>
              <w:t>212,000</w:t>
            </w:r>
          </w:p>
        </w:tc>
        <w:tc>
          <w:tcPr>
            <w:tcW w:w="1200" w:type="dxa"/>
            <w:vAlign w:val="bottom"/>
            <w:gridSpan w:val="2"/>
            <w:shd w:val="clear" w:color="auto" w:fill="CCEEFF"/>
          </w:tcPr>
          <w:p>
            <w:pPr>
              <w:jc w:val="right"/>
              <w:ind w:right="280"/>
              <w:spacing w:after="0" w:line="10" w:lineRule="exact"/>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80"/>
              <w:spacing w:after="0" w:line="10" w:lineRule="exact"/>
              <w:rPr>
                <w:sz w:val="20"/>
                <w:szCs w:val="20"/>
                <w:color w:val="auto"/>
              </w:rPr>
            </w:pPr>
            <w:r>
              <w:rPr>
                <w:rFonts w:ascii="Arial" w:cs="Arial" w:eastAsia="Arial" w:hAnsi="Arial"/>
                <w:sz w:val="1"/>
                <w:szCs w:val="1"/>
                <w:color w:val="auto"/>
              </w:rPr>
              <w:t>0.29</w:t>
            </w:r>
          </w:p>
        </w:tc>
        <w:tc>
          <w:tcPr>
            <w:tcW w:w="118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88"/>
              <w:spacing w:after="0"/>
              <w:rPr>
                <w:sz w:val="20"/>
                <w:szCs w:val="20"/>
                <w:color w:val="auto"/>
              </w:rPr>
            </w:pPr>
            <w:r>
              <w:rPr>
                <w:rFonts w:ascii="Arial" w:cs="Arial" w:eastAsia="Arial" w:hAnsi="Arial"/>
                <w:sz w:val="15"/>
                <w:szCs w:val="15"/>
                <w:color w:val="auto"/>
              </w:rPr>
              <w:t>(5)</w:t>
            </w: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200" w:type="dxa"/>
            <w:vAlign w:val="bottom"/>
            <w:gridSpan w:val="2"/>
          </w:tcPr>
          <w:p>
            <w:pPr>
              <w:spacing w:after="0" w:line="10" w:lineRule="exact"/>
              <w:rPr>
                <w:sz w:val="20"/>
                <w:szCs w:val="20"/>
                <w:color w:val="auto"/>
              </w:rPr>
            </w:pPr>
            <w:r>
              <w:rPr>
                <w:rFonts w:ascii="Arial" w:cs="Arial" w:eastAsia="Arial" w:hAnsi="Arial"/>
                <w:sz w:val="1"/>
                <w:szCs w:val="1"/>
                <w:color w:val="auto"/>
              </w:rPr>
              <w:t>Hong Wan, Ph.D.</w:t>
            </w:r>
          </w:p>
        </w:tc>
        <w:tc>
          <w:tcPr>
            <w:tcW w:w="118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03/30/2017</w:t>
            </w:r>
          </w:p>
        </w:tc>
        <w:tc>
          <w:tcPr>
            <w:tcW w:w="1360" w:type="dxa"/>
            <w:vAlign w:val="bottom"/>
            <w:gridSpan w:val="2"/>
          </w:tcPr>
          <w:p>
            <w:pPr>
              <w:jc w:val="right"/>
              <w:ind w:right="368"/>
              <w:spacing w:after="0" w:line="10" w:lineRule="exact"/>
              <w:rPr>
                <w:sz w:val="20"/>
                <w:szCs w:val="20"/>
                <w:color w:val="auto"/>
              </w:rPr>
            </w:pPr>
            <w:r>
              <w:rPr>
                <w:rFonts w:ascii="Arial" w:cs="Arial" w:eastAsia="Arial" w:hAnsi="Arial"/>
                <w:sz w:val="1"/>
                <w:szCs w:val="1"/>
                <w:color w:val="auto"/>
              </w:rPr>
              <w:t>297,600</w:t>
            </w:r>
          </w:p>
        </w:tc>
        <w:tc>
          <w:tcPr>
            <w:tcW w:w="1200" w:type="dxa"/>
            <w:vAlign w:val="bottom"/>
            <w:gridSpan w:val="2"/>
          </w:tcPr>
          <w:p>
            <w:pPr>
              <w:jc w:val="right"/>
              <w:ind w:right="280"/>
              <w:spacing w:after="0" w:line="10" w:lineRule="exact"/>
              <w:rPr>
                <w:sz w:val="20"/>
                <w:szCs w:val="20"/>
                <w:color w:val="auto"/>
              </w:rPr>
            </w:pPr>
            <w:r>
              <w:rPr>
                <w:rFonts w:ascii="Arial" w:cs="Arial" w:eastAsia="Arial" w:hAnsi="Arial"/>
                <w:sz w:val="1"/>
                <w:szCs w:val="1"/>
                <w:color w:val="auto"/>
              </w:rPr>
              <w:t>148,800</w:t>
            </w:r>
          </w:p>
        </w:tc>
        <w:tc>
          <w:tcPr>
            <w:tcW w:w="920" w:type="dxa"/>
            <w:vAlign w:val="bottom"/>
            <w:gridSpan w:val="2"/>
          </w:tcPr>
          <w:p>
            <w:pPr>
              <w:jc w:val="right"/>
              <w:ind w:right="280"/>
              <w:spacing w:after="0" w:line="10" w:lineRule="exact"/>
              <w:rPr>
                <w:sz w:val="20"/>
                <w:szCs w:val="20"/>
                <w:color w:val="auto"/>
              </w:rPr>
            </w:pPr>
            <w:r>
              <w:rPr>
                <w:rFonts w:ascii="Arial" w:cs="Arial" w:eastAsia="Arial" w:hAnsi="Arial"/>
                <w:sz w:val="1"/>
                <w:szCs w:val="1"/>
                <w:color w:val="auto"/>
              </w:rPr>
              <w:t>0.15</w:t>
            </w:r>
          </w:p>
        </w:tc>
        <w:tc>
          <w:tcPr>
            <w:tcW w:w="118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03/30/2027</w:t>
            </w:r>
          </w:p>
        </w:tc>
        <w:tc>
          <w:tcPr>
            <w:tcW w:w="780" w:type="dxa"/>
            <w:vAlign w:val="bottom"/>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tcPr>
          <w:p>
            <w:pPr>
              <w:spacing w:after="0" w:line="20" w:lineRule="exact"/>
              <w:rPr>
                <w:sz w:val="1"/>
                <w:szCs w:val="1"/>
                <w:color w:val="auto"/>
              </w:rPr>
            </w:pPr>
          </w:p>
        </w:tc>
        <w:tc>
          <w:tcPr>
            <w:tcW w:w="760" w:type="dxa"/>
            <w:vAlign w:val="bottom"/>
            <w:gridSpan w:val="2"/>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188"/>
              <w:spacing w:after="0"/>
              <w:rPr>
                <w:sz w:val="20"/>
                <w:szCs w:val="20"/>
                <w:color w:val="auto"/>
              </w:rPr>
            </w:pPr>
            <w:r>
              <w:rPr>
                <w:rFonts w:ascii="Arial" w:cs="Arial" w:eastAsia="Arial" w:hAnsi="Arial"/>
                <w:sz w:val="15"/>
                <w:szCs w:val="15"/>
                <w:color w:val="auto"/>
              </w:rPr>
              <w:t>(4)</w:t>
            </w: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09/12/2019</w:t>
            </w:r>
          </w:p>
        </w:tc>
        <w:tc>
          <w:tcPr>
            <w:tcW w:w="1360" w:type="dxa"/>
            <w:vAlign w:val="bottom"/>
            <w:gridSpan w:val="2"/>
            <w:shd w:val="clear" w:color="auto" w:fill="CCEEFF"/>
          </w:tcPr>
          <w:p>
            <w:pPr>
              <w:jc w:val="right"/>
              <w:ind w:right="368"/>
              <w:spacing w:after="0" w:line="10" w:lineRule="exact"/>
              <w:rPr>
                <w:sz w:val="20"/>
                <w:szCs w:val="20"/>
                <w:color w:val="auto"/>
              </w:rPr>
            </w:pPr>
            <w:r>
              <w:rPr>
                <w:rFonts w:ascii="Arial" w:cs="Arial" w:eastAsia="Arial" w:hAnsi="Arial"/>
                <w:sz w:val="1"/>
                <w:szCs w:val="1"/>
                <w:color w:val="auto"/>
              </w:rPr>
              <w:t>209,600</w:t>
            </w:r>
          </w:p>
        </w:tc>
        <w:tc>
          <w:tcPr>
            <w:tcW w:w="1200" w:type="dxa"/>
            <w:vAlign w:val="bottom"/>
            <w:gridSpan w:val="2"/>
            <w:shd w:val="clear" w:color="auto" w:fill="CCEEFF"/>
          </w:tcPr>
          <w:p>
            <w:pPr>
              <w:jc w:val="right"/>
              <w:ind w:right="280"/>
              <w:spacing w:after="0" w:line="10" w:lineRule="exact"/>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80"/>
              <w:spacing w:after="0" w:line="10" w:lineRule="exact"/>
              <w:rPr>
                <w:sz w:val="20"/>
                <w:szCs w:val="20"/>
                <w:color w:val="auto"/>
              </w:rPr>
            </w:pPr>
            <w:r>
              <w:rPr>
                <w:rFonts w:ascii="Arial" w:cs="Arial" w:eastAsia="Arial" w:hAnsi="Arial"/>
                <w:sz w:val="1"/>
                <w:szCs w:val="1"/>
                <w:color w:val="auto"/>
              </w:rPr>
              <w:t>0.29</w:t>
            </w:r>
          </w:p>
        </w:tc>
        <w:tc>
          <w:tcPr>
            <w:tcW w:w="118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88"/>
              <w:spacing w:after="0"/>
              <w:rPr>
                <w:sz w:val="20"/>
                <w:szCs w:val="20"/>
                <w:color w:val="auto"/>
              </w:rPr>
            </w:pPr>
            <w:r>
              <w:rPr>
                <w:rFonts w:ascii="Arial" w:cs="Arial" w:eastAsia="Arial" w:hAnsi="Arial"/>
                <w:sz w:val="15"/>
                <w:szCs w:val="15"/>
                <w:color w:val="auto"/>
              </w:rPr>
              <w:t>(5)</w:t>
            </w: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right="200" w:hanging="276"/>
        <w:spacing w:after="0" w:line="258"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outstanding options to purchase shares of our common stock, or ALX Options, were originally granted as options to purchase ordinary shares of ALX Oncology Limited, or ALX Ireland Options, pursuant to its share award scheme and U.S. sub-scheme. In</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left="540" w:right="140"/>
        <w:spacing w:after="0" w:line="249" w:lineRule="auto"/>
        <w:rPr>
          <w:sz w:val="20"/>
          <w:szCs w:val="20"/>
          <w:color w:val="auto"/>
        </w:rPr>
      </w:pPr>
      <w:r>
        <w:rPr>
          <w:rFonts w:ascii="Arial" w:cs="Arial" w:eastAsia="Arial" w:hAnsi="Arial"/>
          <w:sz w:val="14"/>
          <w:szCs w:val="14"/>
          <w:color w:val="auto"/>
        </w:rPr>
        <w:t>connection with the reorganization effective as of April 1, 2020, the ALX Ireland Options have been substituted and replaced with ALX Options under our 2020 Plan. While the grant date of the ALX Option is April 1, 2020, each ALX Option has the same vesting terms, exercise price and expiration date as the corresponding ALX Ireland Option.</w:t>
      </w:r>
    </w:p>
    <w:p>
      <w:pPr>
        <w:spacing w:after="0" w:line="25" w:lineRule="exact"/>
        <w:rPr>
          <w:sz w:val="20"/>
          <w:szCs w:val="20"/>
          <w:color w:val="auto"/>
        </w:rPr>
      </w:pPr>
    </w:p>
    <w:p>
      <w:pPr>
        <w:ind w:left="540" w:right="420" w:hanging="276"/>
        <w:spacing w:after="0" w:line="258"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on the date of grant, as determined by the board of directors of ALX Oncology Limited.</w:t>
      </w:r>
    </w:p>
    <w:p>
      <w:pPr>
        <w:spacing w:after="0" w:line="18" w:lineRule="exact"/>
        <w:rPr>
          <w:rFonts w:ascii="Arial" w:cs="Arial" w:eastAsia="Arial" w:hAnsi="Arial"/>
          <w:sz w:val="14"/>
          <w:szCs w:val="14"/>
          <w:color w:val="auto"/>
        </w:rPr>
      </w:pPr>
    </w:p>
    <w:p>
      <w:pPr>
        <w:ind w:left="540" w:right="180" w:hanging="276"/>
        <w:spacing w:after="0" w:line="258"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of $0.29 as of December 31, 2019 (the determination of the fair market value by our board of directors as of the most proximate date) multiplied by the amount shown in the column for the number of shares or units that have not vested.</w:t>
      </w:r>
    </w:p>
    <w:p>
      <w:pPr>
        <w:spacing w:after="0" w:line="18" w:lineRule="exact"/>
        <w:rPr>
          <w:rFonts w:ascii="Arial" w:cs="Arial" w:eastAsia="Arial" w:hAnsi="Arial"/>
          <w:sz w:val="14"/>
          <w:szCs w:val="14"/>
          <w:color w:val="auto"/>
        </w:rPr>
      </w:pPr>
    </w:p>
    <w:p>
      <w:pPr>
        <w:ind w:left="540" w:hanging="276"/>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May 1, 2017, subject to continued service to the Company.</w:t>
      </w:r>
    </w:p>
    <w:p>
      <w:pPr>
        <w:spacing w:after="0" w:line="41" w:lineRule="exact"/>
        <w:rPr>
          <w:rFonts w:ascii="Arial" w:cs="Arial" w:eastAsia="Arial" w:hAnsi="Arial"/>
          <w:sz w:val="14"/>
          <w:szCs w:val="14"/>
          <w:color w:val="auto"/>
        </w:rPr>
      </w:pPr>
    </w:p>
    <w:p>
      <w:pPr>
        <w:ind w:left="540" w:right="80" w:hanging="276"/>
        <w:spacing w:after="0" w:line="258"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and is immediately exercisable. The shares underlying this option vest in 48 equal monthly installments beginning on June 16, 2019, subject to continued service to the Company.</w:t>
      </w:r>
    </w:p>
    <w:p>
      <w:pPr>
        <w:spacing w:after="0" w:line="18" w:lineRule="exact"/>
        <w:rPr>
          <w:rFonts w:ascii="Arial" w:cs="Arial" w:eastAsia="Arial" w:hAnsi="Arial"/>
          <w:sz w:val="14"/>
          <w:szCs w:val="14"/>
          <w:color w:val="auto"/>
        </w:rPr>
      </w:pPr>
    </w:p>
    <w:p>
      <w:pPr>
        <w:ind w:left="540" w:right="160" w:hanging="276"/>
        <w:spacing w:after="0" w:line="258"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shares were acquired pursuant to an early exercise provision and remain subject to our repurchase right in accordance with the vesting schedule of this option. The remaining shares underlying this option vest in six equal monthly installments beginning on January 1, 2020, subject to continued service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Jaume Pons</w:t>
      </w:r>
    </w:p>
    <w:p>
      <w:pPr>
        <w:spacing w:after="0" w:line="41" w:lineRule="exact"/>
        <w:rPr>
          <w:sz w:val="20"/>
          <w:szCs w:val="20"/>
          <w:color w:val="auto"/>
        </w:rPr>
      </w:pPr>
    </w:p>
    <w:p>
      <w:pPr>
        <w:ind w:left="120" w:right="280"/>
        <w:spacing w:after="0" w:line="232" w:lineRule="auto"/>
        <w:rPr>
          <w:sz w:val="20"/>
          <w:szCs w:val="20"/>
          <w:color w:val="auto"/>
        </w:rPr>
      </w:pPr>
      <w:r>
        <w:rPr>
          <w:rFonts w:ascii="Arial" w:cs="Arial" w:eastAsia="Arial" w:hAnsi="Arial"/>
          <w:sz w:val="17"/>
          <w:szCs w:val="17"/>
          <w:color w:val="auto"/>
        </w:rPr>
        <w:t>Prior to the completion of this offering, we intend to enter into a confirmatory employment letter with Dr. Jaume Pons, our President and Chief Executive Officer. The confirmatory employment letter will have no specific term and will provide that Dr. Pons is an at-will employee. Dr. Pons</w:t>
      </w:r>
    </w:p>
    <w:p>
      <w:pPr>
        <w:ind w:left="120"/>
        <w:spacing w:after="0"/>
        <w:tabs>
          <w:tab w:leader="none" w:pos="2660" w:val="left"/>
          <w:tab w:leader="none" w:pos="8760" w:val="left"/>
        </w:tabs>
        <w:rPr>
          <w:sz w:val="20"/>
          <w:szCs w:val="20"/>
          <w:color w:val="auto"/>
        </w:rPr>
      </w:pPr>
      <w:r>
        <w:rPr>
          <w:rFonts w:ascii="Arial" w:cs="Arial" w:eastAsia="Arial" w:hAnsi="Arial"/>
          <w:sz w:val="17"/>
          <w:szCs w:val="17"/>
          <w:color w:val="auto"/>
        </w:rPr>
        <w:t>current annual base salary is $</w:t>
        <w:tab/>
        <w:t>and he is eligible for an annual target cash incentive payment equal to</w:t>
      </w:r>
      <w:r>
        <w:rPr>
          <w:sz w:val="20"/>
          <w:szCs w:val="20"/>
          <w:color w:val="auto"/>
        </w:rPr>
        <w:tab/>
      </w:r>
      <w:r>
        <w:rPr>
          <w:rFonts w:ascii="Arial" w:cs="Arial" w:eastAsia="Arial" w:hAnsi="Arial"/>
          <w:sz w:val="16"/>
          <w:szCs w:val="16"/>
          <w:color w:val="auto"/>
        </w:rPr>
        <w:t>% of his annual base salary.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Sophia Randolph</w:t>
      </w:r>
    </w:p>
    <w:p>
      <w:pPr>
        <w:spacing w:after="0" w:line="41" w:lineRule="exact"/>
        <w:rPr>
          <w:sz w:val="20"/>
          <w:szCs w:val="20"/>
          <w:color w:val="auto"/>
        </w:rPr>
      </w:pPr>
    </w:p>
    <w:p>
      <w:pPr>
        <w:ind w:left="120" w:right="260"/>
        <w:spacing w:after="0" w:line="232" w:lineRule="auto"/>
        <w:rPr>
          <w:sz w:val="20"/>
          <w:szCs w:val="20"/>
          <w:color w:val="auto"/>
        </w:rPr>
      </w:pPr>
      <w:r>
        <w:rPr>
          <w:rFonts w:ascii="Arial" w:cs="Arial" w:eastAsia="Arial" w:hAnsi="Arial"/>
          <w:sz w:val="17"/>
          <w:szCs w:val="17"/>
          <w:color w:val="auto"/>
        </w:rPr>
        <w:t>Prior to the completion of this offering, we intend to enter into a confirmatory employment letter with Dr. Sophia Randolph, our Chief Medical Officer. The confirmatory employment letter will have no specific term and will provide that Dr. Randolph is an at-will employee. Dr. Randolph’s</w:t>
      </w:r>
    </w:p>
    <w:p>
      <w:pPr>
        <w:ind w:left="120"/>
        <w:spacing w:after="0"/>
        <w:tabs>
          <w:tab w:leader="none" w:pos="2660" w:val="left"/>
          <w:tab w:leader="none" w:pos="8840" w:val="left"/>
        </w:tabs>
        <w:rPr>
          <w:sz w:val="20"/>
          <w:szCs w:val="20"/>
          <w:color w:val="auto"/>
        </w:rPr>
      </w:pPr>
      <w:r>
        <w:rPr>
          <w:rFonts w:ascii="Arial" w:cs="Arial" w:eastAsia="Arial" w:hAnsi="Arial"/>
          <w:sz w:val="17"/>
          <w:szCs w:val="17"/>
          <w:color w:val="auto"/>
        </w:rPr>
        <w:t>current annual base salary is $</w:t>
        <w:tab/>
        <w:t>and she is eligible for an annual target cash incentive payment equal to</w:t>
      </w:r>
      <w:r>
        <w:rPr>
          <w:sz w:val="20"/>
          <w:szCs w:val="20"/>
          <w:color w:val="auto"/>
        </w:rPr>
        <w:tab/>
      </w:r>
      <w:r>
        <w:rPr>
          <w:rFonts w:ascii="Arial" w:cs="Arial" w:eastAsia="Arial" w:hAnsi="Arial"/>
          <w:sz w:val="17"/>
          <w:szCs w:val="17"/>
          <w:color w:val="auto"/>
        </w:rPr>
        <w:t>% of her annual base salary.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Hong Wan</w:t>
      </w:r>
    </w:p>
    <w:p>
      <w:pPr>
        <w:spacing w:after="0" w:line="41" w:lineRule="exact"/>
        <w:rPr>
          <w:sz w:val="20"/>
          <w:szCs w:val="20"/>
          <w:color w:val="auto"/>
        </w:rPr>
      </w:pPr>
    </w:p>
    <w:p>
      <w:pPr>
        <w:ind w:left="120" w:right="60"/>
        <w:spacing w:after="0" w:line="232" w:lineRule="auto"/>
        <w:rPr>
          <w:sz w:val="20"/>
          <w:szCs w:val="20"/>
          <w:color w:val="auto"/>
        </w:rPr>
      </w:pPr>
      <w:r>
        <w:rPr>
          <w:rFonts w:ascii="Arial" w:cs="Arial" w:eastAsia="Arial" w:hAnsi="Arial"/>
          <w:sz w:val="17"/>
          <w:szCs w:val="17"/>
          <w:color w:val="auto"/>
        </w:rPr>
        <w:t>Prior to the completion of this offering, we intend to enter into a confirmatory employment letter with Dr. Hong Wan, our Chief Scientific Officer. The confirmatory employment letter will have no specific term and will provide that Dr. Wan is an at-will employee. Dr. Wan’s current annual base</w:t>
      </w:r>
    </w:p>
    <w:p>
      <w:pPr>
        <w:ind w:left="120"/>
        <w:spacing w:after="0"/>
        <w:tabs>
          <w:tab w:leader="none" w:pos="1100" w:val="left"/>
          <w:tab w:leader="none" w:pos="7280" w:val="left"/>
        </w:tabs>
        <w:rPr>
          <w:sz w:val="20"/>
          <w:szCs w:val="20"/>
          <w:color w:val="auto"/>
        </w:rPr>
      </w:pPr>
      <w:r>
        <w:rPr>
          <w:rFonts w:ascii="Arial" w:cs="Arial" w:eastAsia="Arial" w:hAnsi="Arial"/>
          <w:sz w:val="17"/>
          <w:szCs w:val="17"/>
          <w:color w:val="auto"/>
        </w:rPr>
        <w:t>salary is $</w:t>
        <w:tab/>
        <w:t>and she is eligible for an annual target cash incentive payment equal to</w:t>
      </w:r>
      <w:r>
        <w:rPr>
          <w:sz w:val="20"/>
          <w:szCs w:val="20"/>
          <w:color w:val="auto"/>
        </w:rPr>
        <w:tab/>
      </w:r>
      <w:r>
        <w:rPr>
          <w:rFonts w:ascii="Arial" w:cs="Arial" w:eastAsia="Arial" w:hAnsi="Arial"/>
          <w:sz w:val="17"/>
          <w:szCs w:val="17"/>
          <w:color w:val="auto"/>
        </w:rPr>
        <w:t>% of her annual base salary.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Executive Incentive Compensation Plan</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Prior to the completion of this offering, our board of directors intends to adopt our Executive Incentive Compensation Plan, or the Incentive Compensation Plan. Our Incentive Compensation Plan will allow our compensation committee to grant incentive awards, generally payable in cash, to employees selected by our compensation committee, including our named executive officers, based upon performance goals established by our compensation committee.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our Incentive Compensation Plan, our compensation committee determines the performance goals applicable to any award, which goals</w:t>
      </w:r>
    </w:p>
    <w:p>
      <w:pPr>
        <w:ind w:left="120" w:right="320"/>
        <w:spacing w:after="0" w:line="241" w:lineRule="auto"/>
        <w:rPr>
          <w:sz w:val="20"/>
          <w:szCs w:val="20"/>
          <w:color w:val="auto"/>
        </w:rPr>
      </w:pPr>
      <w:r>
        <w:rPr>
          <w:rFonts w:ascii="Arial" w:cs="Arial" w:eastAsia="Arial" w:hAnsi="Arial"/>
          <w:sz w:val="17"/>
          <w:szCs w:val="17"/>
          <w:color w:val="auto"/>
        </w:rPr>
        <w:t>may include, without limitation, goals related to . The performance goals may differ from participant to participant and from award to award.</w:t>
      </w:r>
    </w:p>
    <w:p>
      <w:pPr>
        <w:spacing w:after="0" w:line="34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compensation committee will administer our Incentive Compensation Plan. The administrator of our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reduction on the basis of such factors as it deems relevant, and it is not required to establish any allocation or weighting with respect to the factors it considers.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Actual awards will be paid in cash (or its equivalent) only after they are earned, and, unless otherwise determined by the administrator, a participant must be employed by us through the date the actual award is paid. The compensation committee reserves the right to settle an actual award with a grant of an equity award under our then-current equity compensation plan, which equity award may have such terms and conditions, including vesting, as the compensation committee determines. Payment of awards occurs as soon as administratively practicable after they are earned, but no later than the dates set forth in our Incentive Compensation Plan.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Our board of directors and our compensation committee will have the authority to amend, alter, suspend or terminate our Incentive Compensation Plan, provided such action does not impair the existing rights of any participant with respect to any earned awards.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Amended and Restated 2020 Equity Incentive Plan</w:t>
      </w:r>
    </w:p>
    <w:p>
      <w:pPr>
        <w:spacing w:after="0" w:line="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Prior to the completion of this offering, our board of directors intends to adopt, and we expect our stockholders will approve, an amendment and restatement of our 2020 Plan, or the Amended and Restated 2020 Plan. Our 2020 Plan previously was adopted by our board of directors and approved by our stockholders in April 2020. We expect that the Amended and Restated 2020 Plan will be effective on the business day immediately prior to the effective date of our registration statement related to this offering. Our Amended and Restated 2020 Plan will provide for the grant of incentive stock options, within the meaning of Section 422 of the Internal Revenue Code of 1986, as amended, or the Code, to our employees and any of our subsidiary corporations’ employees, and for the grant of nonstatutory stock options, restricted stock, restricted stock units, stock appreciation rights, performance units and performance shares to our employees, directors and consultants and any of our subsidiary corporations’ employees and consultants.</w:t>
      </w:r>
    </w:p>
    <w:p>
      <w:pPr>
        <w:spacing w:after="0" w:line="131"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shares of our common stock will be reserved for issuance pursuant to our Amended and Restated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number of shares available for issuance under our Amended and Restated 2020 Plan will also include an annual increase on the first day of each fiscal year beginning on January 1, 2021, and ending on (and inclusive of) January 1, 2030, equal to the least of:</w:t>
      </w:r>
    </w:p>
    <w:p>
      <w:pPr>
        <w:spacing w:after="0" w:line="182" w:lineRule="exact"/>
        <w:rPr>
          <w:sz w:val="20"/>
          <w:szCs w:val="20"/>
          <w:color w:val="auto"/>
        </w:rPr>
      </w:pPr>
    </w:p>
    <w:p>
      <w:pPr>
        <w:ind w:left="1780" w:hanging="1232"/>
        <w:spacing w:after="0"/>
        <w:tabs>
          <w:tab w:leader="none" w:pos="17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shares;</w:t>
      </w:r>
    </w:p>
    <w:p>
      <w:pPr>
        <w:spacing w:after="0" w:line="15" w:lineRule="exact"/>
        <w:rPr>
          <w:sz w:val="20"/>
          <w:szCs w:val="20"/>
          <w:color w:val="auto"/>
        </w:rPr>
      </w:pPr>
    </w:p>
    <w:p>
      <w:pPr>
        <w:ind w:left="980" w:right="100" w:hanging="431"/>
        <w:spacing w:after="0" w:line="199" w:lineRule="exact"/>
        <w:tabs>
          <w:tab w:leader="none" w:pos="9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Arial" w:cs="Arial" w:eastAsia="Arial" w:hAnsi="Arial"/>
          <w:sz w:val="17"/>
          <w:szCs w:val="17"/>
          <w:color w:val="auto"/>
        </w:rPr>
        <w:t>percent ( %) of the outstanding shares of our common stock as of the last day of the immediately preceding fiscal year; or</w:t>
      </w:r>
    </w:p>
    <w:p>
      <w:pPr>
        <w:spacing w:after="0" w:line="239" w:lineRule="exact"/>
        <w:rPr>
          <w:sz w:val="20"/>
          <w:szCs w:val="20"/>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such other amount as our board of directors may determine no later than the last day of our immediately preceding fiscal year.</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Amended and Restated 2020 Plan. With respect to stock appreciation rights, only the net shares actually issued will cease to be available under the Amended and Restated 2020 Plan and all remaining shares under stock appreciation rights will remain available for future grant or sale under the Amended and Restated 2020 Plan. Shares that have actually been issued under the Amended and Restated 2020 Plan under any award will not be returned to the Amended and Restated 2020 Plan; except if shares issued pursuant to awards of restricted stock, restricted stock units, performance shares or performance units are repurchased or forfeited, such shares will become available for future grant under the Amended and Restated 2020 Plan. Shares used to pay the exercise price of an award or satisfy the tax withholding obligations related to an award will become available for future grant or sale under the Amended and Restated 2020 Plan. To the extent an award is paid out in cash rather than shares, such cash payment will not result in a reduction in the number of shares available for issuance under the Amended and Restated 2020 Plan.</w:t>
      </w:r>
    </w:p>
    <w:p>
      <w:pPr>
        <w:spacing w:after="0" w:line="135"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will have authority to administer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We expect that the compensation committee of our board of directors will initially administer our Amended and Restated 2020 Plan. In addition, if we determine it is desirable to qualify transactions under our Amended and Restated 2020 Plan as exempt under Rule 16b-3 of the Exchange Act, such transactions will be structured to satisfy the requirements for exemption under Rule 16b-3. Subject to the provisions of our Amended and Restated 2020 Plan, the administrator has the power to administer our Amended and Restated 2020 Plan and make all determinations deemed necessary or advisable for administering the Amended and Restated 2020 Plan, including but not limited to, the power to determine the fair market value of our common stock, select the service providers to whom awards may be granted, determine the number of shares covered by each award, approve forms of award agreements for use under the Amended and Restated 2020 Plan,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Amended and Restated 2020 Plan and awards granted under it, prescribe, amend and rescind rules relating to our Amended and Restated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granted under the Amended and Restated 2020 Plan to a financial institution or other person or entity selected by the administrator, and to institute an exchange program by which outstanding awards granted under the Amended and Restated 2020 Plan may be surrendered or cancelled in exchange for awards of the same type, which may have a higher or lower exercise price and/or different terms, awards of a different type and/or cash, or by which the exercise price of an outstanding award granted under the Amended and Restated 2020 Plan is increased or reduced. The administrator’s decisions, interpretations and other actions are final and binding on all participants and will be given the maximum deference permitted by applicable law.</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Amended and Restated 2020 Plan. The exercise price of options granted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must at least be equal to the fair market value of our common stock on the date of grant. The term of an option may not exceed ten years. With respect to any participant who owns more than 10% of the voting power of all classes of our (or any of our subsidiaries’) outstanding stock, the term of an incentive stock option granted to such participant must not exceed five years and the per-share exercise price must equal at least 110% of the fair market value of a share of our common stock on the grant date. The administrator may grant incentive stock options under the Amended and Restated 2020 Plan for a period of ten years from the earlier of the date the Amended and Restated 2020 Plan becomes effective or the date that our stockholders approve the Amended and Restated 2020 Plan. The administrator will determine the methods of payment of the exercise price of an option, which may include cash, shares or other property acceptable to the administrator,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An option, however, may not be exercised later than the expiration of its term. Subject to the provisions of our Amended and Restated 2020 Plan, the administrator determines the terms of options.</w:t>
      </w:r>
    </w:p>
    <w:p>
      <w:pPr>
        <w:spacing w:after="0" w:line="12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Amended and Restated 2020 Plan. 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allow the 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Amended and Restated 2020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36"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Amended and Restated 2020 Plan. Restricted stock awards are grants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that may vest in accordance with terms and conditions established by the administrator. The administrator will determine the number of shares of restricted stock granted to any employee, director or consultant and, subject to the provisions of our Amended and Restated 2020 Plan, will</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determine the terms and conditions of such awards. The administrator may impose whatever vesting conditions (if any)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132"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Amended and Restated 2020 Plan. Restricted stock units are</w:t>
      </w:r>
      <w:r>
        <w:rPr>
          <w:rFonts w:ascii="Arial" w:cs="Arial" w:eastAsia="Arial" w:hAnsi="Arial"/>
          <w:sz w:val="17"/>
          <w:szCs w:val="17"/>
          <w:i w:val="1"/>
          <w:iCs w:val="1"/>
          <w:color w:val="auto"/>
        </w:rPr>
        <w:t xml:space="preserve"> </w:t>
      </w:r>
      <w:r>
        <w:rPr>
          <w:rFonts w:ascii="Arial" w:cs="Arial" w:eastAsia="Arial" w:hAnsi="Arial"/>
          <w:sz w:val="17"/>
          <w:szCs w:val="17"/>
          <w:color w:val="auto"/>
        </w:rPr>
        <w:t>bookkeeping entries representing an amount equal to the fair market value of one share of our common stock. Subject to the provisions of our Amended and Restated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3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i w:val="1"/>
          <w:iCs w:val="1"/>
          <w:color w:val="auto"/>
        </w:rPr>
        <w:t>Performance Units and Performance Shares</w:t>
      </w:r>
      <w:r>
        <w:rPr>
          <w:rFonts w:ascii="Arial" w:cs="Arial" w:eastAsia="Arial" w:hAnsi="Arial"/>
          <w:sz w:val="17"/>
          <w:szCs w:val="17"/>
          <w:color w:val="auto"/>
        </w:rPr>
        <w:t>. Performance units and performance shares may be granted under our Amended and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2020 Plan. Performance units and performance shares are awards that will result in a payment to a participant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dollar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36"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will be eligible to receive all types of awards (except for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Amended and Restated 2020 Plan. Prior to the completion of this offering, we intend to implement a formal policy pursuant to which our outside directors will be eligible to receive equity awards under our Amended and Restated 2020 Plan. In order to provide a maximum limit on the awards that can be made to our outside directors, our Amended and Restated 2020 Plan will provide that in any given fiscal year, an outside</w:t>
      </w:r>
    </w:p>
    <w:p>
      <w:pPr>
        <w:spacing w:after="0" w:line="2"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17"/>
          <w:szCs w:val="17"/>
          <w:color w:val="auto"/>
        </w:rPr>
        <w:t>director will not be granted awards having a grant-date fair value greater than $ , but this limit is increased to $ in connection with the outside director’s initial service (in each case, excluding awards granted to the outside director as a consultant or employee). The grant-date fair values will be determined according to U.S. Generally Accepted Accounting Principles. The maximum limits do not reflect the intended size of any potential grants or a commitment to make grants to our outside directors under our Amended and Restated 2020 Plan in the future.</w:t>
      </w:r>
    </w:p>
    <w:p>
      <w:pPr>
        <w:spacing w:after="0" w:line="131"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Amended and Restated 2020 Plan generally does not allow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such as a dividend or other distribution,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Amended and Restated 2020 Plan, the administrator will adjust the number and class of shares that may be delivered under our Amended and Restated</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2020 Plan and/or the number, class and price of shares covered by each outstanding award and any numerical share limits set forth in our Amended and Restated 2020 Plan.</w:t>
      </w:r>
    </w:p>
    <w:p>
      <w:pPr>
        <w:spacing w:after="0" w:line="126"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awards will terminate immediately prior to the consummation of such proposed transaction.</w:t>
      </w:r>
    </w:p>
    <w:p>
      <w:pPr>
        <w:spacing w:after="0" w:line="108"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Amended and Restated 2020 Plan provides that in the event of a merger or change in control,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Amended and Restated 2020 Plan, each outstanding award will be treated as the administrator determines, without a participant’s consent. The administrator may provide that awards granted under the Amended and Restated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an outside director’s awards are assumed or substituted for in a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Awards are subject to any clawback policy of ours, which we may establish and/or amend from time to time to comply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130" w:lineRule="exact"/>
        <w:rPr>
          <w:sz w:val="20"/>
          <w:szCs w:val="20"/>
          <w:color w:val="auto"/>
        </w:rPr>
      </w:pPr>
    </w:p>
    <w:p>
      <w:pPr>
        <w:jc w:val="both"/>
        <w:ind w:left="120" w:right="60"/>
        <w:spacing w:after="0" w:line="248"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has the authority to amend, suspend or terminate our Amended and Restated 2020 Plan,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such action does not materially impair the rights of any participant unless mutually agreed otherwise. Our Amended and Restated 2020 Plan will remain in effect until terminated in accordance with its terms.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93"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 Sales</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offering, the sale of any shares under such plan would be subject to the lock-up agreement that the director or executive officer has entered into with the underwriters.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060"/>
          </w:cols>
          <w:pgMar w:left="320" w:top="459" w:right="5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33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The following is a description of certain relationships and transactions since January 2017 involving our directors, executive officers or beneficial holders of more than 5% of our capital stock. Compensation arrangements with our directors and officers are described in “Management— Director Compensation,” “Executive Compensation” and “Management.”</w:t>
      </w:r>
    </w:p>
    <w:p>
      <w:pPr>
        <w:spacing w:after="0" w:line="147"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Prior to April 1, 2020, all of our beneficial holders were shareholders of our predecessor, ALX Oncology Limited. On April 1, 2020, we were incorporated in Delaware and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w:t>
      </w:r>
    </w:p>
    <w:p>
      <w:pPr>
        <w:spacing w:after="0" w:line="150"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related-party transaction disclosures included below reflect transactions between ALX Oncology Limited and related parties from January 1, 2017 to March 31, 2020, the period prior to our incorporation and the effectiveness of the reorganization. For all other times, it includes transactions between us and related parties.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w:t>
      </w:r>
    </w:p>
    <w:p>
      <w:pPr>
        <w:spacing w:after="0" w:line="53"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As described above, on April 1, 2020, we consummated a reorganization whereby we issued and sold to the existing shareholders of ALX Oncology Limited an aggregate of 20,840,532 shares of our common stock at purchase prices per share ranging from $0.001 to $0.29, an aggregate of 61,180,500 shares of our Series A convertible preferred stock at a purchase price per share of $1.00, an aggregate of 6,690,729 shares of our Series B convertible preferred stock at a purchase price per share of $1.4432 and an aggregate of 72,754,989 shares of our Series C convertible preferred stock at a purchase price per share of $1.4432, in exchange for promissory notes with an aggregate principal amount of $176.3 million. We also acquired 525,000,000 ordinary shares of ALX Oncology Limited in exchange for the promissory notes that were acquired in connection with such issuance and sale of our capital stock.</w:t>
      </w:r>
    </w:p>
    <w:p>
      <w:pPr>
        <w:spacing w:after="0" w:line="15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Purchasers of our shares of common stock, Series A convertible preferred stock, Series B convertible preferred stock and Series C convertible preferred stock include certain of our directors and executive officers and venture capital funds that beneficially own more than 5% of our outstanding capital stock and/or are represented on our board of directors. The following table presents the number of shares purchased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154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 OF</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COMMON STOCK</w:t>
            </w:r>
          </w:p>
        </w:tc>
        <w:tc>
          <w:tcPr>
            <w:tcW w:w="260" w:type="dxa"/>
            <w:vAlign w:val="bottom"/>
          </w:tcPr>
          <w:p>
            <w:pPr>
              <w:spacing w:after="0"/>
              <w:rPr>
                <w:sz w:val="14"/>
                <w:szCs w:val="14"/>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w w:val="99"/>
              </w:rPr>
              <w:t>Sophia Randolph, M.D., Ph.D.</w:t>
            </w:r>
          </w:p>
        </w:tc>
        <w:tc>
          <w:tcPr>
            <w:tcW w:w="5500" w:type="dxa"/>
            <w:vAlign w:val="bottom"/>
            <w:vMerge w:val="restart"/>
            <w:shd w:val="clear" w:color="auto" w:fill="CCEEFF"/>
          </w:tcPr>
          <w:p>
            <w:pPr>
              <w:jc w:val="right"/>
              <w:ind w:right="5247"/>
              <w:spacing w:after="0" w:line="156" w:lineRule="exact"/>
              <w:rPr>
                <w:sz w:val="20"/>
                <w:szCs w:val="20"/>
                <w:color w:val="auto"/>
              </w:rPr>
            </w:pPr>
            <w:r>
              <w:rPr>
                <w:rFonts w:ascii="Arial" w:cs="Arial" w:eastAsia="Arial" w:hAnsi="Arial"/>
                <w:sz w:val="15"/>
                <w:szCs w:val="15"/>
                <w:color w:val="auto"/>
                <w:w w:val="87"/>
              </w:rPr>
              <w:t>(1)</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80" w:type="dxa"/>
            <w:vAlign w:val="bottom"/>
            <w:gridSpan w:val="2"/>
            <w:vMerge w:val="continue"/>
            <w:shd w:val="clear" w:color="auto" w:fill="CCEEFF"/>
          </w:tcPr>
          <w:p>
            <w:pPr>
              <w:spacing w:after="0"/>
              <w:rPr>
                <w:sz w:val="11"/>
                <w:szCs w:val="11"/>
                <w:color w:val="auto"/>
              </w:rPr>
            </w:pPr>
          </w:p>
        </w:tc>
        <w:tc>
          <w:tcPr>
            <w:tcW w:w="5500" w:type="dxa"/>
            <w:vAlign w:val="bottom"/>
            <w:vMerge w:val="continue"/>
            <w:shd w:val="clear" w:color="auto" w:fill="CCEEFF"/>
          </w:tcPr>
          <w:p>
            <w:pPr>
              <w:spacing w:after="0"/>
              <w:rPr>
                <w:sz w:val="11"/>
                <w:szCs w:val="11"/>
                <w:color w:val="auto"/>
              </w:rPr>
            </w:pPr>
          </w:p>
        </w:tc>
        <w:tc>
          <w:tcPr>
            <w:tcW w:w="1860" w:type="dxa"/>
            <w:vAlign w:val="bottom"/>
            <w:gridSpan w:val="2"/>
            <w:vMerge w:val="restart"/>
            <w:shd w:val="clear" w:color="auto" w:fill="CCEEFF"/>
          </w:tcPr>
          <w:p>
            <w:pPr>
              <w:jc w:val="right"/>
              <w:ind w:right="660"/>
              <w:spacing w:after="0" w:line="176" w:lineRule="exact"/>
              <w:rPr>
                <w:sz w:val="20"/>
                <w:szCs w:val="20"/>
                <w:color w:val="auto"/>
              </w:rPr>
            </w:pPr>
            <w:r>
              <w:rPr>
                <w:rFonts w:ascii="Arial" w:cs="Arial" w:eastAsia="Arial" w:hAnsi="Arial"/>
                <w:sz w:val="17"/>
                <w:szCs w:val="17"/>
                <w:color w:val="auto"/>
              </w:rPr>
              <w:t>875,000</w:t>
            </w:r>
          </w:p>
        </w:tc>
        <w:tc>
          <w:tcPr>
            <w:tcW w:w="260" w:type="dxa"/>
            <w:vAlign w:val="bottom"/>
            <w:vMerge w:val="restart"/>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7"/>
                <w:szCs w:val="17"/>
                <w:color w:val="auto"/>
              </w:rPr>
              <w:t>131,250</w:t>
            </w:r>
          </w:p>
        </w:tc>
        <w:tc>
          <w:tcPr>
            <w:tcW w:w="0" w:type="dxa"/>
            <w:vAlign w:val="bottom"/>
          </w:tcPr>
          <w:p>
            <w:pPr>
              <w:spacing w:after="0"/>
              <w:rPr>
                <w:sz w:val="1"/>
                <w:szCs w:val="1"/>
                <w:color w:val="auto"/>
              </w:rPr>
            </w:pPr>
          </w:p>
        </w:tc>
      </w:tr>
      <w:tr>
        <w:trPr>
          <w:trHeight w:val="40"/>
        </w:trPr>
        <w:tc>
          <w:tcPr>
            <w:tcW w:w="2280" w:type="dxa"/>
            <w:vAlign w:val="bottom"/>
            <w:gridSpan w:val="2"/>
            <w:vMerge w:val="continue"/>
            <w:shd w:val="clear" w:color="auto" w:fill="CCEEFF"/>
          </w:tcPr>
          <w:p>
            <w:pPr>
              <w:spacing w:after="0"/>
              <w:rPr>
                <w:sz w:val="3"/>
                <w:szCs w:val="3"/>
                <w:color w:val="auto"/>
              </w:rPr>
            </w:pPr>
          </w:p>
        </w:tc>
        <w:tc>
          <w:tcPr>
            <w:tcW w:w="5500" w:type="dxa"/>
            <w:vAlign w:val="bottom"/>
            <w:shd w:val="clear" w:color="auto" w:fill="CCEEFF"/>
          </w:tcPr>
          <w:p>
            <w:pPr>
              <w:spacing w:after="0"/>
              <w:rPr>
                <w:sz w:val="3"/>
                <w:szCs w:val="3"/>
                <w:color w:val="auto"/>
              </w:rPr>
            </w:pPr>
          </w:p>
        </w:tc>
        <w:tc>
          <w:tcPr>
            <w:tcW w:w="1860" w:type="dxa"/>
            <w:vAlign w:val="bottom"/>
            <w:gridSpan w:val="2"/>
            <w:vMerge w:val="continue"/>
            <w:shd w:val="clear" w:color="auto" w:fill="CCEEFF"/>
          </w:tcPr>
          <w:p>
            <w:pPr>
              <w:spacing w:after="0"/>
              <w:rPr>
                <w:sz w:val="3"/>
                <w:szCs w:val="3"/>
                <w:color w:val="auto"/>
              </w:rPr>
            </w:pPr>
          </w:p>
        </w:tc>
        <w:tc>
          <w:tcPr>
            <w:tcW w:w="260" w:type="dxa"/>
            <w:vAlign w:val="bottom"/>
            <w:vMerge w:val="continue"/>
            <w:shd w:val="clear" w:color="auto" w:fill="CCEEFF"/>
          </w:tcPr>
          <w:p>
            <w:pPr>
              <w:spacing w:after="0"/>
              <w:rPr>
                <w:sz w:val="3"/>
                <w:szCs w:val="3"/>
                <w:color w:val="auto"/>
              </w:rPr>
            </w:pPr>
          </w:p>
        </w:tc>
        <w:tc>
          <w:tcPr>
            <w:tcW w:w="1120" w:type="dxa"/>
            <w:vAlign w:val="bottom"/>
            <w:tcBorders>
              <w:right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Dr. Randolph currently serves as our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line="232" w:lineRule="auto"/>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Jason Lettmann</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SHARES OF SERIES 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36,184,150</w:t>
            </w:r>
          </w:p>
        </w:tc>
        <w:tc>
          <w:tcPr>
            <w:tcW w:w="58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36,184,150</w:t>
            </w:r>
          </w:p>
        </w:tc>
        <w:tc>
          <w:tcPr>
            <w:tcW w:w="20" w:type="dxa"/>
            <w:vAlign w:val="bottom"/>
          </w:tcPr>
          <w:p>
            <w:pPr>
              <w:spacing w:after="0"/>
              <w:rPr>
                <w:sz w:val="15"/>
                <w:szCs w:val="15"/>
                <w:color w:val="auto"/>
              </w:rPr>
            </w:pPr>
          </w:p>
        </w:tc>
      </w:tr>
      <w:tr>
        <w:trPr>
          <w:trHeight w:val="189"/>
        </w:trPr>
        <w:tc>
          <w:tcPr>
            <w:tcW w:w="212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16,976,504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16,976,504</w:t>
            </w:r>
          </w:p>
        </w:tc>
      </w:tr>
      <w:tr>
        <w:trPr>
          <w:trHeight w:val="189"/>
        </w:trPr>
        <w:tc>
          <w:tcPr>
            <w:tcW w:w="212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514,446</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514,446</w:t>
            </w:r>
          </w:p>
        </w:tc>
      </w:tr>
      <w:tr>
        <w:trPr>
          <w:trHeight w:val="205"/>
        </w:trPr>
        <w:tc>
          <w:tcPr>
            <w:tcW w:w="2120" w:type="dxa"/>
            <w:vAlign w:val="bottom"/>
            <w:gridSpan w:val="2"/>
          </w:tcPr>
          <w:p>
            <w:pPr>
              <w:jc w:val="right"/>
              <w:ind w:right="580"/>
              <w:spacing w:after="0"/>
              <w:rPr>
                <w:sz w:val="20"/>
                <w:szCs w:val="20"/>
                <w:color w:val="auto"/>
              </w:rPr>
            </w:pPr>
            <w:r>
              <w:rPr>
                <w:rFonts w:ascii="Arial" w:cs="Arial" w:eastAsia="Arial" w:hAnsi="Arial"/>
                <w:sz w:val="17"/>
                <w:szCs w:val="17"/>
                <w:color w:val="auto"/>
              </w:rPr>
              <w:t>514,446</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514,446</w:t>
            </w:r>
          </w:p>
        </w:tc>
      </w:tr>
    </w:tbl>
    <w:p>
      <w:pPr>
        <w:spacing w:after="0" w:line="200" w:lineRule="exact"/>
        <w:rPr>
          <w:sz w:val="20"/>
          <w:szCs w:val="20"/>
          <w:color w:val="auto"/>
        </w:rPr>
      </w:pPr>
    </w:p>
    <w:p>
      <w:pPr>
        <w:sectPr>
          <w:pgSz w:w="11900" w:h="16838" w:orient="portrait"/>
          <w:cols w:equalWidth="0" w:num="2">
            <w:col w:w="6920" w:space="720"/>
            <w:col w:w="350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40"/>
          </w:cols>
          <w:pgMar w:left="320" w:top="459" w:right="4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hanging="276"/>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SHARES OF SERIES B</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3,227,201</w:t>
            </w:r>
          </w:p>
        </w:tc>
        <w:tc>
          <w:tcPr>
            <w:tcW w:w="76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4,657,496</w:t>
            </w:r>
          </w:p>
        </w:tc>
        <w:tc>
          <w:tcPr>
            <w:tcW w:w="20" w:type="dxa"/>
            <w:vAlign w:val="bottom"/>
          </w:tcPr>
          <w:p>
            <w:pPr>
              <w:spacing w:after="0"/>
              <w:rPr>
                <w:sz w:val="15"/>
                <w:szCs w:val="15"/>
                <w:color w:val="auto"/>
              </w:rPr>
            </w:pPr>
          </w:p>
        </w:tc>
      </w:tr>
      <w:tr>
        <w:trPr>
          <w:trHeight w:val="189"/>
        </w:trPr>
        <w:tc>
          <w:tcPr>
            <w:tcW w:w="232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1,514,104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2,185,155</w:t>
            </w:r>
          </w:p>
        </w:tc>
      </w:tr>
      <w:tr>
        <w:trPr>
          <w:trHeight w:val="205"/>
        </w:trPr>
        <w:tc>
          <w:tcPr>
            <w:tcW w:w="2320" w:type="dxa"/>
            <w:vAlign w:val="bottom"/>
            <w:gridSpan w:val="2"/>
          </w:tcPr>
          <w:p>
            <w:pPr>
              <w:jc w:val="right"/>
              <w:ind w:right="760"/>
              <w:spacing w:after="0"/>
              <w:rPr>
                <w:sz w:val="20"/>
                <w:szCs w:val="20"/>
                <w:color w:val="auto"/>
              </w:rPr>
            </w:pPr>
            <w:r>
              <w:rPr>
                <w:rFonts w:ascii="Arial" w:cs="Arial" w:eastAsia="Arial" w:hAnsi="Arial"/>
                <w:sz w:val="17"/>
                <w:szCs w:val="17"/>
                <w:color w:val="auto"/>
              </w:rPr>
              <w:t>103,935</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149,999</w:t>
            </w:r>
          </w:p>
        </w:tc>
      </w:tr>
    </w:tbl>
    <w:p>
      <w:pPr>
        <w:spacing w:after="0" w:line="200" w:lineRule="exact"/>
        <w:rPr>
          <w:sz w:val="20"/>
          <w:szCs w:val="20"/>
          <w:color w:val="auto"/>
        </w:rPr>
      </w:pPr>
    </w:p>
    <w:p>
      <w:pPr>
        <w:sectPr>
          <w:pgSz w:w="11900" w:h="16838" w:orient="portrait"/>
          <w:cols w:equalWidth="0" w:num="2">
            <w:col w:w="6720" w:space="720"/>
            <w:col w:w="370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SHARES OF 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346,452</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6,929,047</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5,654,798</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13,858,093</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10" w:lineRule="exact"/>
              <w:rPr>
                <w:sz w:val="20"/>
                <w:szCs w:val="20"/>
                <w:color w:val="auto"/>
              </w:rPr>
            </w:pPr>
            <w:r>
              <w:rPr>
                <w:rFonts w:ascii="Arial" w:cs="Arial" w:eastAsia="Arial" w:hAnsi="Arial"/>
                <w:sz w:val="1"/>
                <w:szCs w:val="1"/>
                <w:color w:val="auto"/>
              </w:rPr>
              <w:t>20,787,140</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Share Financings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C Convertible Preferred Shares Transaction</w:t>
      </w:r>
    </w:p>
    <w:p>
      <w:pPr>
        <w:spacing w:after="0" w:line="5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February 2020, we issued and sold an aggregate of 72,754,989 shares of our Series C convertible preferred shares at a purchase price of $1.4432 per share for an aggregate purchase price of approximately $105.0 million.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140"/>
          </w:cols>
          <w:pgMar w:left="320" w:top="459" w:right="43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7"/>
          <w:szCs w:val="17"/>
          <w:color w:val="auto"/>
        </w:rPr>
        <w:t>Purchasers of our Series C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346,452</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6,929,047</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5,654,798</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13,858,093</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10" w:lineRule="exact"/>
              <w:rPr>
                <w:sz w:val="20"/>
                <w:szCs w:val="20"/>
                <w:color w:val="auto"/>
              </w:rPr>
            </w:pPr>
            <w:r>
              <w:rPr>
                <w:rFonts w:ascii="Arial" w:cs="Arial" w:eastAsia="Arial" w:hAnsi="Arial"/>
                <w:sz w:val="1"/>
                <w:szCs w:val="1"/>
                <w:color w:val="auto"/>
              </w:rPr>
              <w:t>20,787,140</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Transaction</w:t>
      </w:r>
    </w:p>
    <w:p>
      <w:pPr>
        <w:spacing w:after="0" w:line="5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In May 2019, we issued and sold an aggregate of 6,690,729 shares of our Series B convertible preferred shares at a purchase price of $1.4432 per share for an aggregate purchase price of approximately $9.6 million.</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Purchasers of our Series B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SERIES B</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4"/>
                <w:szCs w:val="14"/>
                <w:color w:val="auto"/>
              </w:rPr>
            </w:pPr>
          </w:p>
        </w:tc>
        <w:tc>
          <w:tcPr>
            <w:tcW w:w="1120" w:type="dxa"/>
            <w:vAlign w:val="bottom"/>
          </w:tcPr>
          <w:p>
            <w:pPr>
              <w:jc w:val="right"/>
              <w:ind w:right="44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
        </w:trPr>
        <w:tc>
          <w:tcPr>
            <w:tcW w:w="4160" w:type="dxa"/>
            <w:vAlign w:val="bottom"/>
            <w:tcBorders>
              <w:bottom w:val="single" w:sz="8" w:color="CCEEFF"/>
            </w:tcBorders>
            <w:gridSpan w:val="2"/>
            <w:shd w:val="clear" w:color="auto" w:fill="CCEEFF"/>
          </w:tcPr>
          <w:p>
            <w:pPr>
              <w:spacing w:after="0" w:line="7" w:lineRule="exact"/>
              <w:rPr>
                <w:sz w:val="20"/>
                <w:szCs w:val="20"/>
                <w:color w:val="auto"/>
              </w:rPr>
            </w:pPr>
            <w:r>
              <w:rPr>
                <w:rFonts w:ascii="Arial" w:cs="Arial" w:eastAsia="Arial" w:hAnsi="Arial"/>
                <w:sz w:val="1"/>
                <w:szCs w:val="1"/>
                <w:color w:val="auto"/>
              </w:rPr>
              <w:t>Entities affiliated with venBio Global Strategic Fund, LP</w:t>
            </w:r>
          </w:p>
        </w:tc>
        <w:tc>
          <w:tcPr>
            <w:tcW w:w="3280" w:type="dxa"/>
            <w:vAlign w:val="bottom"/>
            <w:tcBorders>
              <w:bottom w:val="single" w:sz="8" w:color="CCEEFF"/>
            </w:tcBorders>
            <w:vMerge w:val="restart"/>
            <w:shd w:val="clear" w:color="auto" w:fill="CCEEFF"/>
          </w:tcPr>
          <w:p>
            <w:pPr>
              <w:jc w:val="right"/>
              <w:ind w:right="3027"/>
              <w:spacing w:after="0" w:line="171" w:lineRule="exact"/>
              <w:rPr>
                <w:sz w:val="20"/>
                <w:szCs w:val="20"/>
                <w:color w:val="auto"/>
              </w:rPr>
            </w:pPr>
            <w:r>
              <w:rPr>
                <w:rFonts w:ascii="Arial" w:cs="Arial" w:eastAsia="Arial" w:hAnsi="Arial"/>
                <w:sz w:val="15"/>
                <w:szCs w:val="15"/>
                <w:color w:val="auto"/>
                <w:w w:val="87"/>
              </w:rPr>
              <w:t>(1)</w:t>
            </w:r>
          </w:p>
        </w:tc>
        <w:tc>
          <w:tcPr>
            <w:tcW w:w="1540" w:type="dxa"/>
            <w:vAlign w:val="bottom"/>
            <w:tcBorders>
              <w:bottom w:val="single" w:sz="8" w:color="auto"/>
            </w:tcBorders>
            <w:shd w:val="clear" w:color="auto" w:fill="000000"/>
          </w:tcPr>
          <w:p>
            <w:pPr>
              <w:ind w:left="780"/>
              <w:spacing w:after="0" w:line="7" w:lineRule="exact"/>
              <w:rPr>
                <w:sz w:val="20"/>
                <w:szCs w:val="20"/>
                <w:color w:val="auto"/>
              </w:rPr>
            </w:pPr>
            <w:r>
              <w:rPr>
                <w:rFonts w:ascii="Arial" w:cs="Arial" w:eastAsia="Arial" w:hAnsi="Arial"/>
                <w:sz w:val="1"/>
                <w:szCs w:val="1"/>
                <w:color w:val="auto"/>
              </w:rPr>
              <w:t>3,227,201</w:t>
            </w:r>
          </w:p>
        </w:tc>
        <w:tc>
          <w:tcPr>
            <w:tcW w:w="66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7" w:lineRule="exact"/>
              <w:rPr>
                <w:sz w:val="20"/>
                <w:szCs w:val="20"/>
                <w:color w:val="auto"/>
              </w:rPr>
            </w:pPr>
            <w:r>
              <w:rPr>
                <w:rFonts w:ascii="Arial" w:cs="Arial" w:eastAsia="Arial" w:hAnsi="Arial"/>
                <w:sz w:val="1"/>
                <w:szCs w:val="1"/>
                <w:color w:val="auto"/>
              </w:rPr>
              <w:t>$</w:t>
            </w:r>
          </w:p>
        </w:tc>
        <w:tc>
          <w:tcPr>
            <w:tcW w:w="1120" w:type="dxa"/>
            <w:vAlign w:val="bottom"/>
            <w:tcBorders>
              <w:bottom w:val="single" w:sz="8" w:color="auto"/>
              <w:right w:val="single" w:sz="8" w:color="CCEEFF"/>
            </w:tcBorders>
            <w:shd w:val="clear" w:color="auto" w:fill="000000"/>
          </w:tcPr>
          <w:p>
            <w:pPr>
              <w:jc w:val="right"/>
              <w:ind w:right="6"/>
              <w:spacing w:after="0" w:line="7" w:lineRule="exact"/>
              <w:rPr>
                <w:sz w:val="20"/>
                <w:szCs w:val="20"/>
                <w:color w:val="auto"/>
              </w:rPr>
            </w:pPr>
            <w:r>
              <w:rPr>
                <w:rFonts w:ascii="Arial" w:cs="Arial" w:eastAsia="Arial" w:hAnsi="Arial"/>
                <w:sz w:val="1"/>
                <w:szCs w:val="1"/>
                <w:color w:val="auto"/>
              </w:rPr>
              <w:t>4,657,496</w:t>
            </w:r>
          </w:p>
        </w:tc>
        <w:tc>
          <w:tcPr>
            <w:tcW w:w="0" w:type="dxa"/>
            <w:vAlign w:val="bottom"/>
          </w:tcPr>
          <w:p>
            <w:pPr>
              <w:spacing w:after="0" w:line="20" w:lineRule="exact"/>
              <w:rPr>
                <w:sz w:val="1"/>
                <w:szCs w:val="1"/>
                <w:color w:val="auto"/>
              </w:rPr>
            </w:pPr>
          </w:p>
        </w:tc>
      </w:tr>
      <w:tr>
        <w:trPr>
          <w:trHeight w:val="149"/>
        </w:trPr>
        <w:tc>
          <w:tcPr>
            <w:tcW w:w="74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spacing w:after="0"/>
              <w:rPr>
                <w:sz w:val="12"/>
                <w:szCs w:val="12"/>
                <w:color w:val="auto"/>
              </w:rPr>
            </w:pPr>
          </w:p>
        </w:tc>
        <w:tc>
          <w:tcPr>
            <w:tcW w:w="3280" w:type="dxa"/>
            <w:vAlign w:val="bottom"/>
            <w:tcBorders>
              <w:bottom w:val="single" w:sz="8" w:color="CCEEFF"/>
            </w:tcBorders>
            <w:vMerge w:val="continue"/>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3280" w:type="dxa"/>
            <w:vAlign w:val="bottom"/>
          </w:tcPr>
          <w:p>
            <w:pPr>
              <w:spacing w:after="0"/>
              <w:rPr>
                <w:sz w:val="17"/>
                <w:szCs w:val="17"/>
                <w:color w:val="auto"/>
              </w:rPr>
            </w:pPr>
          </w:p>
        </w:tc>
        <w:tc>
          <w:tcPr>
            <w:tcW w:w="2200" w:type="dxa"/>
            <w:vAlign w:val="bottom"/>
            <w:gridSpan w:val="2"/>
          </w:tcPr>
          <w:p>
            <w:pPr>
              <w:ind w:left="780"/>
              <w:spacing w:after="0"/>
              <w:rPr>
                <w:sz w:val="20"/>
                <w:szCs w:val="20"/>
                <w:color w:val="auto"/>
              </w:rPr>
            </w:pPr>
            <w:r>
              <w:rPr>
                <w:rFonts w:ascii="Arial" w:cs="Arial" w:eastAsia="Arial" w:hAnsi="Arial"/>
                <w:sz w:val="17"/>
                <w:szCs w:val="17"/>
                <w:color w:val="auto"/>
              </w:rPr>
              <w:t>1,514,104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6"/>
              <w:spacing w:after="0"/>
              <w:rPr>
                <w:sz w:val="20"/>
                <w:szCs w:val="20"/>
                <w:color w:val="auto"/>
              </w:rPr>
            </w:pPr>
            <w:r>
              <w:rPr>
                <w:rFonts w:ascii="Arial" w:cs="Arial" w:eastAsia="Arial" w:hAnsi="Arial"/>
                <w:sz w:val="17"/>
                <w:szCs w:val="17"/>
                <w:color w:val="auto"/>
              </w:rPr>
              <w:t>2,185,155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9" w:lineRule="exact"/>
        <w:rPr>
          <w:sz w:val="20"/>
          <w:szCs w:val="20"/>
          <w:color w:val="auto"/>
        </w:rPr>
      </w:pPr>
    </w:p>
    <w:p>
      <w:pPr>
        <w:ind w:left="540" w:right="20" w:hanging="276"/>
        <w:spacing w:after="0" w:line="247"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Promissory Notes Transaction</w:t>
      </w:r>
    </w:p>
    <w:p>
      <w:pPr>
        <w:spacing w:after="0" w:line="54"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7"/>
          <w:szCs w:val="17"/>
          <w:color w:val="auto"/>
        </w:rPr>
        <w:t>In March 2017, we entered into a convertible promissory note agreement with certain of our directors and venture capital funds that beneficially owned more than 5% of our outstanding share capital and/or are represented on our board of directors, pursuant to which we issued convertible promissory notes in an aggregate principal amount of approximately $25.0 million. The convertible promissory notes bore interest at a rate of 2% per annum, had a maturity date of December 31, 2018 and were convertible into our Series A convertible preferred shares at a</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conversion price of $1.00 per share. In September 2017, all of the convertible promissory notes were converted into our Series A convertible preferred shares.</w:t>
      </w:r>
    </w:p>
    <w:p>
      <w:pPr>
        <w:spacing w:after="0" w:line="14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Purchasers of our Series A convertible preferred shares include venture capital funds that beneficially own more than 5% of our outstanding share capital and/or are represented on its board of directors and are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980" w:type="dxa"/>
            <w:vAlign w:val="bottom"/>
          </w:tcPr>
          <w:p>
            <w:pPr>
              <w:jc w:val="center"/>
              <w:ind w:left="418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62"/>
        </w:trPr>
        <w:tc>
          <w:tcPr>
            <w:tcW w:w="4980" w:type="dxa"/>
            <w:vAlign w:val="bottom"/>
            <w:vMerge w:val="continue"/>
          </w:tcPr>
          <w:p>
            <w:pPr>
              <w:spacing w:after="0"/>
              <w:rPr>
                <w:sz w:val="14"/>
                <w:szCs w:val="14"/>
                <w:color w:val="auto"/>
              </w:rPr>
            </w:pPr>
          </w:p>
        </w:tc>
        <w:tc>
          <w:tcPr>
            <w:tcW w:w="5980" w:type="dxa"/>
            <w:vAlign w:val="bottom"/>
          </w:tcPr>
          <w:p>
            <w:pPr>
              <w:jc w:val="center"/>
              <w:ind w:left="41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4"/>
        </w:trPr>
        <w:tc>
          <w:tcPr>
            <w:tcW w:w="9220" w:type="dxa"/>
            <w:vAlign w:val="bottom"/>
            <w:tcBorders>
              <w:bottom w:val="single" w:sz="8" w:color="CCEEFF"/>
            </w:tcBorders>
            <w:gridSpan w:val="2"/>
            <w:shd w:val="clear" w:color="auto" w:fill="000000"/>
          </w:tcPr>
          <w:p>
            <w:pPr>
              <w:spacing w:after="0"/>
              <w:rPr>
                <w:sz w:val="20"/>
                <w:szCs w:val="20"/>
                <w:color w:val="auto"/>
              </w:rPr>
            </w:pPr>
            <w:r>
              <w:rPr>
                <w:rFonts w:ascii="Arial" w:cs="Arial" w:eastAsia="Arial" w:hAnsi="Arial"/>
                <w:sz w:val="1"/>
                <w:szCs w:val="1"/>
                <w:color w:val="auto"/>
              </w:rPr>
              <w:t>venBio Global Strategic Fund, II LP</w:t>
            </w:r>
          </w:p>
        </w:tc>
        <w:tc>
          <w:tcPr>
            <w:tcW w:w="500" w:type="dxa"/>
            <w:vAlign w:val="bottom"/>
            <w:tcBorders>
              <w:bottom w:val="single" w:sz="8" w:color="auto"/>
            </w:tcBorders>
            <w:shd w:val="clear" w:color="auto" w:fill="000000"/>
          </w:tcPr>
          <w:p>
            <w:pPr>
              <w:jc w:val="right"/>
              <w:ind w:right="379"/>
              <w:spacing w:after="0"/>
              <w:rPr>
                <w:sz w:val="20"/>
                <w:szCs w:val="20"/>
                <w:color w:val="auto"/>
              </w:rPr>
            </w:pPr>
            <w:r>
              <w:rPr>
                <w:rFonts w:ascii="Arial" w:cs="Arial" w:eastAsia="Arial" w:hAnsi="Arial"/>
                <w:sz w:val="1"/>
                <w:szCs w:val="1"/>
                <w:color w:val="auto"/>
              </w:rPr>
              <w:t>$</w:t>
            </w:r>
          </w:p>
        </w:tc>
        <w:tc>
          <w:tcPr>
            <w:tcW w:w="1300" w:type="dxa"/>
            <w:vAlign w:val="bottom"/>
            <w:tcBorders>
              <w:bottom w:val="single" w:sz="8" w:color="auto"/>
              <w:right w:val="single" w:sz="8" w:color="CCEEFF"/>
            </w:tcBorders>
            <w:shd w:val="clear" w:color="auto" w:fill="000000"/>
          </w:tcPr>
          <w:p>
            <w:pPr>
              <w:jc w:val="right"/>
              <w:ind w:right="39"/>
              <w:spacing w:after="0"/>
              <w:rPr>
                <w:sz w:val="20"/>
                <w:szCs w:val="20"/>
                <w:color w:val="auto"/>
              </w:rPr>
            </w:pPr>
            <w:r>
              <w:rPr>
                <w:rFonts w:ascii="Arial" w:cs="Arial" w:eastAsia="Arial" w:hAnsi="Arial"/>
                <w:sz w:val="1"/>
                <w:szCs w:val="1"/>
                <w:color w:val="auto"/>
              </w:rPr>
              <w:t>15,652,073</w:t>
            </w:r>
          </w:p>
        </w:tc>
      </w:tr>
      <w:tr>
        <w:trPr>
          <w:trHeight w:val="156"/>
        </w:trPr>
        <w:tc>
          <w:tcPr>
            <w:tcW w:w="9220" w:type="dxa"/>
            <w:vAlign w:val="bottom"/>
            <w:tcBorders>
              <w:bottom w:val="single" w:sz="8" w:color="CCEEFF"/>
            </w:tcBorders>
            <w:gridSpan w:val="2"/>
            <w:shd w:val="clear" w:color="auto" w:fill="CCEEFF"/>
          </w:tcPr>
          <w:p>
            <w:pPr>
              <w:ind w:left="2660"/>
              <w:spacing w:after="0" w:line="154" w:lineRule="exact"/>
              <w:rPr>
                <w:sz w:val="20"/>
                <w:szCs w:val="20"/>
                <w:color w:val="auto"/>
              </w:rPr>
            </w:pPr>
            <w:r>
              <w:rPr>
                <w:rFonts w:ascii="Arial" w:cs="Arial" w:eastAsia="Arial" w:hAnsi="Arial"/>
                <w:sz w:val="15"/>
                <w:szCs w:val="15"/>
                <w:color w:val="auto"/>
              </w:rPr>
              <w:t>(1)</w:t>
            </w:r>
          </w:p>
        </w:tc>
        <w:tc>
          <w:tcPr>
            <w:tcW w:w="5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89"/>
        </w:trPr>
        <w:tc>
          <w:tcPr>
            <w:tcW w:w="922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500" w:type="dxa"/>
            <w:vAlign w:val="bottom"/>
          </w:tcPr>
          <w:p>
            <w:pPr>
              <w:jc w:val="right"/>
              <w:ind w:right="379"/>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9"/>
              <w:spacing w:after="0" w:line="189" w:lineRule="exact"/>
              <w:rPr>
                <w:sz w:val="20"/>
                <w:szCs w:val="20"/>
                <w:color w:val="auto"/>
              </w:rPr>
            </w:pPr>
            <w:r>
              <w:rPr>
                <w:rFonts w:ascii="Arial" w:cs="Arial" w:eastAsia="Arial" w:hAnsi="Arial"/>
                <w:sz w:val="17"/>
                <w:szCs w:val="17"/>
                <w:color w:val="auto"/>
              </w:rPr>
              <w:t>6,750,000</w:t>
            </w:r>
          </w:p>
        </w:tc>
      </w:tr>
      <w:tr>
        <w:trPr>
          <w:trHeight w:val="4"/>
        </w:trPr>
        <w:tc>
          <w:tcPr>
            <w:tcW w:w="922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500" w:type="dxa"/>
            <w:vAlign w:val="bottom"/>
            <w:shd w:val="clear" w:color="auto" w:fill="CCEEFF"/>
          </w:tcPr>
          <w:p>
            <w:pPr>
              <w:jc w:val="right"/>
              <w:ind w:right="379"/>
              <w:spacing w:after="0" w:line="4"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4"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shd w:val="clear" w:color="auto" w:fill="CCEEFF"/>
          </w:tcPr>
          <w:p>
            <w:pPr>
              <w:ind w:left="1780"/>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5"/>
                <w:szCs w:val="15"/>
                <w:color w:val="auto"/>
              </w:rPr>
            </w:pPr>
          </w:p>
        </w:tc>
        <w:tc>
          <w:tcPr>
            <w:tcW w:w="1300" w:type="dxa"/>
            <w:vAlign w:val="bottom"/>
            <w:tcBorders>
              <w:right w:val="single" w:sz="8" w:color="CCEEFF"/>
            </w:tcBorders>
            <w:shd w:val="clear" w:color="auto" w:fill="CCEEFF"/>
          </w:tcPr>
          <w:p>
            <w:pPr>
              <w:spacing w:after="0"/>
              <w:rPr>
                <w:sz w:val="15"/>
                <w:szCs w:val="15"/>
                <w:color w:val="auto"/>
              </w:rPr>
            </w:pPr>
          </w:p>
        </w:tc>
      </w:tr>
      <w:tr>
        <w:trPr>
          <w:trHeight w:val="10"/>
        </w:trPr>
        <w:tc>
          <w:tcPr>
            <w:tcW w:w="9220" w:type="dxa"/>
            <w:vAlign w:val="bottom"/>
            <w:gridSpan w:val="2"/>
          </w:tcPr>
          <w:p>
            <w:pPr>
              <w:spacing w:after="0" w:line="10" w:lineRule="exact"/>
              <w:rPr>
                <w:sz w:val="20"/>
                <w:szCs w:val="20"/>
                <w:color w:val="auto"/>
              </w:rPr>
            </w:pPr>
            <w:r>
              <w:rPr>
                <w:rFonts w:ascii="Arial" w:cs="Arial" w:eastAsia="Arial" w:hAnsi="Arial"/>
                <w:sz w:val="1"/>
                <w:szCs w:val="1"/>
                <w:color w:val="auto"/>
              </w:rPr>
              <w:t>Robert Adelman, M.D.</w:t>
            </w:r>
          </w:p>
        </w:tc>
        <w:tc>
          <w:tcPr>
            <w:tcW w:w="500" w:type="dxa"/>
            <w:vAlign w:val="bottom"/>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tcPr>
          <w:p>
            <w:pPr>
              <w:ind w:left="1680"/>
              <w:spacing w:after="0"/>
              <w:rPr>
                <w:sz w:val="20"/>
                <w:szCs w:val="20"/>
                <w:color w:val="auto"/>
              </w:rPr>
            </w:pPr>
            <w:r>
              <w:rPr>
                <w:rFonts w:ascii="Arial" w:cs="Arial" w:eastAsia="Arial" w:hAnsi="Arial"/>
                <w:sz w:val="15"/>
                <w:szCs w:val="15"/>
                <w:color w:val="auto"/>
              </w:rPr>
              <w:t>(1)</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0"/>
        </w:trPr>
        <w:tc>
          <w:tcPr>
            <w:tcW w:w="922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Jason Lettmann</w:t>
            </w:r>
          </w:p>
        </w:tc>
        <w:tc>
          <w:tcPr>
            <w:tcW w:w="500" w:type="dxa"/>
            <w:vAlign w:val="bottom"/>
            <w:shd w:val="clear" w:color="auto" w:fill="CCEEFF"/>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85"/>
        </w:trPr>
        <w:tc>
          <w:tcPr>
            <w:tcW w:w="922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rPr>
              <w:t>(3)</w:t>
            </w:r>
          </w:p>
        </w:tc>
        <w:tc>
          <w:tcPr>
            <w:tcW w:w="50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jc w:val="both"/>
        <w:ind w:left="540" w:right="160" w:hanging="276"/>
        <w:spacing w:after="0" w:line="249"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8" w:lineRule="exact"/>
        <w:rPr>
          <w:rFonts w:ascii="Arial" w:cs="Arial" w:eastAsia="Arial" w:hAnsi="Arial"/>
          <w:sz w:val="14"/>
          <w:szCs w:val="14"/>
          <w:color w:val="auto"/>
        </w:rPr>
      </w:pPr>
    </w:p>
    <w:p>
      <w:pPr>
        <w:ind w:left="540" w:hanging="276"/>
        <w:spacing w:after="0"/>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venBio Consulting Agreement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January 2017, Dr. Jaume Pons, our Chief Executive Officer and the Chief Executive Officer of ALX Oncology Limited, entered into</w:t>
      </w:r>
    </w:p>
    <w:p>
      <w:pPr>
        <w:ind w:left="120" w:right="160"/>
        <w:spacing w:after="0" w:line="236" w:lineRule="auto"/>
        <w:rPr>
          <w:sz w:val="20"/>
          <w:szCs w:val="20"/>
          <w:color w:val="auto"/>
        </w:rPr>
      </w:pPr>
      <w:r>
        <w:rPr>
          <w:rFonts w:ascii="Arial" w:cs="Arial" w:eastAsia="Arial" w:hAnsi="Arial"/>
          <w:sz w:val="17"/>
          <w:szCs w:val="17"/>
          <w:color w:val="auto"/>
        </w:rPr>
        <w:t>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in 2017, 2018 and 2019. The consulting agreement remains in effect until terminated by either party with or without prior notice.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Tollnine Agreements</w:t>
      </w:r>
    </w:p>
    <w:p>
      <w:pPr>
        <w:spacing w:after="0" w:line="9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May 2018, Dr. Jaume Pons, our Chief Executive Officer, and Dr. Hong Wan, our Chief Scientific Officer, each entered into a consulting agreement with Tollnine. Dr. Pons was engaged to provide management services, while Dr. Wan was engaged to provide scientific advisory services. In accordance with these agreements as compensation for their services, Tollnine issued Drs. Pons and Wan shares of its common stock. The consulting agreements will terminate automatically upon the later of completion of all projects under the consulting agreement or two years. In addition, Tollnine may terminate the agreements at any time without prior notice, and Drs. Pons and Wan may terminate their respective agreements upon 30 days’ prior written notice if no services remain outstanding under the agreements.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Dr. Pons served as the Chief Executive Officer of Tollnine until April 2020, and Dr. Wan currently serves as the Chief Executive Officer of Tollnine.</w:t>
      </w:r>
    </w:p>
    <w:p>
      <w:pPr>
        <w:spacing w:after="0" w:line="156"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In June 2018, we entered into the Tollnine Agreement to provide research and development services to Tollnine. The Tollnine Agreement, which was amended in May 2019, provides that Alexo Therapeutics Inc., our indirectly</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wholly-owned subsidiary, will provide certain research and development services to Tollnine for a service fee based on the costs incurred by the Company plus a mark-up. For the years ended December 31, 2018 and December 31, 2019, and for the three months ended March 31, 2019 and March 31. 2020, ALX Oncology Limited recognized related-party revenues of $2.1 million and $4.8 million, and $1.0 million and $0.7 million, respectively. As of December 31, 2018, December 31, 2019 and March 31, 2020, we had outstanding related-party receivables from Tollnine of $0.9 million, $0.5 million and $1.2 million, respectively.</w:t>
      </w:r>
    </w:p>
    <w:p>
      <w:pPr>
        <w:spacing w:after="0" w:line="15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In addition, two of our current investors, venBio and Lightstone Ventures, who were also investors of ALX Oncology Limited prior to April 1, 2020, are also investors in Tollnine.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93"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Our amended and restated certificate of incorporation, which will be in effect upon the completion of this offering, will contain provisions limiting the liability of the members of our board of directors, and our amended and restated bylaws, which will be in effect upon the completion of this offering, will provide that we will indemnify each of our officers and the members of our board of directors to the fullest extent permitted under Delaware law. Our amended and restated certificate of incorporation and amended and restated bylaws will also provide our board of directors with discretion to indemnify our employees and other agents when it determines to be appropriate. In addition, we have entered into or will enter into an indemnification agreement with each of our executive officers and the members of our board of directors requiring us to indemnify them. See the section titled “Executive Compensation—Limitation on Liability and Indemnification of Directors and Officers.”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Related-Party Transaction Policy</w:t>
      </w:r>
    </w:p>
    <w:p>
      <w:pPr>
        <w:spacing w:after="0" w:line="80"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Our audit committee will have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related-party transaction.</w:t>
      </w:r>
    </w:p>
    <w:p>
      <w:pPr>
        <w:spacing w:after="0" w:line="149"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beneficial ownership of our common stock as of May 31, 2020 by:</w:t>
      </w:r>
    </w:p>
    <w:p>
      <w:pPr>
        <w:spacing w:after="0" w:line="196" w:lineRule="exact"/>
        <w:rPr>
          <w:sz w:val="20"/>
          <w:szCs w:val="20"/>
          <w:color w:val="auto"/>
        </w:rPr>
      </w:pPr>
    </w:p>
    <w:p>
      <w:pPr>
        <w:ind w:left="980" w:hanging="432"/>
        <w:spacing w:after="0"/>
        <w:tabs>
          <w:tab w:leader="none" w:pos="98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each of the named executive officers;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each of our directors;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all of our executive officers and directors as a group.</w:t>
      </w:r>
    </w:p>
    <w:p>
      <w:pPr>
        <w:spacing w:after="0" w:line="156"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50" w:lineRule="exact"/>
        <w:rPr>
          <w:sz w:val="20"/>
          <w:szCs w:val="20"/>
          <w:color w:val="auto"/>
        </w:rPr>
      </w:pPr>
    </w:p>
    <w:p>
      <w:pPr>
        <w:ind w:left="120" w:right="60"/>
        <w:spacing w:after="0" w:line="232" w:lineRule="auto"/>
        <w:rPr>
          <w:sz w:val="20"/>
          <w:szCs w:val="20"/>
          <w:color w:val="auto"/>
        </w:rPr>
      </w:pPr>
      <w:r>
        <w:rPr>
          <w:rFonts w:ascii="Arial" w:cs="Arial" w:eastAsia="Arial" w:hAnsi="Arial"/>
          <w:sz w:val="17"/>
          <w:szCs w:val="17"/>
          <w:color w:val="auto"/>
        </w:rPr>
        <w:t>We have based our calculation of the percentage of beneficial ownership prior to this offering on 161,466,750 shares of our common stock outstanding as of May 31, 2020, which includes 55,104 shares of common stock that are subject to a right of repurchase and 140,626,218 shares of our common stock resulting from the automatic conversion of all outstanding shares of our convertible preferred stock into our common stock upon the completion of this offering, as if this conversion had occurred as of May 31, 2020. We have based our calculation of the percentage of</w:t>
      </w:r>
    </w:p>
    <w:p>
      <w:pPr>
        <w:ind w:left="120" w:right="100"/>
        <w:spacing w:after="0" w:line="235" w:lineRule="auto"/>
        <w:rPr>
          <w:sz w:val="20"/>
          <w:szCs w:val="20"/>
          <w:color w:val="auto"/>
        </w:rPr>
      </w:pPr>
      <w:r>
        <w:rPr>
          <w:rFonts w:ascii="Arial" w:cs="Arial" w:eastAsia="Arial" w:hAnsi="Arial"/>
          <w:sz w:val="17"/>
          <w:szCs w:val="17"/>
          <w:color w:val="auto"/>
        </w:rPr>
        <w:t>beneficial ownership after this offering on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May 31,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5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Unless otherwise indicated, the address of each beneficial owner listed in the table below is c/o ALX Oncology Holdings Inc., 866 Malcolm Road, Suite 100, Burlingame, California 94010.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NUMBER OF SHARES</w:t>
            </w:r>
          </w:p>
        </w:tc>
        <w:tc>
          <w:tcPr>
            <w:tcW w:w="25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9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BENEFICIALLY OWNED</w:t>
            </w:r>
          </w:p>
        </w:tc>
        <w:tc>
          <w:tcPr>
            <w:tcW w:w="2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8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Borders>
              <w:top w:val="single" w:sz="8" w:color="auto"/>
            </w:tcBorders>
            <w:gridSpan w:val="2"/>
          </w:tcPr>
          <w:p>
            <w:pPr>
              <w:jc w:val="right"/>
              <w:ind w:right="600"/>
              <w:spacing w:after="0" w:line="143" w:lineRule="exact"/>
              <w:rPr>
                <w:sz w:val="20"/>
                <w:szCs w:val="20"/>
                <w:color w:val="auto"/>
              </w:rPr>
            </w:pPr>
            <w:r>
              <w:rPr>
                <w:rFonts w:ascii="Arial" w:cs="Arial" w:eastAsia="Arial" w:hAnsi="Arial"/>
                <w:sz w:val="14"/>
                <w:szCs w:val="14"/>
                <w:b w:val="1"/>
                <w:bCs w:val="1"/>
                <w:color w:val="auto"/>
              </w:rPr>
              <w:t>BEFORE THE</w:t>
            </w:r>
          </w:p>
        </w:tc>
        <w:tc>
          <w:tcPr>
            <w:tcW w:w="8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AFTER THE</w:t>
            </w:r>
          </w:p>
        </w:tc>
        <w:tc>
          <w:tcPr>
            <w:tcW w:w="540" w:type="dxa"/>
            <w:vAlign w:val="bottom"/>
          </w:tcPr>
          <w:p>
            <w:pPr>
              <w:spacing w:after="0"/>
              <w:rPr>
                <w:sz w:val="12"/>
                <w:szCs w:val="12"/>
                <w:color w:val="auto"/>
              </w:rPr>
            </w:pPr>
          </w:p>
        </w:tc>
        <w:tc>
          <w:tcPr>
            <w:tcW w:w="1620" w:type="dxa"/>
            <w:vAlign w:val="bottom"/>
            <w:tcBorders>
              <w:top w:val="single" w:sz="8" w:color="auto"/>
            </w:tcBorders>
            <w:gridSpan w:val="2"/>
          </w:tcPr>
          <w:p>
            <w:pPr>
              <w:jc w:val="right"/>
              <w:ind w:right="680"/>
              <w:spacing w:after="0" w:line="143" w:lineRule="exact"/>
              <w:rPr>
                <w:sz w:val="20"/>
                <w:szCs w:val="20"/>
                <w:color w:val="auto"/>
              </w:rPr>
            </w:pPr>
            <w:r>
              <w:rPr>
                <w:rFonts w:ascii="Arial" w:cs="Arial" w:eastAsia="Arial" w:hAnsi="Arial"/>
                <w:sz w:val="14"/>
                <w:szCs w:val="14"/>
                <w:b w:val="1"/>
                <w:bCs w:val="1"/>
                <w:color w:val="auto"/>
              </w:rPr>
              <w:t>BEFORE THE</w:t>
            </w:r>
          </w:p>
        </w:tc>
        <w:tc>
          <w:tcPr>
            <w:tcW w:w="8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AFTER THE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OFFERING</w:t>
            </w: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OFFERING</w:t>
            </w:r>
          </w:p>
        </w:tc>
        <w:tc>
          <w:tcPr>
            <w:tcW w:w="16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OFFERING</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3"/>
        </w:trPr>
        <w:tc>
          <w:tcPr>
            <w:tcW w:w="4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Stockholders:</w:t>
            </w:r>
          </w:p>
        </w:tc>
        <w:tc>
          <w:tcPr>
            <w:tcW w:w="6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venBio Partners</w:t>
            </w:r>
            <w:r>
              <w:rPr>
                <w:rFonts w:ascii="Arial" w:cs="Arial" w:eastAsia="Arial" w:hAnsi="Arial"/>
                <w:sz w:val="14"/>
                <w:szCs w:val="14"/>
                <w:color w:val="auto"/>
              </w:rPr>
              <w:t>(1)</w:t>
            </w:r>
          </w:p>
        </w:tc>
        <w:tc>
          <w:tcPr>
            <w:tcW w:w="600" w:type="dxa"/>
            <w:vAlign w:val="bottom"/>
          </w:tcPr>
          <w:p>
            <w:pPr>
              <w:spacing w:after="0"/>
              <w:rPr>
                <w:sz w:val="16"/>
                <w:szCs w:val="16"/>
                <w:color w:val="auto"/>
              </w:rPr>
            </w:pPr>
          </w:p>
        </w:tc>
        <w:tc>
          <w:tcPr>
            <w:tcW w:w="2140" w:type="dxa"/>
            <w:vAlign w:val="bottom"/>
            <w:gridSpan w:val="3"/>
          </w:tcPr>
          <w:p>
            <w:pPr>
              <w:jc w:val="right"/>
              <w:ind w:right="560"/>
              <w:spacing w:after="0" w:line="189" w:lineRule="exact"/>
              <w:rPr>
                <w:sz w:val="20"/>
                <w:szCs w:val="20"/>
                <w:color w:val="auto"/>
              </w:rPr>
            </w:pPr>
            <w:r>
              <w:rPr>
                <w:rFonts w:ascii="Arial" w:cs="Arial" w:eastAsia="Arial" w:hAnsi="Arial"/>
                <w:sz w:val="17"/>
                <w:szCs w:val="17"/>
                <w:color w:val="auto"/>
              </w:rPr>
              <w:t>49,380,398</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30.6%</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Lightstone Ventures</w:t>
            </w:r>
            <w:r>
              <w:rPr>
                <w:rFonts w:ascii="Arial" w:cs="Arial" w:eastAsia="Arial" w:hAnsi="Arial"/>
                <w:sz w:val="14"/>
                <w:szCs w:val="14"/>
                <w:color w:val="auto"/>
              </w:rPr>
              <w:t>(2)</w:t>
            </w:r>
          </w:p>
        </w:tc>
        <w:tc>
          <w:tcPr>
            <w:tcW w:w="600" w:type="dxa"/>
            <w:vAlign w:val="bottom"/>
            <w:shd w:val="clear" w:color="auto" w:fill="CCEEFF"/>
          </w:tcPr>
          <w:p>
            <w:pPr>
              <w:spacing w:after="0"/>
              <w:rPr>
                <w:sz w:val="16"/>
                <w:szCs w:val="16"/>
                <w:color w:val="auto"/>
              </w:rPr>
            </w:pPr>
          </w:p>
        </w:tc>
        <w:tc>
          <w:tcPr>
            <w:tcW w:w="2140" w:type="dxa"/>
            <w:vAlign w:val="bottom"/>
            <w:gridSpan w:val="3"/>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24,145,406</w:t>
            </w: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15.0</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Vivo Capital Fund IX, L.P.</w:t>
            </w:r>
            <w:r>
              <w:rPr>
                <w:rFonts w:ascii="Arial" w:cs="Arial" w:eastAsia="Arial" w:hAnsi="Arial"/>
                <w:sz w:val="14"/>
                <w:szCs w:val="14"/>
                <w:color w:val="auto"/>
              </w:rPr>
              <w:t>(3)</w:t>
            </w:r>
          </w:p>
        </w:tc>
        <w:tc>
          <w:tcPr>
            <w:tcW w:w="600" w:type="dxa"/>
            <w:vAlign w:val="bottom"/>
          </w:tcPr>
          <w:p>
            <w:pPr>
              <w:spacing w:after="0"/>
              <w:rPr>
                <w:sz w:val="16"/>
                <w:szCs w:val="16"/>
                <w:color w:val="auto"/>
              </w:rPr>
            </w:pPr>
          </w:p>
        </w:tc>
        <w:tc>
          <w:tcPr>
            <w:tcW w:w="2140" w:type="dxa"/>
            <w:vAlign w:val="bottom"/>
            <w:gridSpan w:val="3"/>
          </w:tcPr>
          <w:p>
            <w:pPr>
              <w:jc w:val="right"/>
              <w:ind w:right="560"/>
              <w:spacing w:after="0" w:line="189" w:lineRule="exact"/>
              <w:rPr>
                <w:sz w:val="20"/>
                <w:szCs w:val="20"/>
                <w:color w:val="auto"/>
              </w:rPr>
            </w:pPr>
            <w:r>
              <w:rPr>
                <w:rFonts w:ascii="Arial" w:cs="Arial" w:eastAsia="Arial" w:hAnsi="Arial"/>
                <w:sz w:val="17"/>
                <w:szCs w:val="17"/>
                <w:color w:val="auto"/>
              </w:rPr>
              <w:t>20,787,140</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12.9</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Logos Opportunities Fund I, L.P.</w:t>
            </w:r>
          </w:p>
        </w:tc>
        <w:tc>
          <w:tcPr>
            <w:tcW w:w="600" w:type="dxa"/>
            <w:vAlign w:val="bottom"/>
            <w:shd w:val="clear" w:color="auto" w:fill="CCEEFF"/>
          </w:tcPr>
          <w:p>
            <w:pPr>
              <w:spacing w:after="0" w:line="20" w:lineRule="exact"/>
              <w:rPr>
                <w:sz w:val="1"/>
                <w:szCs w:val="1"/>
                <w:color w:val="auto"/>
              </w:rPr>
            </w:pPr>
          </w:p>
        </w:tc>
        <w:tc>
          <w:tcPr>
            <w:tcW w:w="2140" w:type="dxa"/>
            <w:vAlign w:val="bottom"/>
            <w:gridSpan w:val="3"/>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13,858,093</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8.6</w:t>
            </w: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(4)</w:t>
            </w: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Named Executive Officers:</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Jaume Pons, Ph.D.</w:t>
            </w:r>
            <w:r>
              <w:rPr>
                <w:rFonts w:ascii="Arial" w:cs="Arial" w:eastAsia="Arial" w:hAnsi="Arial"/>
                <w:sz w:val="14"/>
                <w:szCs w:val="14"/>
                <w:color w:val="auto"/>
              </w:rPr>
              <w:t>(5)</w:t>
            </w:r>
          </w:p>
        </w:tc>
        <w:tc>
          <w:tcPr>
            <w:tcW w:w="600" w:type="dxa"/>
            <w:vAlign w:val="bottom"/>
            <w:shd w:val="clear" w:color="auto" w:fill="CCEEFF"/>
          </w:tcPr>
          <w:p>
            <w:pPr>
              <w:spacing w:after="0"/>
              <w:rPr>
                <w:sz w:val="16"/>
                <w:szCs w:val="16"/>
                <w:color w:val="auto"/>
              </w:rPr>
            </w:pPr>
          </w:p>
        </w:tc>
        <w:tc>
          <w:tcPr>
            <w:tcW w:w="2140" w:type="dxa"/>
            <w:vAlign w:val="bottom"/>
            <w:gridSpan w:val="3"/>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9,344,685</w:t>
            </w: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5.6</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tcPr>
          <w:p>
            <w:pPr>
              <w:spacing w:after="0" w:line="4" w:lineRule="exact"/>
              <w:rPr>
                <w:sz w:val="20"/>
                <w:szCs w:val="20"/>
                <w:color w:val="auto"/>
              </w:rPr>
            </w:pPr>
            <w:r>
              <w:rPr>
                <w:rFonts w:ascii="Arial" w:cs="Arial" w:eastAsia="Arial" w:hAnsi="Arial"/>
                <w:sz w:val="1"/>
                <w:szCs w:val="1"/>
                <w:color w:val="auto"/>
              </w:rPr>
              <w:t>Sophia Randolph, M.D., Ph.D.</w:t>
            </w:r>
          </w:p>
        </w:tc>
        <w:tc>
          <w:tcPr>
            <w:tcW w:w="600" w:type="dxa"/>
            <w:vAlign w:val="bottom"/>
          </w:tcPr>
          <w:p>
            <w:pPr>
              <w:spacing w:after="0" w:line="20" w:lineRule="exact"/>
              <w:rPr>
                <w:sz w:val="1"/>
                <w:szCs w:val="1"/>
                <w:color w:val="auto"/>
              </w:rPr>
            </w:pPr>
          </w:p>
        </w:tc>
        <w:tc>
          <w:tcPr>
            <w:tcW w:w="2140" w:type="dxa"/>
            <w:vAlign w:val="bottom"/>
            <w:gridSpan w:val="3"/>
          </w:tcPr>
          <w:p>
            <w:pPr>
              <w:jc w:val="right"/>
              <w:ind w:right="560"/>
              <w:spacing w:after="0" w:line="4" w:lineRule="exact"/>
              <w:rPr>
                <w:sz w:val="20"/>
                <w:szCs w:val="20"/>
                <w:color w:val="auto"/>
              </w:rPr>
            </w:pPr>
            <w:r>
              <w:rPr>
                <w:rFonts w:ascii="Arial" w:cs="Arial" w:eastAsia="Arial" w:hAnsi="Arial"/>
                <w:sz w:val="1"/>
                <w:szCs w:val="1"/>
                <w:color w:val="auto"/>
              </w:rPr>
              <w:t>2,441,562</w:t>
            </w: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gridSpan w:val="2"/>
          </w:tcPr>
          <w:p>
            <w:pPr>
              <w:jc w:val="right"/>
              <w:ind w:right="680"/>
              <w:spacing w:after="0" w:line="4" w:lineRule="exact"/>
              <w:rPr>
                <w:sz w:val="20"/>
                <w:szCs w:val="20"/>
                <w:color w:val="auto"/>
              </w:rPr>
            </w:pPr>
            <w:r>
              <w:rPr>
                <w:rFonts w:ascii="Arial" w:cs="Arial" w:eastAsia="Arial" w:hAnsi="Arial"/>
                <w:sz w:val="1"/>
                <w:szCs w:val="1"/>
                <w:color w:val="auto"/>
              </w:rPr>
              <w:t>1.5</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40" w:type="dxa"/>
            <w:vAlign w:val="bottom"/>
            <w:gridSpan w:val="2"/>
          </w:tcPr>
          <w:p>
            <w:pPr>
              <w:ind w:left="2280"/>
              <w:spacing w:after="0"/>
              <w:rPr>
                <w:sz w:val="20"/>
                <w:szCs w:val="20"/>
                <w:color w:val="auto"/>
              </w:rPr>
            </w:pPr>
            <w:r>
              <w:rPr>
                <w:rFonts w:ascii="Arial" w:cs="Arial" w:eastAsia="Arial" w:hAnsi="Arial"/>
                <w:sz w:val="15"/>
                <w:szCs w:val="15"/>
                <w:color w:val="auto"/>
              </w:rPr>
              <w:t>(6)</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Hong Wan, Ph.D.</w:t>
            </w:r>
          </w:p>
        </w:tc>
        <w:tc>
          <w:tcPr>
            <w:tcW w:w="600" w:type="dxa"/>
            <w:vAlign w:val="bottom"/>
            <w:shd w:val="clear" w:color="auto" w:fill="CCEEFF"/>
          </w:tcPr>
          <w:p>
            <w:pPr>
              <w:spacing w:after="0" w:line="20" w:lineRule="exact"/>
              <w:rPr>
                <w:sz w:val="1"/>
                <w:szCs w:val="1"/>
                <w:color w:val="auto"/>
              </w:rPr>
            </w:pPr>
          </w:p>
        </w:tc>
        <w:tc>
          <w:tcPr>
            <w:tcW w:w="2140" w:type="dxa"/>
            <w:vAlign w:val="bottom"/>
            <w:gridSpan w:val="3"/>
            <w:shd w:val="clear" w:color="auto" w:fill="CCEEFF"/>
          </w:tcPr>
          <w:p>
            <w:pPr>
              <w:jc w:val="right"/>
              <w:ind w:right="560"/>
              <w:spacing w:after="0" w:line="10" w:lineRule="exact"/>
              <w:rPr>
                <w:sz w:val="20"/>
                <w:szCs w:val="20"/>
                <w:color w:val="auto"/>
              </w:rPr>
            </w:pPr>
            <w:r>
              <w:rPr>
                <w:rFonts w:ascii="Arial" w:cs="Arial" w:eastAsia="Arial" w:hAnsi="Arial"/>
                <w:sz w:val="1"/>
                <w:szCs w:val="1"/>
                <w:color w:val="auto"/>
              </w:rPr>
              <w:t>2,550,781</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jc w:val="right"/>
              <w:ind w:right="680"/>
              <w:spacing w:after="0" w:line="10" w:lineRule="exact"/>
              <w:rPr>
                <w:sz w:val="20"/>
                <w:szCs w:val="20"/>
                <w:color w:val="auto"/>
              </w:rPr>
            </w:pPr>
            <w:r>
              <w:rPr>
                <w:rFonts w:ascii="Arial" w:cs="Arial" w:eastAsia="Arial" w:hAnsi="Arial"/>
                <w:sz w:val="1"/>
                <w:szCs w:val="1"/>
                <w:color w:val="auto"/>
              </w:rPr>
              <w:t>1.6</w:t>
            </w: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(7)</w:t>
            </w:r>
          </w:p>
        </w:tc>
        <w:tc>
          <w:tcPr>
            <w:tcW w:w="2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Non-Employee Directors:</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600" w:type="dxa"/>
            <w:vAlign w:val="bottom"/>
            <w:shd w:val="clear" w:color="auto" w:fill="CCEEFF"/>
          </w:tcPr>
          <w:p>
            <w:pPr>
              <w:spacing w:after="0" w:line="20" w:lineRule="exact"/>
              <w:rPr>
                <w:sz w:val="1"/>
                <w:szCs w:val="1"/>
                <w:color w:val="auto"/>
              </w:rPr>
            </w:pPr>
          </w:p>
        </w:tc>
        <w:tc>
          <w:tcPr>
            <w:tcW w:w="2140" w:type="dxa"/>
            <w:vAlign w:val="bottom"/>
            <w:gridSpan w:val="3"/>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50,345,231</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31.2</w:t>
            </w: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780"/>
              <w:spacing w:after="0"/>
              <w:rPr>
                <w:sz w:val="20"/>
                <w:szCs w:val="20"/>
                <w:color w:val="auto"/>
              </w:rPr>
            </w:pPr>
            <w:r>
              <w:rPr>
                <w:rFonts w:ascii="Arial" w:cs="Arial" w:eastAsia="Arial" w:hAnsi="Arial"/>
                <w:sz w:val="15"/>
                <w:szCs w:val="15"/>
                <w:color w:val="auto"/>
              </w:rPr>
              <w:t>(8)</w:t>
            </w:r>
          </w:p>
        </w:tc>
        <w:tc>
          <w:tcPr>
            <w:tcW w:w="2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Rekha Hemrajani</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Jason Lettmann</w:t>
            </w:r>
          </w:p>
        </w:tc>
        <w:tc>
          <w:tcPr>
            <w:tcW w:w="600" w:type="dxa"/>
            <w:vAlign w:val="bottom"/>
            <w:shd w:val="clear" w:color="auto" w:fill="CCEEFF"/>
          </w:tcPr>
          <w:p>
            <w:pPr>
              <w:spacing w:after="0" w:line="20" w:lineRule="exact"/>
              <w:rPr>
                <w:sz w:val="1"/>
                <w:szCs w:val="1"/>
                <w:color w:val="auto"/>
              </w:rPr>
            </w:pPr>
          </w:p>
        </w:tc>
        <w:tc>
          <w:tcPr>
            <w:tcW w:w="2140" w:type="dxa"/>
            <w:vAlign w:val="bottom"/>
            <w:gridSpan w:val="3"/>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24,729,142</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15.3</w:t>
            </w: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(9)</w:t>
            </w:r>
          </w:p>
        </w:tc>
        <w:tc>
          <w:tcPr>
            <w:tcW w:w="2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Jack Nielsen</w:t>
            </w: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6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Graham Walmsley, M.D., Ph.D.</w:t>
            </w:r>
          </w:p>
        </w:tc>
        <w:tc>
          <w:tcPr>
            <w:tcW w:w="600" w:type="dxa"/>
            <w:vAlign w:val="bottom"/>
            <w:shd w:val="clear" w:color="auto" w:fill="CCEEFF"/>
          </w:tcPr>
          <w:p>
            <w:pPr>
              <w:spacing w:after="0" w:line="20" w:lineRule="exact"/>
              <w:rPr>
                <w:sz w:val="1"/>
                <w:szCs w:val="1"/>
                <w:color w:val="auto"/>
              </w:rPr>
            </w:pPr>
          </w:p>
        </w:tc>
        <w:tc>
          <w:tcPr>
            <w:tcW w:w="2140" w:type="dxa"/>
            <w:vAlign w:val="bottom"/>
            <w:gridSpan w:val="3"/>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13,858,093</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8.6</w:t>
            </w:r>
          </w:p>
        </w:tc>
        <w:tc>
          <w:tcPr>
            <w:tcW w:w="8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(10)</w:t>
            </w:r>
          </w:p>
        </w:tc>
        <w:tc>
          <w:tcPr>
            <w:tcW w:w="6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5"/>
                <w:szCs w:val="15"/>
                <w:color w:val="auto"/>
              </w:rPr>
              <w:t>All executive officers and directors as a group (11 persons)</w:t>
            </w:r>
          </w:p>
        </w:tc>
        <w:tc>
          <w:tcPr>
            <w:tcW w:w="600" w:type="dxa"/>
            <w:vAlign w:val="bottom"/>
            <w:vMerge w:val="restart"/>
          </w:tcPr>
          <w:p>
            <w:pPr>
              <w:jc w:val="right"/>
              <w:ind w:right="267"/>
              <w:spacing w:after="0"/>
              <w:rPr>
                <w:sz w:val="20"/>
                <w:szCs w:val="20"/>
                <w:color w:val="auto"/>
              </w:rPr>
            </w:pPr>
            <w:r>
              <w:rPr>
                <w:rFonts w:ascii="Arial" w:cs="Arial" w:eastAsia="Arial" w:hAnsi="Arial"/>
                <w:sz w:val="15"/>
                <w:szCs w:val="15"/>
                <w:color w:val="auto"/>
                <w:w w:val="89"/>
              </w:rPr>
              <w:t>(11)</w:t>
            </w:r>
          </w:p>
        </w:tc>
        <w:tc>
          <w:tcPr>
            <w:tcW w:w="2140" w:type="dxa"/>
            <w:vAlign w:val="bottom"/>
            <w:gridSpan w:val="3"/>
          </w:tcPr>
          <w:p>
            <w:pPr>
              <w:jc w:val="right"/>
              <w:ind w:right="560"/>
              <w:spacing w:after="0" w:line="135" w:lineRule="exact"/>
              <w:rPr>
                <w:sz w:val="20"/>
                <w:szCs w:val="20"/>
                <w:color w:val="auto"/>
              </w:rPr>
            </w:pPr>
            <w:r>
              <w:rPr>
                <w:rFonts w:ascii="Arial" w:cs="Arial" w:eastAsia="Arial" w:hAnsi="Arial"/>
                <w:sz w:val="15"/>
                <w:szCs w:val="15"/>
                <w:color w:val="auto"/>
              </w:rPr>
              <w:t>107,633,784</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2"/>
          </w:tcPr>
          <w:p>
            <w:pPr>
              <w:jc w:val="right"/>
              <w:ind w:right="680"/>
              <w:spacing w:after="0" w:line="135" w:lineRule="exact"/>
              <w:rPr>
                <w:sz w:val="20"/>
                <w:szCs w:val="20"/>
                <w:color w:val="auto"/>
              </w:rPr>
            </w:pPr>
            <w:r>
              <w:rPr>
                <w:rFonts w:ascii="Arial" w:cs="Arial" w:eastAsia="Arial" w:hAnsi="Arial"/>
                <w:sz w:val="15"/>
                <w:szCs w:val="15"/>
                <w:color w:val="auto"/>
              </w:rPr>
              <w:t>61.6</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1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2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gridSpan w:val="2"/>
          </w:tcPr>
          <w:p>
            <w:pPr>
              <w:jc w:val="right"/>
              <w:ind w:right="904"/>
              <w:spacing w:after="0"/>
              <w:rPr>
                <w:sz w:val="20"/>
                <w:szCs w:val="20"/>
                <w:color w:val="auto"/>
              </w:rPr>
            </w:pPr>
            <w:r>
              <w:rPr>
                <w:rFonts w:ascii="Arial" w:cs="Arial" w:eastAsia="Arial" w:hAnsi="Arial"/>
                <w:sz w:val="16"/>
                <w:szCs w:val="16"/>
                <w:color w:val="auto"/>
              </w:rPr>
              <w:t>142</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Represents beneficial ownership of less than one percent (1%) of the outstanding shares of our common stock.</w:t>
      </w:r>
    </w:p>
    <w:p>
      <w:pPr>
        <w:spacing w:after="0" w:line="42" w:lineRule="exact"/>
        <w:rPr>
          <w:sz w:val="20"/>
          <w:szCs w:val="20"/>
          <w:color w:val="auto"/>
        </w:rPr>
      </w:pPr>
    </w:p>
    <w:p>
      <w:pPr>
        <w:ind w:left="540" w:right="20" w:hanging="276"/>
        <w:spacing w:after="0" w:line="244"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25,940,398 shares held of record by venBio Global Strategic Fund II, L.P.; (ii) 20,401,000 shares held of record by venBio Global Strategic Fund, L.P.; and (iii) 3,039,000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514,446 shares are held of record by Dr. Adelman. The address for these entities is c/o venBio Partners, LLC, 1700 Owens Street, Suite 595, San Francisco, California 94158.</w:t>
      </w:r>
    </w:p>
    <w:p>
      <w:pPr>
        <w:spacing w:after="0" w:line="28" w:lineRule="exact"/>
        <w:rPr>
          <w:rFonts w:ascii="Arial" w:cs="Arial" w:eastAsia="Arial" w:hAnsi="Arial"/>
          <w:sz w:val="14"/>
          <w:szCs w:val="14"/>
          <w:color w:val="auto"/>
        </w:rPr>
      </w:pPr>
    </w:p>
    <w:p>
      <w:pPr>
        <w:ind w:left="540" w:right="20" w:hanging="276"/>
        <w:spacing w:after="0" w:line="244"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12,049,278 shares held of record by Lightstone Ventures, LP (LV LP); (ii) 9,864,223 shares held of record by Lightstone Ventures II, LP (LV II LP); (iii) 1,642,746 shares held of record by Lightstone Ventures (A), LP (LV(A) LP); and (iv) 589,159 shares held of record by Lightstone Ventures II (A), LP (LV II(A) LP).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 The address for these entities is c/o LSV Capital Management, LLC, 2884 Sand Hill Road, Suite 121, Menlo Park, California 94025.</w:t>
      </w:r>
    </w:p>
    <w:p>
      <w:pPr>
        <w:spacing w:after="0" w:line="28"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20,787,140 shares held of record by Vivo Capital Fund IX, L.P. (VIVO IX LP). Vivo Capital IX, LLC (VIVO IX LLC) is the General Partner of VIVO IX LP. As the managing members of VIVO IX LLC, Frank Kung, Albert Cha, Edgar Engleman, Shan Fu and Chen Yu share voting and dispositive power with respect to the shares held of record by VIVO IX LP. The address for these entities is c/o Vivo Capital, 192 Lytton Avenue, Palo Alto, California 94301.</w:t>
      </w:r>
    </w:p>
    <w:p>
      <w:pPr>
        <w:spacing w:after="0" w:line="25" w:lineRule="exact"/>
        <w:rPr>
          <w:rFonts w:ascii="Arial" w:cs="Arial" w:eastAsia="Arial" w:hAnsi="Arial"/>
          <w:sz w:val="14"/>
          <w:szCs w:val="14"/>
          <w:color w:val="auto"/>
        </w:rPr>
      </w:pPr>
    </w:p>
    <w:p>
      <w:pPr>
        <w:ind w:left="540" w:right="100" w:hanging="276"/>
        <w:spacing w:after="0" w:line="247"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13,858,093 shares held of record by Logos Opportunities Fund I, L.P. (Logos LP). Logos Opportunities GP, LLC (Logos GP) is the general partner of Logos Opportunities Fund I, L.P. (Logos LP). Arsani William and Graham Walmsley are the managing members of Logos GP and share voting and dispositive power with respect to the shares held of record by Logos Opportunities Fund I, LP. The address for these entities is c/o Logos Capital, 1 Letterman Drive, Building D, Suite D3-700, San Francisco, California 94129.</w:t>
      </w:r>
    </w:p>
    <w:p>
      <w:pPr>
        <w:spacing w:after="0" w:line="25" w:lineRule="exact"/>
        <w:rPr>
          <w:rFonts w:ascii="Arial" w:cs="Arial" w:eastAsia="Arial" w:hAnsi="Arial"/>
          <w:sz w:val="14"/>
          <w:szCs w:val="14"/>
          <w:color w:val="auto"/>
        </w:rPr>
      </w:pPr>
    </w:p>
    <w:p>
      <w:pPr>
        <w:ind w:left="540" w:right="620" w:hanging="276"/>
        <w:spacing w:after="0" w:line="258"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3,529,617 shares held of record by Dr. Pons and (ii) 5,815,068 shares issuable upon option exercise within 60 days of May 31, 2020, of which 1,989,280 are fully vested.</w:t>
      </w:r>
    </w:p>
    <w:p>
      <w:pPr>
        <w:spacing w:after="0" w:line="18" w:lineRule="exact"/>
        <w:rPr>
          <w:rFonts w:ascii="Arial" w:cs="Arial" w:eastAsia="Arial" w:hAnsi="Arial"/>
          <w:sz w:val="14"/>
          <w:szCs w:val="14"/>
          <w:color w:val="auto"/>
        </w:rPr>
      </w:pPr>
    </w:p>
    <w:p>
      <w:pPr>
        <w:ind w:left="540" w:right="460" w:hanging="276"/>
        <w:spacing w:after="0" w:line="258"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875,000 shares held of record by Dr. Randolph and (ii) 1,566,562 shares issuable upon option exercise within 60 days of May 31, 2020, of which 529,061 are fully vested.</w:t>
      </w:r>
    </w:p>
    <w:p>
      <w:pPr>
        <w:spacing w:after="0" w:line="18" w:lineRule="exact"/>
        <w:rPr>
          <w:rFonts w:ascii="Arial" w:cs="Arial" w:eastAsia="Arial" w:hAnsi="Arial"/>
          <w:sz w:val="14"/>
          <w:szCs w:val="14"/>
          <w:color w:val="auto"/>
        </w:rPr>
      </w:pPr>
    </w:p>
    <w:p>
      <w:pPr>
        <w:ind w:left="540" w:right="140" w:hanging="276"/>
        <w:spacing w:after="0" w:line="258"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142,044 shares held of record by the Kwauk and Wan Family Trust for which Dr. Wan serves as trustee; (ii) 860,000 shares held of record by Dr. Wan and (iii) 1,548,737 shares issuable upon option exercise within 60 days of May 31, 2020, of which 524,853 are fully vested.</w:t>
      </w:r>
    </w:p>
    <w:p>
      <w:pPr>
        <w:spacing w:after="0" w:line="18" w:lineRule="exact"/>
        <w:rPr>
          <w:rFonts w:ascii="Arial" w:cs="Arial" w:eastAsia="Arial" w:hAnsi="Arial"/>
          <w:sz w:val="14"/>
          <w:szCs w:val="14"/>
          <w:color w:val="auto"/>
        </w:rPr>
      </w:pPr>
    </w:p>
    <w:p>
      <w:pPr>
        <w:ind w:left="540" w:right="40" w:hanging="276"/>
        <w:spacing w:after="0" w:line="249"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the shares disclosed in footnote (1) above which are held of record by entities affiliated with venBio Partners; (ii) 618,381 shares held of record by the Goodman Baringa Trust for which Dr. Goodman serves as trustee and (iii) 346,452 shares held of record by the Emaldi Corporation for which Dr. Goodman serves as a director.</w:t>
      </w:r>
    </w:p>
    <w:p>
      <w:pPr>
        <w:spacing w:after="0" w:line="25" w:lineRule="exact"/>
        <w:rPr>
          <w:rFonts w:ascii="Arial" w:cs="Arial" w:eastAsia="Arial" w:hAnsi="Arial"/>
          <w:sz w:val="14"/>
          <w:szCs w:val="14"/>
          <w:color w:val="auto"/>
        </w:rPr>
      </w:pPr>
    </w:p>
    <w:p>
      <w:pPr>
        <w:ind w:left="540" w:right="80" w:hanging="276"/>
        <w:spacing w:after="0" w:line="258"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the shares disclosed in footnote (2) above which are held of record by entities affiliated with Lightstone Ventures and (ii) 583,736 shares held of record by Mr. Lettmann.</w:t>
      </w:r>
    </w:p>
    <w:p>
      <w:pPr>
        <w:spacing w:after="0" w:line="18" w:lineRule="exact"/>
        <w:rPr>
          <w:rFonts w:ascii="Arial" w:cs="Arial" w:eastAsia="Arial" w:hAnsi="Arial"/>
          <w:sz w:val="14"/>
          <w:szCs w:val="14"/>
          <w:color w:val="auto"/>
        </w:rPr>
      </w:pPr>
    </w:p>
    <w:p>
      <w:pPr>
        <w:ind w:left="540" w:hanging="356"/>
        <w:spacing w:after="0"/>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the shares disclosed in footnote (4) above which are held of record by Logos LP.</w:t>
      </w:r>
    </w:p>
    <w:p>
      <w:pPr>
        <w:spacing w:after="0" w:line="41" w:lineRule="exact"/>
        <w:rPr>
          <w:rFonts w:ascii="Arial" w:cs="Arial" w:eastAsia="Arial" w:hAnsi="Arial"/>
          <w:sz w:val="14"/>
          <w:szCs w:val="14"/>
          <w:color w:val="auto"/>
        </w:rPr>
      </w:pPr>
    </w:p>
    <w:p>
      <w:pPr>
        <w:ind w:left="540" w:hanging="356"/>
        <w:spacing w:after="0" w:line="258" w:lineRule="auto"/>
        <w:tabs>
          <w:tab w:leader="none" w:pos="5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Consists of (i) 94,408,417 shares beneficially owned by our executive officers and directors and (ii) 13,225,367 shares issuable upon option exercise within 60 days of May 31, 2020, of which 3,503,455 are fully vested.</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6"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Upon the completion of this offering and the filing of our amended and restated certificate of incorporation to be effective upon completion of this</w:t>
      </w:r>
    </w:p>
    <w:p>
      <w:pPr>
        <w:ind w:left="120" w:right="420"/>
        <w:spacing w:after="0" w:line="243" w:lineRule="auto"/>
        <w:rPr>
          <w:sz w:val="20"/>
          <w:szCs w:val="20"/>
          <w:color w:val="auto"/>
        </w:rPr>
      </w:pPr>
      <w:r>
        <w:rPr>
          <w:rFonts w:ascii="Arial" w:cs="Arial" w:eastAsia="Arial" w:hAnsi="Arial"/>
          <w:sz w:val="17"/>
          <w:szCs w:val="17"/>
          <w:color w:val="auto"/>
        </w:rPr>
        <w:t>offering, our authorized capital stock will consist of shares of common stock, par value $0.001 per share, and shares of convertible preferred stock, par value $0.001 per share.</w:t>
      </w:r>
    </w:p>
    <w:p>
      <w:pPr>
        <w:spacing w:after="0" w:line="144"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Upon the closing of this offering, all the outstanding shares of our convertible preferred stock will automatically convert into an aggregate of 140,626,218 shares of our common stock.</w:t>
      </w:r>
    </w:p>
    <w:p>
      <w:pPr>
        <w:spacing w:after="0" w:line="144"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Based on 20,840,532 shares of common stock outstanding as of April 1, 2020 (including shares of common stock that are subject to a right of repurchase), and after giving effect to the automatic conversion of all of our outstanding convertible preferred stock into an aggregate of</w:t>
      </w:r>
    </w:p>
    <w:p>
      <w:pPr>
        <w:ind w:left="120" w:right="60"/>
        <w:spacing w:after="0" w:line="232" w:lineRule="auto"/>
        <w:rPr>
          <w:sz w:val="20"/>
          <w:szCs w:val="20"/>
          <w:color w:val="auto"/>
        </w:rPr>
      </w:pPr>
      <w:r>
        <w:rPr>
          <w:rFonts w:ascii="Arial" w:cs="Arial" w:eastAsia="Arial" w:hAnsi="Arial"/>
          <w:sz w:val="17"/>
          <w:szCs w:val="17"/>
          <w:color w:val="auto"/>
        </w:rPr>
        <w:t>140,626,218 shares of common stock upon the completion of this offering and the issuance of shares of common stock in this offering, there will be shares of common stock outstanding upon the closing of this offering. As of April 1, 2020, we had 69 stockholders of</w:t>
      </w:r>
    </w:p>
    <w:p>
      <w:pPr>
        <w:ind w:left="120"/>
        <w:spacing w:after="0"/>
        <w:rPr>
          <w:sz w:val="20"/>
          <w:szCs w:val="20"/>
          <w:color w:val="auto"/>
        </w:rPr>
      </w:pPr>
      <w:r>
        <w:rPr>
          <w:rFonts w:ascii="Arial" w:cs="Arial" w:eastAsia="Arial" w:hAnsi="Arial"/>
          <w:sz w:val="17"/>
          <w:szCs w:val="17"/>
          <w:color w:val="auto"/>
        </w:rPr>
        <w:t>record. As of April 1, 2020, there were 21,063,923 shares of common stock subject to outstanding options.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 Rights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Liquidation</w:t>
      </w:r>
    </w:p>
    <w:p>
      <w:pPr>
        <w:spacing w:after="0" w:line="4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4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41"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Upon the closing of this offering, our board of directors will have the authority, without further action by the stockholders, to issue up to</w:t>
      </w:r>
    </w:p>
    <w:p>
      <w:pPr>
        <w:ind w:left="120"/>
        <w:spacing w:after="0" w:line="234" w:lineRule="auto"/>
        <w:rPr>
          <w:sz w:val="20"/>
          <w:szCs w:val="20"/>
          <w:color w:val="auto"/>
        </w:rPr>
      </w:pPr>
      <w:r>
        <w:rPr>
          <w:rFonts w:ascii="Arial" w:cs="Arial" w:eastAsia="Arial" w:hAnsi="Arial"/>
          <w:sz w:val="17"/>
          <w:szCs w:val="17"/>
          <w:color w:val="auto"/>
        </w:rPr>
        <w:t>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April 1, 2020, we had outstanding options to purchase an aggregate of 21,063,923 shares of our common stock, with a weighted-average</w:t>
      </w:r>
    </w:p>
    <w:p>
      <w:pPr>
        <w:ind w:left="120" w:right="220"/>
        <w:spacing w:after="0" w:line="243" w:lineRule="auto"/>
        <w:rPr>
          <w:sz w:val="20"/>
          <w:szCs w:val="20"/>
          <w:color w:val="auto"/>
        </w:rPr>
      </w:pPr>
      <w:r>
        <w:rPr>
          <w:rFonts w:ascii="Arial" w:cs="Arial" w:eastAsia="Arial" w:hAnsi="Arial"/>
          <w:sz w:val="17"/>
          <w:szCs w:val="17"/>
          <w:color w:val="auto"/>
        </w:rPr>
        <w:t>exercise price of $0.47 per share, under our 2020 Plan. After April 1, 2020, we issued options to purchase an aggregate of shares of our common stock, with a weighted-average exercise price of $ per share, under our 2020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80" w:lineRule="exact"/>
        <w:rPr>
          <w:sz w:val="20"/>
          <w:szCs w:val="20"/>
          <w:color w:val="auto"/>
        </w:rPr>
      </w:pPr>
    </w:p>
    <w:p>
      <w:pPr>
        <w:ind w:left="120" w:right="540"/>
        <w:spacing w:after="0" w:line="232" w:lineRule="auto"/>
        <w:rPr>
          <w:sz w:val="20"/>
          <w:szCs w:val="20"/>
          <w:color w:val="auto"/>
        </w:rPr>
      </w:pPr>
      <w:r>
        <w:rPr>
          <w:rFonts w:ascii="Arial" w:cs="Arial" w:eastAsia="Arial" w:hAnsi="Arial"/>
          <w:sz w:val="17"/>
          <w:szCs w:val="17"/>
          <w:color w:val="auto"/>
        </w:rPr>
        <w:t>As of April 1,2020, we had outstanding warrants to purchase an aggregate of 403,348 shares of our Series B convertible preferred stock at $1.4432 per share, pursuant to the Loan Agreement. Immediately prior to</w:t>
      </w:r>
    </w:p>
    <w:p>
      <w:pPr>
        <w:ind w:left="120"/>
        <w:spacing w:after="0"/>
        <w:rPr>
          <w:sz w:val="20"/>
          <w:szCs w:val="20"/>
          <w:color w:val="auto"/>
        </w:rPr>
      </w:pPr>
      <w:r>
        <w:rPr>
          <w:rFonts w:ascii="Arial" w:cs="Arial" w:eastAsia="Arial" w:hAnsi="Arial"/>
          <w:sz w:val="17"/>
          <w:szCs w:val="17"/>
          <w:color w:val="auto"/>
        </w:rPr>
        <w:t>the completion of this offering, these warrants will be converted into warrants to purchase common stock.</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9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convertible preferred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After this offering, the holders of an aggregate of 143,882,738 shares of our common stock will be entitled to certain demand registration rights. At any time beginning 180 days after the effective date of this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S-3 Registration Rights</w:t>
      </w:r>
    </w:p>
    <w:p>
      <w:pPr>
        <w:spacing w:after="0" w:line="5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After this offering, the holders of an aggregate of 143,882,738 shares of our common stock will be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54" w:lineRule="exact"/>
        <w:rPr>
          <w:sz w:val="20"/>
          <w:szCs w:val="20"/>
          <w:color w:val="auto"/>
        </w:rPr>
      </w:pPr>
    </w:p>
    <w:p>
      <w:pPr>
        <w:ind w:left="120" w:right="300"/>
        <w:spacing w:after="0" w:line="235" w:lineRule="auto"/>
        <w:rPr>
          <w:sz w:val="20"/>
          <w:szCs w:val="20"/>
          <w:color w:val="auto"/>
        </w:rPr>
      </w:pPr>
      <w:r>
        <w:rPr>
          <w:rFonts w:ascii="Arial" w:cs="Arial" w:eastAsia="Arial" w:hAnsi="Arial"/>
          <w:sz w:val="17"/>
          <w:szCs w:val="17"/>
          <w:color w:val="auto"/>
        </w:rPr>
        <w:t>In connection with this offering, the holders of an aggregate of 143,882,738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registration and have the right to include their shares in the registration, subject to limitations that the underwriters may impose on the number of shares included in the offering.</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will pay the registration expenses, other than underwriting discounts and commissions, of the shares registered by the demand, Form S-3 and piggyback registrations described above.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4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demand, Form S-3 and piggyback registration described above will expire upon the earliest of (1) the fifth anniversary after the closing of this offering, (2) a deemed liquidation event (as defined in our amended and restated certificate of incorporation, in effect prior to the completion of this offering) and (3) such time after the completion of this offering that such stockholder can sell all of its shares entitled to registration rights under Rule 144 of the Securities Act.</w:t>
      </w:r>
    </w:p>
    <w:p>
      <w:pPr>
        <w:spacing w:after="0" w:line="186"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35"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amended and restated certificate of incorporation will provide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54"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Director Vacancies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will authorize only our board of directors to fill vacant directorships.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5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stockholders do not have the right to cumulate votes in the election of directors.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54"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Advance Notice Procedures for Director Nominations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Action by Written Consent</w:t>
      </w:r>
    </w:p>
    <w:p>
      <w:pPr>
        <w:spacing w:after="0" w:line="54" w:lineRule="exact"/>
        <w:rPr>
          <w:sz w:val="20"/>
          <w:szCs w:val="20"/>
          <w:color w:val="auto"/>
        </w:rPr>
      </w:pPr>
    </w:p>
    <w:p>
      <w:pPr>
        <w:ind w:left="120" w:right="840"/>
        <w:spacing w:after="0" w:line="243"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Amending our Certificate of Incorporation and Bylaws</w:t>
      </w:r>
    </w:p>
    <w:p>
      <w:pPr>
        <w:spacing w:after="0" w:line="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w:t>
      </w:r>
    </w:p>
    <w:p>
      <w:pPr>
        <w:spacing w:after="0" w:line="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Our amended and restated bylaws that will become effective upon the completion of this offering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that will become effective upon the completion of this offering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Combinations with Interested Stockholders</w:t>
      </w:r>
    </w:p>
    <w:p>
      <w:pPr>
        <w:spacing w:after="0" w:line="54"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w:t>
      </w:r>
    </w:p>
    <w:p>
      <w:pPr>
        <w:ind w:left="120" w:right="40" w:hanging="4"/>
        <w:spacing w:after="0" w:line="234" w:lineRule="auto"/>
        <w:tabs>
          <w:tab w:leader="none" w:pos="357" w:val="left"/>
        </w:tabs>
        <w:numPr>
          <w:ilvl w:val="0"/>
          <w:numId w:val="95"/>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49"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applied to list our common stock on the Nasdaq Global Select Market under the symbol “ALXO.”</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54"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transfer agent and registrar for our common stock is Computershare Trust Company, N.A. The transfer agent and registrar’s address is 250 Royal Street, Canton, Massachusetts 02021.</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Prior to this offering, there has been no public market for our common stock, and although we expect that our common stock will be approved for listing on Nasdaq,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51"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Upon completion of this offering, based on our shares outstanding as of , 2020 and after giving effect to the automatic conversion of all outstanding shares of our convertible preferred stock, shares of our common stock will be outstanding, or shares of common</w:t>
      </w:r>
    </w:p>
    <w:p>
      <w:pPr>
        <w:ind w:left="120" w:right="220"/>
        <w:spacing w:after="0" w:line="235" w:lineRule="auto"/>
        <w:rPr>
          <w:sz w:val="20"/>
          <w:szCs w:val="20"/>
          <w:color w:val="auto"/>
        </w:rPr>
      </w:pPr>
      <w:r>
        <w:rPr>
          <w:rFonts w:ascii="Arial" w:cs="Arial" w:eastAsia="Arial" w:hAnsi="Arial"/>
          <w:sz w:val="17"/>
          <w:szCs w:val="17"/>
          <w:color w:val="auto"/>
        </w:rPr>
        <w:t>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4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188" w:lineRule="exact"/>
        <w:rPr>
          <w:sz w:val="20"/>
          <w:szCs w:val="20"/>
          <w:color w:val="auto"/>
        </w:rPr>
      </w:pPr>
    </w:p>
    <w:p>
      <w:pPr>
        <w:ind w:left="1780" w:hanging="1232"/>
        <w:spacing w:after="0"/>
        <w:tabs>
          <w:tab w:leader="none" w:pos="17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shares will be eligible for sale on the date of this prospectus; and</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1787"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shares will be eligible for sale upon expiration of the lock-up agreements and market stand-off provisions described below, beginning more than 180 days after the date of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officers, directors and the holders of substantially all of our capital stock, options and warrants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Jefferies LLC, Credit Suisse Securities (USA) LLC and Piper Sandler &amp; Co. See the section titled “Underwriting” for additional information.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shares that does not exceed the greater of the following:</w:t>
      </w:r>
    </w:p>
    <w:p>
      <w:pPr>
        <w:spacing w:after="0" w:line="183" w:lineRule="exact"/>
        <w:rPr>
          <w:sz w:val="20"/>
          <w:szCs w:val="20"/>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1% of the number of shares of our capital stock then outstanding, which will equal shares immediately after the completion of this</w:t>
      </w:r>
    </w:p>
    <w:tbl>
      <w:tblPr>
        <w:tblLayout w:type="fixed"/>
        <w:tblInd w:w="980" w:type="dxa"/>
        <w:tblCellMar>
          <w:top w:w="0" w:type="dxa"/>
          <w:left w:w="0" w:type="dxa"/>
          <w:bottom w:w="0" w:type="dxa"/>
          <w:right w:w="0" w:type="dxa"/>
        </w:tblCellMar>
      </w:tblPr>
      <w:tr>
        <w:trPr>
          <w:trHeight w:val="205"/>
        </w:trPr>
        <w:tc>
          <w:tcPr>
            <w:tcW w:w="8880" w:type="dxa"/>
            <w:vAlign w:val="bottom"/>
          </w:tcPr>
          <w:p>
            <w:pPr>
              <w:spacing w:after="0"/>
              <w:rPr>
                <w:sz w:val="20"/>
                <w:szCs w:val="20"/>
                <w:color w:val="auto"/>
              </w:rPr>
            </w:pPr>
            <w:r>
              <w:rPr>
                <w:rFonts w:ascii="Arial" w:cs="Arial" w:eastAsia="Arial" w:hAnsi="Arial"/>
                <w:sz w:val="17"/>
                <w:szCs w:val="17"/>
                <w:color w:val="auto"/>
              </w:rPr>
              <w:t>offering, assuming no exercise by the underwriters of their option to purchase additional shares (calculated as of</w:t>
            </w:r>
          </w:p>
        </w:tc>
        <w:tc>
          <w:tcPr>
            <w:tcW w:w="1180" w:type="dxa"/>
            <w:vAlign w:val="bottom"/>
          </w:tcPr>
          <w:p>
            <w:pPr>
              <w:ind w:left="400"/>
              <w:spacing w:after="0"/>
              <w:rPr>
                <w:sz w:val="20"/>
                <w:szCs w:val="20"/>
                <w:color w:val="auto"/>
              </w:rPr>
            </w:pPr>
            <w:r>
              <w:rPr>
                <w:rFonts w:ascii="Arial" w:cs="Arial" w:eastAsia="Arial" w:hAnsi="Arial"/>
                <w:sz w:val="17"/>
                <w:szCs w:val="17"/>
                <w:color w:val="auto"/>
                <w:w w:val="98"/>
              </w:rPr>
              <w:t>, 2020); or</w:t>
            </w:r>
          </w:p>
        </w:tc>
      </w:tr>
    </w:tbl>
    <w:p>
      <w:pPr>
        <w:spacing w:after="0" w:line="25" w:lineRule="exact"/>
        <w:rPr>
          <w:sz w:val="20"/>
          <w:szCs w:val="20"/>
          <w:color w:val="auto"/>
        </w:rPr>
      </w:pPr>
    </w:p>
    <w:p>
      <w:pPr>
        <w:ind w:left="980" w:right="140" w:hanging="432"/>
        <w:spacing w:after="0" w:line="243" w:lineRule="auto"/>
        <w:tabs>
          <w:tab w:leader="none" w:pos="98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such sale.</w:t>
      </w:r>
    </w:p>
    <w:p>
      <w:pPr>
        <w:spacing w:after="0" w:line="14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w:t>
      </w:r>
    </w:p>
    <w:p>
      <w:pPr>
        <w:jc w:val="both"/>
        <w:ind w:left="120"/>
        <w:spacing w:after="0" w:line="243" w:lineRule="auto"/>
        <w:rPr>
          <w:sz w:val="20"/>
          <w:szCs w:val="20"/>
          <w:color w:val="auto"/>
        </w:rPr>
      </w:pPr>
      <w:r>
        <w:rPr>
          <w:rFonts w:ascii="Arial" w:cs="Arial" w:eastAsia="Arial" w:hAnsi="Arial"/>
          <w:sz w:val="17"/>
          <w:szCs w:val="17"/>
          <w:color w:val="auto"/>
        </w:rPr>
        <w:t>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After the completion of this offering, the holders of up to 143,882,738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 Registration Rights” for a description of these registration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Plans</w:t>
      </w:r>
    </w:p>
    <w:p>
      <w:pPr>
        <w:spacing w:after="0" w:line="80"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After the completion of this offering, we intend to file with the Securities and Exchange Commission a registration statement on Form S-8 under the Securities Act to register all of the shares of our common stock subject to equity awards outstanding or reserved for issuance under our equity compensation plans. Such registration statement is expected to be filed and become effective as soon as practicable after the completion of this offering. The shares of our common stock covered by such registration statement will be eligible for sale in the public market without restriction under the Securities Act immediately upon the effectiveness of such registration statement, subject to vesting restrictions, the conditions of</w:t>
      </w:r>
    </w:p>
    <w:p>
      <w:pPr>
        <w:ind w:left="120" w:right="540"/>
        <w:spacing w:after="0" w:line="243" w:lineRule="auto"/>
        <w:rPr>
          <w:sz w:val="20"/>
          <w:szCs w:val="20"/>
          <w:color w:val="auto"/>
        </w:rPr>
      </w:pPr>
      <w:r>
        <w:rPr>
          <w:rFonts w:ascii="Arial" w:cs="Arial" w:eastAsia="Arial" w:hAnsi="Arial"/>
          <w:sz w:val="17"/>
          <w:szCs w:val="17"/>
          <w:color w:val="auto"/>
        </w:rPr>
        <w:t>Rule 144 applicable to affiliates and any applicable market stand-off agreements and lock-up agreements. See the section titled “Executive Compensation—Employee Benefit and Stock Plans” for a description of our equity compensation plans.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MATERIAL U.S. FEDERAL INCOME AND TAX CONSIDERATIONS FOR NON-U.S. HOLDERS OF OUR COMMON STOCK</w:t>
      </w:r>
    </w:p>
    <w:p>
      <w:pPr>
        <w:spacing w:after="0" w:line="33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90" w:lineRule="exact"/>
        <w:rPr>
          <w:sz w:val="20"/>
          <w:szCs w:val="20"/>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tax-exempt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pension plans and tax-qualified retirement plans;</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entities or arrangements classified as partnerships for U.S. federal income tax purposes or other pass through entities such as subchapter S corporations (or investors in such entities or arrangements);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brokers or dealers in securities or currencies;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who hold or receive our common stock pursuant to the exercise of any option or otherwise as compensation;</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who do not hold our common stock as a capital asset within the meaning of Section 1221 of the Code (generally, property held for investment)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persons deemed to sell our common stock under the constructive sale provisions of the Code.</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addition, if a partnership (or other entity or arrangement classified as a partnership for U.S. federal income tax purposes) holds our common stock, the tax treatment of a partner in the partnership generally will depend on the status of the partner and upon the activities of the partnership. A partner in a partnership that will hold our common stock should consult his, her or its own tax advisor regarding the tax considerations of the purchase, ownership and disposition of our common stock through a partnership.</w:t>
      </w:r>
    </w:p>
    <w:p>
      <w:pPr>
        <w:spacing w:after="0" w:line="12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state, local, non-U.S. or other taxing jurisdiction or under any applicable tax treaty.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93"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neither a partnership nor:</w:t>
      </w:r>
    </w:p>
    <w:p>
      <w:pPr>
        <w:spacing w:after="0" w:line="185" w:lineRule="exact"/>
        <w:rPr>
          <w:sz w:val="20"/>
          <w:szCs w:val="20"/>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U.S. federal income tax regardless of its source; or</w:t>
      </w:r>
    </w:p>
    <w:p>
      <w:pPr>
        <w:spacing w:after="0" w:line="34" w:lineRule="exact"/>
        <w:rPr>
          <w:rFonts w:ascii="MS PGothic" w:cs="MS PGothic" w:eastAsia="MS PGothic" w:hAnsi="MS PGothic"/>
          <w:sz w:val="13"/>
          <w:szCs w:val="13"/>
          <w:color w:val="auto"/>
        </w:rPr>
      </w:pPr>
    </w:p>
    <w:p>
      <w:pPr>
        <w:jc w:val="both"/>
        <w:ind w:left="980" w:right="20" w:hanging="432"/>
        <w:spacing w:after="0" w:line="238" w:lineRule="auto"/>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common stock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the application of any applicable tax treaties that may provide for different rules.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93"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Subject to the discussions below regarding backup withholding and FATCA withholding, you generally will not be required to pay U.S. federal income tax on any gain realized upon the sale or other disposition of our common stock unless:</w:t>
      </w:r>
    </w:p>
    <w:p>
      <w:pPr>
        <w:spacing w:after="0" w:line="185" w:lineRule="exact"/>
        <w:rPr>
          <w:sz w:val="20"/>
          <w:szCs w:val="20"/>
          <w:color w:val="auto"/>
        </w:rPr>
      </w:pPr>
    </w:p>
    <w:p>
      <w:pPr>
        <w:ind w:left="980" w:right="4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22" w:lineRule="exact"/>
        <w:rPr>
          <w:rFonts w:ascii="MS PGothic" w:cs="MS PGothic" w:eastAsia="MS PGothic" w:hAnsi="MS PGothic"/>
          <w:sz w:val="13"/>
          <w:szCs w:val="13"/>
          <w:color w:val="auto"/>
        </w:rPr>
      </w:pPr>
    </w:p>
    <w:p>
      <w:pPr>
        <w:jc w:val="both"/>
        <w:ind w:left="980" w:right="140" w:hanging="432"/>
        <w:spacing w:after="0" w:line="238"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our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common stock.</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0"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7"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5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80"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the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withholding obligations under FATCA generally apply to dividends on our common stock and to the payment of gross proceeds of a sale or other disposition of our common stock. However, the U.S. Treasury Department has issued proposed regulations that, if finalized in their present form, would eliminate FATCA withholding on gross proceeds of the sale or other disposition of our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2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common stock, including the consequences of any proposed change in applicable laws.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Subject to the terms and conditions set forth in the underwriting agreement, dated , 2020, between us and Jefferies LLC, Credit Suisse Securities (USA) LLC, Piper Sandler &amp; Co.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820" w:type="dxa"/>
            <w:vAlign w:val="bottom"/>
            <w:vMerge w:val="restart"/>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9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Jefferies LLC</w:t>
            </w: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Credit Suisse Securities (USA) LLC</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Piper Sandler &amp; Co.</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900" w:type="dxa"/>
            <w:vAlign w:val="bottom"/>
            <w:gridSpan w:val="2"/>
          </w:tcPr>
          <w:p>
            <w:pPr>
              <w:spacing w:after="0" w:line="183" w:lineRule="exact"/>
              <w:rPr>
                <w:sz w:val="20"/>
                <w:szCs w:val="20"/>
                <w:color w:val="auto"/>
              </w:rPr>
            </w:pPr>
            <w:r>
              <w:rPr>
                <w:rFonts w:ascii="Arial" w:cs="Arial" w:eastAsia="Arial" w:hAnsi="Arial"/>
                <w:sz w:val="17"/>
                <w:szCs w:val="17"/>
                <w:color w:val="auto"/>
              </w:rPr>
              <w:t>Cantor Fitzgerald &amp; Co.</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7"/>
                <w:szCs w:val="17"/>
                <w:color w:val="auto"/>
              </w:rPr>
              <w:t>LifeSci Capital LLC</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80"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w:t>
      </w:r>
    </w:p>
    <w:p>
      <w:pPr>
        <w:ind w:left="820" w:hanging="704"/>
        <w:spacing w:after="0" w:line="232" w:lineRule="auto"/>
        <w:tabs>
          <w:tab w:leader="none" w:pos="82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per share of common stock. The underwriters may allow, and certain dealers may reallow, a discount from the concession not in excess</w:t>
      </w:r>
    </w:p>
    <w:p>
      <w:pPr>
        <w:ind w:left="120" w:right="20"/>
        <w:spacing w:after="0" w:line="238" w:lineRule="auto"/>
        <w:rPr>
          <w:sz w:val="20"/>
          <w:szCs w:val="20"/>
          <w:color w:val="auto"/>
        </w:rPr>
      </w:pPr>
      <w:r>
        <w:rPr>
          <w:rFonts w:ascii="Arial" w:cs="Arial" w:eastAsia="Arial" w:hAnsi="Arial"/>
          <w:sz w:val="17"/>
          <w:szCs w:val="17"/>
          <w:color w:val="auto"/>
        </w:rPr>
        <w:t>of $ 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2200" w:type="dxa"/>
            <w:vAlign w:val="bottom"/>
            <w:gridSpan w:val="3"/>
          </w:tcPr>
          <w:p>
            <w:pPr>
              <w:jc w:val="right"/>
              <w:ind w:right="607"/>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5"/>
                <w:szCs w:val="15"/>
                <w:color w:val="auto"/>
              </w:rPr>
            </w:pPr>
          </w:p>
        </w:tc>
        <w:tc>
          <w:tcPr>
            <w:tcW w:w="2280" w:type="dxa"/>
            <w:vAlign w:val="bottom"/>
            <w:gridSpan w:val="4"/>
          </w:tcPr>
          <w:p>
            <w:pPr>
              <w:ind w:left="880"/>
              <w:spacing w:after="0"/>
              <w:rPr>
                <w:sz w:val="20"/>
                <w:szCs w:val="20"/>
                <w:color w:val="auto"/>
              </w:rPr>
            </w:pPr>
            <w:r>
              <w:rPr>
                <w:rFonts w:ascii="Arial" w:cs="Arial" w:eastAsia="Arial" w:hAnsi="Arial"/>
                <w:sz w:val="14"/>
                <w:szCs w:val="14"/>
                <w:b w:val="1"/>
                <w:bCs w:val="1"/>
                <w:color w:val="auto"/>
              </w:rPr>
              <w:t>TOTAL</w:t>
            </w:r>
          </w:p>
        </w:tc>
      </w:tr>
      <w:tr>
        <w:trPr>
          <w:trHeight w:val="142"/>
        </w:trPr>
        <w:tc>
          <w:tcPr>
            <w:tcW w:w="608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WITHOUT</w:t>
            </w: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46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WITHOUT</w:t>
            </w: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 TO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 TO</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PURCHASE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PURCHASE</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608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SHARES</w:t>
            </w:r>
          </w:p>
        </w:tc>
      </w:tr>
      <w:tr>
        <w:trPr>
          <w:trHeight w:val="183"/>
        </w:trPr>
        <w:tc>
          <w:tcPr>
            <w:tcW w:w="60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3"/>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6"/>
                <w:szCs w:val="16"/>
                <w:color w:val="auto"/>
              </w:rPr>
            </w:pP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900" w:type="dxa"/>
            <w:vAlign w:val="bottom"/>
          </w:tcPr>
          <w:p>
            <w:pPr>
              <w:jc w:val="right"/>
              <w:ind w:right="72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6"/>
                <w:szCs w:val="16"/>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w:t>
      </w:r>
    </w:p>
    <w:p>
      <w:pPr>
        <w:ind w:left="120" w:right="280"/>
        <w:spacing w:after="0"/>
        <w:rPr>
          <w:sz w:val="20"/>
          <w:szCs w:val="20"/>
          <w:color w:val="auto"/>
        </w:rPr>
      </w:pPr>
      <w:r>
        <w:rPr>
          <w:rFonts w:ascii="Arial" w:cs="Arial" w:eastAsia="Arial" w:hAnsi="Arial"/>
          <w:sz w:val="17"/>
          <w:szCs w:val="17"/>
          <w:color w:val="auto"/>
        </w:rPr>
        <w:t>will be approximately $ . We have also agreed to reimburse the underwriters for up to $ for their Financial Industry Regulatory Authority, Inc., or FINRA, counsel fee. In accordance with FINRA Rule 5110, this reimbursed fee is deemed underwriting compensation for this offering.</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applied to list our common stock on the Nasdaq Global Select Market under the symbol “ALXO.”</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w:t>
      </w:r>
    </w:p>
    <w:p>
      <w:pPr>
        <w:ind w:left="120" w:right="360"/>
        <w:spacing w:after="0"/>
        <w:rPr>
          <w:sz w:val="20"/>
          <w:szCs w:val="20"/>
          <w:color w:val="auto"/>
        </w:rPr>
      </w:pPr>
      <w:r>
        <w:rPr>
          <w:rFonts w:ascii="Arial" w:cs="Arial" w:eastAsia="Arial" w:hAnsi="Arial"/>
          <w:sz w:val="17"/>
          <w:szCs w:val="17"/>
          <w:color w:val="auto"/>
        </w:rPr>
        <w:t>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8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our officers, directors and holders of substantially all our outstanding capital stock have agreed, subject to specified exceptions, not to directly or indirectly:</w:t>
      </w:r>
    </w:p>
    <w:p>
      <w:pPr>
        <w:spacing w:after="0" w:line="185" w:lineRule="exact"/>
        <w:rPr>
          <w:sz w:val="20"/>
          <w:szCs w:val="20"/>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sell, offer to sell, contract to sell or lend any of our securities,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effect any short sale, or establish or increase any “put equivalent position” (as defined in Rule 16a-1(h) under the Exchange Act) or liquidate or decrease any “call equivalent position” (as defined in Rule 16a-1(b) under the Exchange Act) of any of our securities,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pledge, hypothecate or grant any security interest in any of our securities,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in any other way transfer or dispose of our securities,</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enter into any swap, hedge or similar arrangement or agreement that transfers, in whole or in part, the economic risk of ownership of any of our securities, regardless of whether any such transaction is to be settled in securities, in cash or otherwise,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announce the offering of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submit or file any registration statement under the Securities Act in respect of any of our securities,</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effect a reverse stock split, recapitalization, share consolidation, reclassification or similar transaction affecting our outstanding common stock or</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Credit Suisse Securities (USA) LLC and Piper Sandler &amp; Co.</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Jefferies LLC, Credit Suisse Securities (USA) LLC and Piper Sandler &amp; Co.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080"/>
          </w:cols>
          <w:pgMar w:left="320" w:top="459" w:right="4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7"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Economic Area and the United Kingdom</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90" w:lineRule="exact"/>
        <w:rPr>
          <w:sz w:val="20"/>
          <w:szCs w:val="20"/>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under the Prospectus Regulation;</w:t>
      </w:r>
    </w:p>
    <w:p>
      <w:pPr>
        <w:spacing w:after="0" w:line="34"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4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51"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Canada</w:t>
      </w:r>
    </w:p>
    <w:p>
      <w:pPr>
        <w:spacing w:after="0" w:line="29" w:lineRule="exact"/>
        <w:rPr>
          <w:sz w:val="20"/>
          <w:szCs w:val="20"/>
          <w:color w:val="auto"/>
        </w:rPr>
      </w:pPr>
    </w:p>
    <w:p>
      <w:pPr>
        <w:ind w:left="400" w:hanging="284"/>
        <w:spacing w:after="0"/>
        <w:tabs>
          <w:tab w:leader="none" w:pos="4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Resale Restrictions</w:t>
      </w:r>
    </w:p>
    <w:p>
      <w:pPr>
        <w:spacing w:after="0" w:line="4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00" w:hanging="284"/>
        <w:spacing w:after="0"/>
        <w:tabs>
          <w:tab w:leader="none" w:pos="4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Representations of Canadian Purchasers</w:t>
      </w:r>
    </w:p>
    <w:p>
      <w:pPr>
        <w:spacing w:after="0" w:line="52"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980" w:right="20" w:hanging="432"/>
        <w:spacing w:after="0" w:line="238" w:lineRule="auto"/>
        <w:tabs>
          <w:tab w:leader="none" w:pos="980" w:val="left"/>
        </w:tabs>
        <w:numPr>
          <w:ilvl w:val="1"/>
          <w:numId w:val="108"/>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spacing w:after="0" w:line="25"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1"/>
          <w:numId w:val="108"/>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1"/>
          <w:numId w:val="108"/>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1"/>
          <w:numId w:val="108"/>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43" w:lineRule="exact"/>
        <w:rPr>
          <w:rFonts w:ascii="MS PGothic" w:cs="MS PGothic" w:eastAsia="MS PGothic" w:hAnsi="MS PGothic"/>
          <w:sz w:val="13"/>
          <w:szCs w:val="13"/>
          <w:color w:val="auto"/>
        </w:rPr>
      </w:pPr>
    </w:p>
    <w:p>
      <w:pPr>
        <w:ind w:left="400" w:hanging="284"/>
        <w:spacing w:after="0"/>
        <w:tabs>
          <w:tab w:leader="none" w:pos="4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Conflicts of Interest</w:t>
      </w:r>
    </w:p>
    <w:p>
      <w:pPr>
        <w:spacing w:after="0" w:line="52" w:lineRule="exact"/>
        <w:rPr>
          <w:sz w:val="20"/>
          <w:szCs w:val="20"/>
          <w:color w:val="auto"/>
        </w:rPr>
      </w:pPr>
    </w:p>
    <w:p>
      <w:pPr>
        <w:jc w:val="both"/>
        <w:ind w:left="120" w:right="40"/>
        <w:spacing w:after="0" w:line="243" w:lineRule="auto"/>
        <w:rPr>
          <w:sz w:val="20"/>
          <w:szCs w:val="20"/>
          <w:color w:val="auto"/>
        </w:rPr>
      </w:pPr>
      <w:r>
        <w:rPr>
          <w:rFonts w:ascii="Arial" w:cs="Arial" w:eastAsia="Arial" w:hAnsi="Arial"/>
          <w:sz w:val="17"/>
          <w:szCs w:val="17"/>
          <w:color w:val="auto"/>
        </w:rPr>
        <w:t>Canadian purchasers are hereby notified that each of shares of our the underwriters are relying on the exemption set out in section 3A.3 or 3A.4, if applicable, of National Instrument 33-105 – Underwriting Conflicts from having to provide certain conflict of interest disclosure in this document.</w:t>
      </w:r>
    </w:p>
    <w:p>
      <w:pPr>
        <w:spacing w:after="0" w:line="32" w:lineRule="exact"/>
        <w:rPr>
          <w:sz w:val="20"/>
          <w:szCs w:val="20"/>
          <w:color w:val="auto"/>
        </w:rPr>
      </w:pPr>
    </w:p>
    <w:p>
      <w:pPr>
        <w:ind w:left="400" w:hanging="284"/>
        <w:spacing w:after="0"/>
        <w:tabs>
          <w:tab w:leader="none" w:pos="400" w:val="left"/>
        </w:tabs>
        <w:numPr>
          <w:ilvl w:val="0"/>
          <w:numId w:val="109"/>
        </w:numPr>
        <w:rPr>
          <w:rFonts w:ascii="Arial" w:cs="Arial" w:eastAsia="Arial" w:hAnsi="Arial"/>
          <w:sz w:val="17"/>
          <w:szCs w:val="17"/>
          <w:color w:val="auto"/>
        </w:rPr>
      </w:pPr>
      <w:r>
        <w:rPr>
          <w:rFonts w:ascii="Arial" w:cs="Arial" w:eastAsia="Arial" w:hAnsi="Arial"/>
          <w:sz w:val="17"/>
          <w:szCs w:val="17"/>
          <w:i w:val="1"/>
          <w:iCs w:val="1"/>
          <w:color w:val="auto"/>
        </w:rPr>
        <w:t>Statutory Rights of Action</w:t>
      </w:r>
    </w:p>
    <w:p>
      <w:pPr>
        <w:spacing w:after="0" w:line="52"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37" w:lineRule="exact"/>
        <w:rPr>
          <w:sz w:val="20"/>
          <w:szCs w:val="20"/>
          <w:color w:val="auto"/>
        </w:rPr>
      </w:pPr>
    </w:p>
    <w:p>
      <w:pPr>
        <w:ind w:left="400" w:hanging="284"/>
        <w:spacing w:after="0"/>
        <w:tabs>
          <w:tab w:leader="none" w:pos="4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Enforcement of Legal Rights</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37" w:lineRule="exact"/>
        <w:rPr>
          <w:sz w:val="20"/>
          <w:szCs w:val="20"/>
          <w:color w:val="auto"/>
        </w:rPr>
      </w:pPr>
    </w:p>
    <w:p>
      <w:pPr>
        <w:ind w:left="380" w:hanging="264"/>
        <w:spacing w:after="0"/>
        <w:tabs>
          <w:tab w:leader="none" w:pos="38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Taxation and Eligibility for Investment</w:t>
      </w:r>
    </w:p>
    <w:p>
      <w:pPr>
        <w:spacing w:after="0" w:line="52"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080"/>
          </w:cols>
          <w:pgMar w:left="320" w:top="459"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56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SFO and any rules made under that Ordinance.</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275, of the SFA, or (iii) otherwise pursuant to, and in accordance with the conditions of, any other applicable provision of the SFA.</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96" w:lineRule="exact"/>
        <w:rPr>
          <w:sz w:val="20"/>
          <w:szCs w:val="20"/>
          <w:color w:val="auto"/>
        </w:rPr>
      </w:pPr>
    </w:p>
    <w:p>
      <w:pPr>
        <w:ind w:left="980" w:right="320" w:hanging="432"/>
        <w:spacing w:after="0" w:line="243" w:lineRule="auto"/>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4"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88" w:lineRule="exact"/>
        <w:rPr>
          <w:sz w:val="20"/>
          <w:szCs w:val="20"/>
          <w:color w:val="auto"/>
        </w:rPr>
      </w:pPr>
    </w:p>
    <w:p>
      <w:pPr>
        <w:ind w:left="980" w:right="60" w:hanging="432"/>
        <w:spacing w:after="0" w:line="243"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as specified in Section 276(7) of the SFA; or</w:t>
      </w:r>
    </w:p>
    <w:p>
      <w:pPr>
        <w:spacing w:after="0" w:line="34" w:lineRule="exact"/>
        <w:rPr>
          <w:rFonts w:ascii="MS PGothic" w:cs="MS PGothic" w:eastAsia="MS PGothic" w:hAnsi="MS PGothic"/>
          <w:sz w:val="13"/>
          <w:szCs w:val="13"/>
          <w:color w:val="auto"/>
        </w:rPr>
      </w:pPr>
    </w:p>
    <w:p>
      <w:pPr>
        <w:ind w:left="980" w:right="340" w:hanging="432"/>
        <w:spacing w:after="0" w:line="243"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060"/>
          </w:cols>
          <w:pgMar w:left="320" w:top="459" w:right="5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Cooley LLP, San Francisco, California, is representing the underwriters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consolidated financial statements of ALX Oncology Limited as of December 31, 2018 and 2019, and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47"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financial statement of ALX Oncology Holdings Inc. as of April 1, 2020 (inception), has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5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When we complete this offering, we will be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Balance Sheet as of April 1, 2020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540" w:type="dxa"/>
            <w:vAlign w:val="bottom"/>
          </w:tcPr>
          <w:p>
            <w:pPr>
              <w:spacing w:after="0"/>
              <w:rPr>
                <w:rFonts w:ascii="Arial" w:cs="Arial" w:eastAsia="Arial" w:hAnsi="Arial"/>
                <w:sz w:val="17"/>
                <w:szCs w:val="17"/>
                <w:u w:val="single" w:color="auto"/>
                <w:color w:val="0000EE"/>
              </w:rPr>
            </w:pPr>
            <w:hyperlink w:anchor="page168">
              <w:r>
                <w:rPr>
                  <w:rFonts w:ascii="Arial" w:cs="Arial" w:eastAsia="Arial" w:hAnsi="Arial"/>
                  <w:sz w:val="17"/>
                  <w:szCs w:val="17"/>
                  <w:u w:val="single" w:color="auto"/>
                  <w:color w:val="0000EE"/>
                </w:rPr>
                <w:t>Report of Independent Registered Public Accounting Firm</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F-2</w:t>
            </w:r>
          </w:p>
        </w:tc>
      </w:tr>
      <w:tr>
        <w:trPr>
          <w:trHeight w:val="189"/>
        </w:trPr>
        <w:tc>
          <w:tcPr>
            <w:tcW w:w="7540" w:type="dxa"/>
            <w:vAlign w:val="bottom"/>
          </w:tcPr>
          <w:p>
            <w:pPr>
              <w:spacing w:after="0" w:line="189" w:lineRule="exact"/>
              <w:rPr>
                <w:rFonts w:ascii="Arial" w:cs="Arial" w:eastAsia="Arial" w:hAnsi="Arial"/>
                <w:sz w:val="17"/>
                <w:szCs w:val="17"/>
                <w:u w:val="single" w:color="auto"/>
                <w:color w:val="0000EE"/>
              </w:rPr>
            </w:pPr>
            <w:hyperlink w:anchor="page169">
              <w:r>
                <w:rPr>
                  <w:rFonts w:ascii="Arial" w:cs="Arial" w:eastAsia="Arial" w:hAnsi="Arial"/>
                  <w:sz w:val="17"/>
                  <w:szCs w:val="17"/>
                  <w:u w:val="single" w:color="auto"/>
                  <w:color w:val="0000EE"/>
                </w:rPr>
                <w:t>Balance Sheet</w:t>
              </w:r>
            </w:hyperlink>
          </w:p>
        </w:tc>
        <w:tc>
          <w:tcPr>
            <w:tcW w:w="3480" w:type="dxa"/>
            <w:vAlign w:val="bottom"/>
          </w:tcPr>
          <w:p>
            <w:pPr>
              <w:ind w:left="3160"/>
              <w:spacing w:after="0" w:line="189" w:lineRule="exact"/>
              <w:rPr>
                <w:sz w:val="20"/>
                <w:szCs w:val="20"/>
                <w:color w:val="auto"/>
              </w:rPr>
            </w:pPr>
            <w:r>
              <w:rPr>
                <w:rFonts w:ascii="Arial" w:cs="Arial" w:eastAsia="Arial" w:hAnsi="Arial"/>
                <w:sz w:val="17"/>
                <w:szCs w:val="17"/>
                <w:color w:val="auto"/>
              </w:rPr>
              <w:t>F-3</w:t>
            </w:r>
          </w:p>
        </w:tc>
      </w:tr>
      <w:tr>
        <w:trPr>
          <w:trHeight w:val="205"/>
        </w:trPr>
        <w:tc>
          <w:tcPr>
            <w:tcW w:w="7540" w:type="dxa"/>
            <w:vAlign w:val="bottom"/>
          </w:tcPr>
          <w:p>
            <w:pPr>
              <w:spacing w:after="0"/>
              <w:rPr>
                <w:rFonts w:ascii="Arial" w:cs="Arial" w:eastAsia="Arial" w:hAnsi="Arial"/>
                <w:sz w:val="17"/>
                <w:szCs w:val="17"/>
                <w:u w:val="single" w:color="auto"/>
                <w:color w:val="0000EE"/>
              </w:rPr>
            </w:pPr>
            <w:hyperlink w:anchor="page170">
              <w:r>
                <w:rPr>
                  <w:rFonts w:ascii="Arial" w:cs="Arial" w:eastAsia="Arial" w:hAnsi="Arial"/>
                  <w:sz w:val="17"/>
                  <w:szCs w:val="17"/>
                  <w:u w:val="single" w:color="auto"/>
                  <w:color w:val="0000EE"/>
                </w:rPr>
                <w:t>Notes to Balance Sheet</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F-4</w:t>
            </w:r>
          </w:p>
        </w:tc>
      </w:tr>
      <w:tr>
        <w:trPr>
          <w:trHeight w:val="207"/>
        </w:trPr>
        <w:tc>
          <w:tcPr>
            <w:tcW w:w="75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80" w:type="dxa"/>
            <w:vAlign w:val="bottom"/>
          </w:tcPr>
          <w:p>
            <w:pPr>
              <w:spacing w:after="0"/>
              <w:rPr>
                <w:rFonts w:ascii="Arial" w:cs="Arial" w:eastAsia="Arial" w:hAnsi="Arial"/>
                <w:sz w:val="17"/>
                <w:szCs w:val="17"/>
                <w:u w:val="single" w:color="auto"/>
                <w:color w:val="0000EE"/>
              </w:rPr>
            </w:pPr>
            <w:hyperlink w:anchor="page171">
              <w:r>
                <w:rPr>
                  <w:rFonts w:ascii="Arial" w:cs="Arial" w:eastAsia="Arial" w:hAnsi="Arial"/>
                  <w:sz w:val="17"/>
                  <w:szCs w:val="17"/>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Consolidated Financial Statements:</w:t>
            </w:r>
          </w:p>
        </w:tc>
        <w:tc>
          <w:tcPr>
            <w:tcW w:w="640" w:type="dxa"/>
            <w:vAlign w:val="bottom"/>
          </w:tcPr>
          <w:p>
            <w:pPr>
              <w:spacing w:after="0"/>
              <w:rPr>
                <w:sz w:val="16"/>
                <w:szCs w:val="16"/>
                <w:color w:val="auto"/>
              </w:rPr>
            </w:pP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72">
              <w:r>
                <w:rPr>
                  <w:rFonts w:ascii="Arial" w:cs="Arial" w:eastAsia="Arial" w:hAnsi="Arial"/>
                  <w:sz w:val="17"/>
                  <w:szCs w:val="17"/>
                  <w:u w:val="single" w:color="auto"/>
                  <w:color w:val="0000EE"/>
                </w:rPr>
                <w:t>Consolidated Balance Sheets as of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73">
              <w:r>
                <w:rPr>
                  <w:rFonts w:ascii="Arial" w:cs="Arial" w:eastAsia="Arial" w:hAnsi="Arial"/>
                  <w:sz w:val="17"/>
                  <w:szCs w:val="17"/>
                  <w:u w:val="single" w:color="auto"/>
                  <w:color w:val="0000EE"/>
                </w:rPr>
                <w:t>Consolidated Statements of Operations and Comprehensive Loss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F-7</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74">
              <w:r>
                <w:rPr>
                  <w:rFonts w:ascii="Arial" w:cs="Arial" w:eastAsia="Arial" w:hAnsi="Arial"/>
                  <w:sz w:val="17"/>
                  <w:szCs w:val="17"/>
                  <w:u w:val="single" w:color="auto"/>
                  <w:color w:val="0000EE"/>
                </w:rPr>
                <w:t>Consolidated Statements of Convertible Preferred Shares and Shareholders’ Deficit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F-8</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Consolidated Statements of Cash Flows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F-9</w:t>
            </w:r>
          </w:p>
        </w:tc>
      </w:tr>
      <w:tr>
        <w:trPr>
          <w:trHeight w:val="205"/>
        </w:trPr>
        <w:tc>
          <w:tcPr>
            <w:tcW w:w="10380" w:type="dxa"/>
            <w:vAlign w:val="bottom"/>
          </w:tcPr>
          <w:p>
            <w:pPr>
              <w:spacing w:after="0"/>
              <w:rPr>
                <w:rFonts w:ascii="Arial" w:cs="Arial" w:eastAsia="Arial" w:hAnsi="Arial"/>
                <w:sz w:val="17"/>
                <w:szCs w:val="17"/>
                <w:u w:val="single" w:color="auto"/>
                <w:color w:val="0000EE"/>
              </w:rPr>
            </w:pPr>
            <w:hyperlink w:anchor="page176">
              <w:r>
                <w:rPr>
                  <w:rFonts w:ascii="Arial" w:cs="Arial" w:eastAsia="Arial" w:hAnsi="Arial"/>
                  <w:sz w:val="17"/>
                  <w:szCs w:val="17"/>
                  <w:u w:val="single" w:color="auto"/>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07"/>
        </w:trPr>
        <w:tc>
          <w:tcPr>
            <w:tcW w:w="10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60" w:type="dxa"/>
            <w:vAlign w:val="bottom"/>
            <w:gridSpan w:val="4"/>
          </w:tcPr>
          <w:p>
            <w:pPr>
              <w:spacing w:after="0"/>
              <w:rPr>
                <w:rFonts w:ascii="Arial" w:cs="Arial" w:eastAsia="Arial" w:hAnsi="Arial"/>
                <w:sz w:val="17"/>
                <w:szCs w:val="17"/>
                <w:u w:val="single" w:color="auto"/>
                <w:color w:val="0000EE"/>
              </w:rPr>
            </w:pPr>
            <w:hyperlink w:anchor="page200">
              <w:r>
                <w:rPr>
                  <w:rFonts w:ascii="Arial" w:cs="Arial" w:eastAsia="Arial" w:hAnsi="Arial"/>
                  <w:sz w:val="17"/>
                  <w:szCs w:val="17"/>
                  <w:u w:val="single" w:color="auto"/>
                  <w:color w:val="0000EE"/>
                </w:rPr>
                <w:t>Condensed Consolidated Balance Sheets as of December 31, 2019 and March 31, 2020</w:t>
              </w:r>
            </w:hyperlink>
          </w:p>
        </w:tc>
        <w:tc>
          <w:tcPr>
            <w:tcW w:w="660" w:type="dxa"/>
            <w:vAlign w:val="bottom"/>
          </w:tcPr>
          <w:p>
            <w:pPr>
              <w:ind w:left="240"/>
              <w:spacing w:after="0"/>
              <w:rPr>
                <w:sz w:val="20"/>
                <w:szCs w:val="20"/>
                <w:color w:val="auto"/>
              </w:rPr>
            </w:pPr>
            <w:r>
              <w:rPr>
                <w:rFonts w:ascii="Arial" w:cs="Arial" w:eastAsia="Arial" w:hAnsi="Arial"/>
                <w:sz w:val="17"/>
                <w:szCs w:val="17"/>
                <w:color w:val="auto"/>
              </w:rPr>
              <w:t>F-34</w:t>
            </w:r>
          </w:p>
        </w:tc>
        <w:tc>
          <w:tcPr>
            <w:tcW w:w="0" w:type="dxa"/>
            <w:vAlign w:val="bottom"/>
          </w:tcPr>
          <w:p>
            <w:pPr>
              <w:spacing w:after="0"/>
              <w:rPr>
                <w:sz w:val="1"/>
                <w:szCs w:val="1"/>
                <w:color w:val="auto"/>
              </w:rPr>
            </w:pPr>
          </w:p>
        </w:tc>
      </w:tr>
      <w:tr>
        <w:trPr>
          <w:trHeight w:val="189"/>
        </w:trPr>
        <w:tc>
          <w:tcPr>
            <w:tcW w:w="10360" w:type="dxa"/>
            <w:vAlign w:val="bottom"/>
            <w:gridSpan w:val="4"/>
          </w:tcPr>
          <w:p>
            <w:pPr>
              <w:spacing w:after="0" w:line="189" w:lineRule="exact"/>
              <w:rPr>
                <w:rFonts w:ascii="Arial" w:cs="Arial" w:eastAsia="Arial" w:hAnsi="Arial"/>
                <w:sz w:val="17"/>
                <w:szCs w:val="17"/>
                <w:u w:val="single" w:color="auto"/>
                <w:color w:val="0000EE"/>
              </w:rPr>
            </w:pPr>
            <w:hyperlink w:anchor="page202">
              <w:r>
                <w:rPr>
                  <w:rFonts w:ascii="Arial" w:cs="Arial" w:eastAsia="Arial" w:hAnsi="Arial"/>
                  <w:sz w:val="17"/>
                  <w:szCs w:val="17"/>
                  <w:u w:val="single" w:color="auto"/>
                  <w:color w:val="0000EE"/>
                </w:rPr>
                <w:t>Condensed Consolidated Statements of Operations and Comprehensive Loss for the three months ended March 31, 2019 and 2020</w:t>
              </w:r>
            </w:hyperlink>
          </w:p>
        </w:tc>
        <w:tc>
          <w:tcPr>
            <w:tcW w:w="660" w:type="dxa"/>
            <w:vAlign w:val="bottom"/>
          </w:tcPr>
          <w:p>
            <w:pPr>
              <w:ind w:left="240"/>
              <w:spacing w:after="0" w:line="189" w:lineRule="exact"/>
              <w:rPr>
                <w:sz w:val="20"/>
                <w:szCs w:val="20"/>
                <w:color w:val="auto"/>
              </w:rPr>
            </w:pPr>
            <w:r>
              <w:rPr>
                <w:rFonts w:ascii="Arial" w:cs="Arial" w:eastAsia="Arial" w:hAnsi="Arial"/>
                <w:sz w:val="17"/>
                <w:szCs w:val="17"/>
                <w:color w:val="auto"/>
              </w:rPr>
              <w:t>F-36</w:t>
            </w:r>
          </w:p>
        </w:tc>
        <w:tc>
          <w:tcPr>
            <w:tcW w:w="0" w:type="dxa"/>
            <w:vAlign w:val="bottom"/>
          </w:tcPr>
          <w:p>
            <w:pPr>
              <w:spacing w:after="0"/>
              <w:rPr>
                <w:sz w:val="1"/>
                <w:szCs w:val="1"/>
                <w:color w:val="auto"/>
              </w:rPr>
            </w:pPr>
          </w:p>
        </w:tc>
      </w:tr>
      <w:tr>
        <w:trPr>
          <w:trHeight w:val="168"/>
        </w:trPr>
        <w:tc>
          <w:tcPr>
            <w:tcW w:w="10140" w:type="dxa"/>
            <w:vAlign w:val="bottom"/>
            <w:tcBorders>
              <w:bottom w:val="single" w:sz="8" w:color="0000EE"/>
            </w:tcBorders>
            <w:gridSpan w:val="3"/>
          </w:tcPr>
          <w:p>
            <w:pPr>
              <w:spacing w:after="0" w:line="168" w:lineRule="exact"/>
              <w:rPr>
                <w:rFonts w:ascii="Arial" w:cs="Arial" w:eastAsia="Arial" w:hAnsi="Arial"/>
                <w:sz w:val="17"/>
                <w:szCs w:val="17"/>
                <w:color w:val="0000EE"/>
              </w:rPr>
            </w:pPr>
            <w:hyperlink w:anchor="page203">
              <w:r>
                <w:rPr>
                  <w:rFonts w:ascii="Arial" w:cs="Arial" w:eastAsia="Arial" w:hAnsi="Arial"/>
                  <w:sz w:val="17"/>
                  <w:szCs w:val="17"/>
                  <w:color w:val="0000EE"/>
                </w:rPr>
                <w:t>Condensed Consolidated Statements of Convertible Preferred Shares and Shareholders’ Deficit for the three months ended March 31,</w:t>
              </w:r>
            </w:hyperlink>
          </w:p>
        </w:tc>
        <w:tc>
          <w:tcPr>
            <w:tcW w:w="220" w:type="dxa"/>
            <w:vAlign w:val="bottom"/>
          </w:tcPr>
          <w:p>
            <w:pPr>
              <w:spacing w:after="0"/>
              <w:rPr>
                <w:sz w:val="14"/>
                <w:szCs w:val="14"/>
                <w:color w:val="auto"/>
              </w:rPr>
            </w:pPr>
          </w:p>
        </w:tc>
        <w:tc>
          <w:tcPr>
            <w:tcW w:w="660" w:type="dxa"/>
            <w:vAlign w:val="bottom"/>
            <w:vMerge w:val="restart"/>
          </w:tcPr>
          <w:p>
            <w:pPr>
              <w:ind w:left="240"/>
              <w:spacing w:after="0"/>
              <w:rPr>
                <w:sz w:val="20"/>
                <w:szCs w:val="20"/>
                <w:color w:val="auto"/>
              </w:rPr>
            </w:pPr>
            <w:r>
              <w:rPr>
                <w:rFonts w:ascii="Arial" w:cs="Arial" w:eastAsia="Arial" w:hAnsi="Arial"/>
                <w:sz w:val="17"/>
                <w:szCs w:val="17"/>
                <w:color w:val="auto"/>
              </w:rPr>
              <w:t>F-37</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120" w:type="dxa"/>
            <w:vAlign w:val="bottom"/>
            <w:gridSpan w:val="3"/>
          </w:tcPr>
          <w:p>
            <w:pPr>
              <w:spacing w:after="0" w:line="169" w:lineRule="exact"/>
              <w:rPr>
                <w:rFonts w:ascii="Arial" w:cs="Arial" w:eastAsia="Arial" w:hAnsi="Arial"/>
                <w:sz w:val="17"/>
                <w:szCs w:val="17"/>
                <w:color w:val="0000EE"/>
              </w:rPr>
            </w:pPr>
            <w:hyperlink w:anchor="page203">
              <w:r>
                <w:rPr>
                  <w:rFonts w:ascii="Arial" w:cs="Arial" w:eastAsia="Arial" w:hAnsi="Arial"/>
                  <w:sz w:val="17"/>
                  <w:szCs w:val="17"/>
                  <w:color w:val="0000EE"/>
                </w:rPr>
                <w:t>2019 and 2020</w:t>
              </w:r>
            </w:hyperlink>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980" w:type="dxa"/>
            <w:vAlign w:val="bottom"/>
            <w:gridSpan w:val="2"/>
          </w:tcPr>
          <w:p>
            <w:pPr>
              <w:spacing w:after="0" w:line="20" w:lineRule="exact"/>
              <w:rPr>
                <w:sz w:val="1"/>
                <w:szCs w:val="1"/>
                <w:color w:val="auto"/>
              </w:rPr>
            </w:pPr>
          </w:p>
        </w:tc>
        <w:tc>
          <w:tcPr>
            <w:tcW w:w="660" w:type="dxa"/>
            <w:vAlign w:val="bottom"/>
            <w:vMerge w:val="restart"/>
          </w:tcPr>
          <w:p>
            <w:pPr>
              <w:ind w:left="240"/>
              <w:spacing w:after="0"/>
              <w:rPr>
                <w:sz w:val="20"/>
                <w:szCs w:val="20"/>
                <w:color w:val="auto"/>
              </w:rPr>
            </w:pPr>
            <w:r>
              <w:rPr>
                <w:rFonts w:ascii="Arial" w:cs="Arial" w:eastAsia="Arial" w:hAnsi="Arial"/>
                <w:sz w:val="17"/>
                <w:szCs w:val="17"/>
                <w:color w:val="auto"/>
              </w:rPr>
              <w:t>F-38</w:t>
            </w:r>
          </w:p>
        </w:tc>
        <w:tc>
          <w:tcPr>
            <w:tcW w:w="0" w:type="dxa"/>
            <w:vAlign w:val="bottom"/>
          </w:tcPr>
          <w:p>
            <w:pPr>
              <w:spacing w:after="0" w:line="20" w:lineRule="exact"/>
              <w:rPr>
                <w:sz w:val="1"/>
                <w:szCs w:val="1"/>
                <w:color w:val="auto"/>
              </w:rPr>
            </w:pPr>
          </w:p>
        </w:tc>
      </w:tr>
      <w:tr>
        <w:trPr>
          <w:trHeight w:val="190"/>
        </w:trPr>
        <w:tc>
          <w:tcPr>
            <w:tcW w:w="10360" w:type="dxa"/>
            <w:vAlign w:val="bottom"/>
            <w:gridSpan w:val="4"/>
          </w:tcPr>
          <w:p>
            <w:pPr>
              <w:spacing w:after="0" w:line="190" w:lineRule="exact"/>
              <w:rPr>
                <w:rFonts w:ascii="Arial" w:cs="Arial" w:eastAsia="Arial" w:hAnsi="Arial"/>
                <w:sz w:val="17"/>
                <w:szCs w:val="17"/>
                <w:u w:val="single" w:color="auto"/>
                <w:color w:val="0000EE"/>
              </w:rPr>
            </w:pPr>
            <w:hyperlink w:anchor="page204">
              <w:r>
                <w:rPr>
                  <w:rFonts w:ascii="Arial" w:cs="Arial" w:eastAsia="Arial" w:hAnsi="Arial"/>
                  <w:sz w:val="17"/>
                  <w:szCs w:val="17"/>
                  <w:u w:val="single" w:color="auto"/>
                  <w:color w:val="0000EE"/>
                </w:rPr>
                <w:t>Condensed Consolidated Statements of Cash Flows for the three months ended March 31, 2019 and 2020</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360" w:type="dxa"/>
            <w:vAlign w:val="bottom"/>
            <w:gridSpan w:val="4"/>
          </w:tcPr>
          <w:p>
            <w:pPr>
              <w:spacing w:after="0"/>
              <w:rPr>
                <w:rFonts w:ascii="Arial" w:cs="Arial" w:eastAsia="Arial" w:hAnsi="Arial"/>
                <w:sz w:val="17"/>
                <w:szCs w:val="17"/>
                <w:u w:val="single" w:color="auto"/>
                <w:color w:val="0000EE"/>
              </w:rPr>
            </w:pPr>
            <w:hyperlink w:anchor="page205">
              <w:r>
                <w:rPr>
                  <w:rFonts w:ascii="Arial" w:cs="Arial" w:eastAsia="Arial" w:hAnsi="Arial"/>
                  <w:sz w:val="17"/>
                  <w:szCs w:val="17"/>
                  <w:u w:val="single" w:color="auto"/>
                  <w:color w:val="0000EE"/>
                </w:rPr>
                <w:t>Notes to Unaudited Condensed Consolidated Financial Statements</w:t>
              </w:r>
            </w:hyperlink>
          </w:p>
        </w:tc>
        <w:tc>
          <w:tcPr>
            <w:tcW w:w="660" w:type="dxa"/>
            <w:vAlign w:val="bottom"/>
          </w:tcPr>
          <w:p>
            <w:pPr>
              <w:ind w:left="240"/>
              <w:spacing w:after="0"/>
              <w:rPr>
                <w:sz w:val="20"/>
                <w:szCs w:val="20"/>
                <w:color w:val="auto"/>
              </w:rPr>
            </w:pPr>
            <w:r>
              <w:rPr>
                <w:rFonts w:ascii="Arial" w:cs="Arial" w:eastAsia="Arial" w:hAnsi="Arial"/>
                <w:sz w:val="17"/>
                <w:szCs w:val="17"/>
                <w:color w:val="auto"/>
              </w:rPr>
              <w:t>F-39</w:t>
            </w:r>
          </w:p>
        </w:tc>
        <w:tc>
          <w:tcPr>
            <w:tcW w:w="0" w:type="dxa"/>
            <w:vAlign w:val="bottom"/>
          </w:tcPr>
          <w:p>
            <w:pPr>
              <w:spacing w:after="0"/>
              <w:rPr>
                <w:sz w:val="1"/>
                <w:szCs w:val="1"/>
                <w:color w:val="auto"/>
              </w:rPr>
            </w:pPr>
          </w:p>
        </w:tc>
      </w:tr>
      <w:tr>
        <w:trPr>
          <w:trHeight w:val="207"/>
        </w:trPr>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80" w:type="dxa"/>
            <w:vAlign w:val="bottom"/>
            <w:gridSpan w:val="2"/>
          </w:tcPr>
          <w:p>
            <w:pPr>
              <w:ind w:left="4000"/>
              <w:spacing w:after="0"/>
              <w:rPr>
                <w:sz w:val="20"/>
                <w:szCs w:val="20"/>
                <w:color w:val="auto"/>
              </w:rPr>
            </w:pPr>
            <w:r>
              <w:rPr>
                <w:rFonts w:ascii="Arial" w:cs="Arial" w:eastAsia="Arial" w:hAnsi="Arial"/>
                <w:sz w:val="16"/>
                <w:szCs w:val="16"/>
                <w:color w:val="auto"/>
              </w:rPr>
              <w:t>F-1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Shareholders and Board of Directors</w:t>
      </w:r>
    </w:p>
    <w:p>
      <w:pPr>
        <w:ind w:left="120"/>
        <w:spacing w:after="0"/>
        <w:rPr>
          <w:sz w:val="20"/>
          <w:szCs w:val="20"/>
          <w:color w:val="auto"/>
        </w:rPr>
      </w:pPr>
      <w:r>
        <w:rPr>
          <w:rFonts w:ascii="Arial" w:cs="Arial" w:eastAsia="Arial" w:hAnsi="Arial"/>
          <w:sz w:val="17"/>
          <w:szCs w:val="17"/>
          <w:color w:val="auto"/>
        </w:rPr>
        <w:t>ALX Oncology Holdings Inc.:</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Financial Statement</w:t>
      </w:r>
    </w:p>
    <w:p>
      <w:pPr>
        <w:spacing w:after="0" w:line="95"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We have audited the accompanying balance sheet of ALX Oncology Holdings Inc. (the Company) as of April 1, 2020 (inception), and the related notes (collectively, the financial statement). In our opinion, the financial statement presents fairly, in all material respects, the financial position of the Company as of April 1, 2020 (inception), in conformity with U.S. generally accepted accounting principles.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2020.</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spacing w:after="0"/>
        <w:rPr>
          <w:sz w:val="20"/>
          <w:szCs w:val="20"/>
          <w:color w:val="auto"/>
        </w:rPr>
      </w:pPr>
      <w:r>
        <w:rPr>
          <w:rFonts w:ascii="Arial" w:cs="Arial" w:eastAsia="Arial" w:hAnsi="Arial"/>
          <w:sz w:val="17"/>
          <w:szCs w:val="17"/>
          <w:color w:val="auto"/>
        </w:rPr>
        <w:t>June 12, 2020</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0060" w:type="dxa"/>
            <w:vAlign w:val="bottom"/>
          </w:tcPr>
          <w:p>
            <w:pPr>
              <w:ind w:left="4060"/>
              <w:spacing w:after="0"/>
              <w:rPr>
                <w:sz w:val="20"/>
                <w:szCs w:val="20"/>
                <w:color w:val="auto"/>
              </w:rPr>
            </w:pPr>
            <w:r>
              <w:rPr>
                <w:rFonts w:ascii="Arial" w:cs="Arial" w:eastAsia="Arial" w:hAnsi="Arial"/>
                <w:sz w:val="18"/>
                <w:szCs w:val="18"/>
                <w:b w:val="1"/>
                <w:bCs w:val="1"/>
                <w:color w:val="auto"/>
              </w:rPr>
              <w:t>ALX ONCOLOGY HOLDINGS INC.</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1"/>
        </w:trPr>
        <w:tc>
          <w:tcPr>
            <w:tcW w:w="10060" w:type="dxa"/>
            <w:vAlign w:val="bottom"/>
          </w:tcPr>
          <w:p>
            <w:pPr>
              <w:ind w:left="488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10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385"/>
        </w:trPr>
        <w:tc>
          <w:tcPr>
            <w:tcW w:w="10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w:t>
            </w:r>
          </w:p>
        </w:tc>
      </w:tr>
      <w:tr>
        <w:trPr>
          <w:trHeight w:val="162"/>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5"/>
        </w:trPr>
        <w:tc>
          <w:tcPr>
            <w:tcW w:w="100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(INCEPTION)</w:t>
            </w:r>
          </w:p>
        </w:tc>
      </w:tr>
      <w:tr>
        <w:trPr>
          <w:trHeight w:val="169"/>
        </w:trPr>
        <w:tc>
          <w:tcPr>
            <w:tcW w:w="100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assets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Liabilities and stockholders’ equity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liabilities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0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Common stock, $0.001 par value, 1,000 shares authorized, none issued and outstanding</w:t>
            </w:r>
          </w:p>
        </w:tc>
        <w:tc>
          <w:tcPr>
            <w:tcW w:w="1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ind w:left="580"/>
              <w:spacing w:after="0" w:line="189" w:lineRule="exact"/>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r>
      <w:tr>
        <w:trPr>
          <w:trHeight w:val="206"/>
        </w:trPr>
        <w:tc>
          <w:tcPr>
            <w:tcW w:w="1006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rPr>
                <w:sz w:val="20"/>
                <w:szCs w:val="20"/>
                <w:color w:val="auto"/>
              </w:rPr>
            </w:pPr>
            <w:r>
              <w:rPr>
                <w:rFonts w:ascii="Arial" w:cs="Arial" w:eastAsia="Arial" w:hAnsi="Arial"/>
                <w:sz w:val="17"/>
                <w:szCs w:val="17"/>
                <w:color w:val="auto"/>
              </w:rPr>
              <w:t>—</w:t>
            </w:r>
          </w:p>
        </w:tc>
      </w:tr>
      <w:tr>
        <w:trPr>
          <w:trHeight w:val="193"/>
        </w:trPr>
        <w:tc>
          <w:tcPr>
            <w:tcW w:w="10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10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this balance sheet.</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Balance Sheet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93"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initial public offering and related transactions in order to carry on the business of ALX Oncology Limited. After Inception, ALX Oncology Limited became a wholly-owned subsidiary of the Corporation as result of the internal reorganization. As part of the transaction, all of the equity, option and warrant holders of ALX Oncology Limited became equity, option and warrant holders of the Company, holding the same number of corresponding shares, options and/or warrants in the Company as they did in ALX Oncology Limited immediately prior to the reorganization.</w:t>
      </w:r>
    </w:p>
    <w:p>
      <w:pPr>
        <w:spacing w:after="0" w:line="185" w:lineRule="exact"/>
        <w:rPr>
          <w:sz w:val="20"/>
          <w:szCs w:val="20"/>
          <w:color w:val="auto"/>
        </w:rPr>
      </w:pPr>
    </w:p>
    <w:p>
      <w:pPr>
        <w:ind w:left="120" w:right="7020" w:hanging="4"/>
        <w:spacing w:after="0" w:line="299" w:lineRule="auto"/>
        <w:tabs>
          <w:tab w:leader="none" w:pos="32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7"/>
          <w:szCs w:val="17"/>
          <w:b w:val="1"/>
          <w:bCs w:val="1"/>
          <w:i w:val="1"/>
          <w:iCs w:val="1"/>
          <w:color w:val="auto"/>
        </w:rPr>
        <w:t>Basis of Preparation</w:t>
      </w:r>
    </w:p>
    <w:p>
      <w:pPr>
        <w:ind w:left="120" w:right="120"/>
        <w:spacing w:after="0" w:line="238" w:lineRule="auto"/>
        <w:rPr>
          <w:sz w:val="20"/>
          <w:szCs w:val="20"/>
          <w:color w:val="auto"/>
        </w:rPr>
      </w:pPr>
      <w:r>
        <w:rPr>
          <w:rFonts w:ascii="Arial" w:cs="Arial" w:eastAsia="Arial" w:hAnsi="Arial"/>
          <w:sz w:val="17"/>
          <w:szCs w:val="17"/>
          <w:color w:val="auto"/>
        </w:rPr>
        <w:t>The balance sheet is presented in accordance with accounting principles generally accepted in the United States of America, or U.S. GAAP. The statements of operations and comprehensive loss, stockholders’ equity, and cash flows have not been presented because there have been no activities at inception of this entity.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Underwriting Commissions and Offering Costs</w:t>
      </w:r>
    </w:p>
    <w:p>
      <w:pPr>
        <w:spacing w:after="0" w:line="54"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Underwriting commissions and offering costs to be incurred in connection with the Company’s common stock offerings will be reflected as a reduction in additional paid-in capital upon consummation of the equity financing.</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Organizational Costs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Organizational costs for costs incurred to organize the Company will be expensed as incurred.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Stockholders’ Equity</w:t>
      </w:r>
    </w:p>
    <w:p>
      <w:pPr>
        <w:spacing w:after="0" w:line="8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Company is authorized to issue 1,000 shares of common stock at $0.001 par value per share none of which are issued and outstanding as of inception on April 1,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Subsequent Events</w:t>
      </w:r>
    </w:p>
    <w:p>
      <w:pPr>
        <w:spacing w:after="0" w:line="80"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Subsequent events through June 12, 2020, the date on which the balance sheet was available to be issued, were evaluated by the Company to determine the need, if any, for recognition or disclosure in this balance sheet. The Company concluded that no other subsequent events have occurred that would require recognition in this inception balance sheet.</w:t>
      </w:r>
    </w:p>
    <w:p>
      <w:pPr>
        <w:spacing w:after="0" w:line="147"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On April 1, 2020 (subsequent to inception), the Company increased its authorized shares from 1,000 to 10,000,000,000 shares of common stock and 61,180,500 Series A convertible preferred stock 7,295,752 of Series B convertible preferred stock and 72,754,989 of Series C convertible preferred stock.</w:t>
      </w:r>
    </w:p>
    <w:p>
      <w:pPr>
        <w:spacing w:after="0" w:line="147"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On April 1, 2020 (subsequent to inception), the board of directors approved a new equity incentive plan, or the 2020 Equity Incentive Plan or the Plan, that replaced the 2015 Share Award Scheme. The Plan is for employees, non-employee directors and consultants covering 28,817,368 shares of the Company’s common stock and authorizes the award of stock options, restricted stock awards, stock appreciation rights and restricted stock units.</w:t>
      </w:r>
    </w:p>
    <w:p>
      <w:pPr>
        <w:spacing w:after="0" w:line="14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On April 1, 2020 (subsequent to inception), the Company consummated the internal reorganization whereby the Company issued and sold to the existing shareholders of ALX Oncology Limited an aggregate of 20,840,532 shares of our common stock at purchase prices per share ranging from $0.001 to $0.29, an aggregate of 61,180,500 shares of our Series A convertible preferred stock at a purchase price per share of $1.00, an aggregate of 6,690,729 shares of our Series B convertible preferred stock at a purchase price per share of $1.4432 and an aggregate of 72,754,989 shares of our Series C convertible preferred stock at a purchase price per share of $1.4432, in exchange for promissory notes with an aggregate principal amount of $176.3 million. The Company also acquired 525,000,000 ordinary shares of ALX Oncology Limited in exchange for the promissory notes that were acquired in connection with such issuance and sale of the Company’s capital stock.</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Shareholders and Board of Directors</w:t>
      </w:r>
    </w:p>
    <w:p>
      <w:pPr>
        <w:ind w:left="120"/>
        <w:spacing w:after="0"/>
        <w:rPr>
          <w:sz w:val="20"/>
          <w:szCs w:val="20"/>
          <w:color w:val="auto"/>
        </w:rPr>
      </w:pPr>
      <w:r>
        <w:rPr>
          <w:rFonts w:ascii="Arial" w:cs="Arial" w:eastAsia="Arial" w:hAnsi="Arial"/>
          <w:sz w:val="17"/>
          <w:szCs w:val="17"/>
          <w:color w:val="auto"/>
        </w:rPr>
        <w:t>ALX Oncology Limited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Consolidated Financial Statements</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audited the accompanying consolidated balance sheets of ALX Oncology Limited and subsidiaries (the Company) as of December 31, 2018 and 2019, the related consolidated statements of operations and comprehensive loss, convertible preferred shares and shareholders’ deficit,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in the two-year period ended December 31, 2019, in conformity with U.S. generally accepted accounting principles.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2016.</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spacing w:after="0"/>
        <w:rPr>
          <w:sz w:val="20"/>
          <w:szCs w:val="20"/>
          <w:color w:val="auto"/>
        </w:rPr>
      </w:pPr>
      <w:r>
        <w:rPr>
          <w:rFonts w:ascii="Arial" w:cs="Arial" w:eastAsia="Arial" w:hAnsi="Arial"/>
          <w:sz w:val="17"/>
          <w:szCs w:val="17"/>
          <w:color w:val="auto"/>
        </w:rPr>
        <w:t>May 5, 2020</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62"/>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vMerge w:val="restart"/>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21"/>
        </w:trPr>
        <w:tc>
          <w:tcPr>
            <w:tcW w:w="7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5"/>
            <w:vMerge w:val="continue"/>
          </w:tcPr>
          <w:p>
            <w:pPr>
              <w:spacing w:after="0"/>
              <w:rPr>
                <w:sz w:val="10"/>
                <w:szCs w:val="10"/>
                <w:color w:val="auto"/>
              </w:rPr>
            </w:pPr>
          </w:p>
        </w:tc>
        <w:tc>
          <w:tcPr>
            <w:tcW w:w="2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4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w:t>
            </w:r>
          </w:p>
        </w:tc>
        <w:tc>
          <w:tcPr>
            <w:tcW w:w="2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8,262</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9,017</w:t>
            </w:r>
          </w:p>
        </w:tc>
        <w:tc>
          <w:tcPr>
            <w:tcW w:w="1440" w:type="dxa"/>
            <w:vAlign w:val="bottom"/>
            <w:gridSpan w:val="2"/>
            <w:shd w:val="clear" w:color="auto" w:fill="CCEEFF"/>
          </w:tcPr>
          <w:p>
            <w:pPr>
              <w:jc w:val="right"/>
              <w:ind w:right="1088"/>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932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536</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1,014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256</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10,208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9,809</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956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860</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2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11,164</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10,676</w:t>
            </w:r>
          </w:p>
        </w:tc>
        <w:tc>
          <w:tcPr>
            <w:tcW w:w="1440" w:type="dxa"/>
            <w:vAlign w:val="bottom"/>
            <w:gridSpan w:val="2"/>
            <w:shd w:val="clear" w:color="auto" w:fill="CCEEFF"/>
          </w:tcPr>
          <w:p>
            <w:pPr>
              <w:jc w:val="right"/>
              <w:ind w:right="1088"/>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deficit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2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697</w:t>
            </w:r>
          </w:p>
        </w:tc>
        <w:tc>
          <w:tcPr>
            <w:tcW w:w="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3,748</w:t>
            </w:r>
          </w:p>
        </w:tc>
        <w:tc>
          <w:tcPr>
            <w:tcW w:w="1440" w:type="dxa"/>
            <w:vAlign w:val="bottom"/>
            <w:gridSpan w:val="2"/>
          </w:tcPr>
          <w:p>
            <w:pPr>
              <w:jc w:val="right"/>
              <w:ind w:right="1088"/>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1,176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1,236</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50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1,873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4,984</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5,421</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Other long-term liabilities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412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rent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135</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500"/>
              <w:spacing w:after="0"/>
              <w:rPr>
                <w:sz w:val="20"/>
                <w:szCs w:val="20"/>
                <w:color w:val="auto"/>
              </w:rPr>
            </w:pPr>
            <w:r>
              <w:rPr>
                <w:rFonts w:ascii="Arial" w:cs="Arial" w:eastAsia="Arial" w:hAnsi="Arial"/>
                <w:sz w:val="17"/>
                <w:szCs w:val="17"/>
                <w:color w:val="auto"/>
              </w:rPr>
              <w:t>Total liabilities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10,952</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8)</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60" w:type="dxa"/>
            <w:vAlign w:val="bottom"/>
          </w:tcPr>
          <w:p>
            <w:pPr>
              <w:spacing w:after="0" w:line="183" w:lineRule="exact"/>
              <w:rPr>
                <w:sz w:val="20"/>
                <w:szCs w:val="20"/>
                <w:color w:val="auto"/>
              </w:rPr>
            </w:pPr>
            <w:r>
              <w:rPr>
                <w:rFonts w:ascii="Arial" w:cs="Arial" w:eastAsia="Arial" w:hAnsi="Arial"/>
                <w:sz w:val="17"/>
                <w:szCs w:val="17"/>
                <w:color w:val="auto"/>
              </w:rPr>
              <w:t>Series A convertible preferred shares, $0.001 par value; 62,000,000 shares authorized;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40"/>
              <w:spacing w:after="0" w:line="189" w:lineRule="exact"/>
              <w:rPr>
                <w:sz w:val="20"/>
                <w:szCs w:val="20"/>
                <w:color w:val="auto"/>
              </w:rPr>
            </w:pPr>
            <w:r>
              <w:rPr>
                <w:rFonts w:ascii="Arial" w:cs="Arial" w:eastAsia="Arial" w:hAnsi="Arial"/>
                <w:sz w:val="17"/>
                <w:szCs w:val="17"/>
                <w:color w:val="auto"/>
              </w:rPr>
              <w:t>61,180,500 shares issued and outstanding at December 31, 2018 and 2019, respectively;</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40"/>
              <w:spacing w:after="0" w:line="189" w:lineRule="exact"/>
              <w:rPr>
                <w:sz w:val="20"/>
                <w:szCs w:val="20"/>
                <w:color w:val="auto"/>
              </w:rPr>
            </w:pPr>
            <w:r>
              <w:rPr>
                <w:rFonts w:ascii="Arial" w:cs="Arial" w:eastAsia="Arial" w:hAnsi="Arial"/>
                <w:sz w:val="17"/>
                <w:szCs w:val="17"/>
                <w:color w:val="auto"/>
              </w:rPr>
              <w:t>aggregate liquidation preference of $69,863 and $73,571 as of December 31, 2018 and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60" w:type="dxa"/>
            <w:vAlign w:val="bottom"/>
          </w:tcPr>
          <w:p>
            <w:pPr>
              <w:ind w:left="240"/>
              <w:spacing w:after="0"/>
              <w:rPr>
                <w:sz w:val="20"/>
                <w:szCs w:val="20"/>
                <w:color w:val="auto"/>
              </w:rPr>
            </w:pPr>
            <w:r>
              <w:rPr>
                <w:rFonts w:ascii="Arial" w:cs="Arial" w:eastAsia="Arial" w:hAnsi="Arial"/>
                <w:sz w:val="17"/>
                <w:szCs w:val="17"/>
                <w:color w:val="auto"/>
              </w:rPr>
              <w:t>2019, respectively; 0 shares authorized, issued and outstanding, pro forma (unaudited)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60,933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60,933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B convertible preferred shares, $0.001 par value; 14,117,822 shares authorized; 0 and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6,690,729 shares issued and outstanding at December 31, 2018 and 2019, respectively;</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aggregate liquidation preference of $0 and $10,014 as of December 31, 2018 and 2019,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respectively; 0 shares authorized, issued and outstanding, pro forma (unaudited)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Ordinary shares, $0.001 par value; 10,000,000,000 shares authorized; 20,806,306 and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20,840,532 shares issued and outstanding at December 31, 2018 and 2019, respectively;</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10,000,000,000 shares authorized, 101,350,419 shares issued and outstanding, pro forma</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(unaudited)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89"/>
        </w:trPr>
        <w:tc>
          <w:tcPr>
            <w:tcW w:w="7260" w:type="dxa"/>
            <w:vAlign w:val="bottom"/>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1,740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2,122</w:t>
            </w:r>
          </w:p>
        </w:tc>
        <w:tc>
          <w:tcPr>
            <w:tcW w:w="156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72,766</w:t>
            </w: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(53,539)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(72,782)</w:t>
            </w:r>
          </w:p>
        </w:tc>
        <w:tc>
          <w:tcPr>
            <w:tcW w:w="15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(72,782)</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500"/>
              <w:spacing w:after="0"/>
              <w:rPr>
                <w:sz w:val="20"/>
                <w:szCs w:val="20"/>
                <w:color w:val="auto"/>
              </w:rPr>
            </w:pPr>
            <w:r>
              <w:rPr>
                <w:rFonts w:ascii="Arial" w:cs="Arial" w:eastAsia="Arial" w:hAnsi="Arial"/>
                <w:sz w:val="17"/>
                <w:szCs w:val="17"/>
                <w:color w:val="auto"/>
              </w:rPr>
              <w:t>Total shareholders’ equity (deficit)</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(51,778)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(70,639)</w:t>
            </w:r>
          </w:p>
        </w:tc>
        <w:tc>
          <w:tcPr>
            <w:tcW w:w="1560" w:type="dxa"/>
            <w:vAlign w:val="bottom"/>
            <w:gridSpan w:val="3"/>
          </w:tcPr>
          <w:p>
            <w:pPr>
              <w:jc w:val="right"/>
              <w:ind w:right="120"/>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 convertible preferred shares and shareholders’ equity (deficit)</w:t>
            </w:r>
          </w:p>
        </w:tc>
        <w:tc>
          <w:tcPr>
            <w:tcW w:w="2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11,164</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10,676</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77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2,067</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11,270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2,601</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5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7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(13,684)</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(19,183)</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7"/>
                <w:szCs w:val="17"/>
                <w:color w:val="auto"/>
              </w:rPr>
              <w:t>(13,686)</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(19,209)</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7"/>
                <w:szCs w:val="17"/>
                <w:color w:val="auto"/>
              </w:rPr>
              <w:t>(13,731)</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(3,671)</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gridSpan w:val="2"/>
          </w:tcPr>
          <w:p>
            <w:pPr>
              <w:jc w:val="right"/>
              <w:ind w:right="660"/>
              <w:spacing w:after="0"/>
              <w:rPr>
                <w:sz w:val="20"/>
                <w:szCs w:val="20"/>
                <w:color w:val="auto"/>
              </w:rPr>
            </w:pPr>
            <w:r>
              <w:rPr>
                <w:rFonts w:ascii="Arial" w:cs="Arial" w:eastAsia="Arial" w:hAnsi="Arial"/>
                <w:sz w:val="17"/>
                <w:szCs w:val="17"/>
                <w:color w:val="auto"/>
              </w:rPr>
              <w:t>(17,402)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6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660"/>
              <w:spacing w:after="0" w:line="183" w:lineRule="exact"/>
              <w:rPr>
                <w:sz w:val="20"/>
                <w:szCs w:val="20"/>
                <w:color w:val="auto"/>
              </w:rPr>
            </w:pPr>
            <w:r>
              <w:rPr>
                <w:rFonts w:ascii="Arial" w:cs="Arial" w:eastAsia="Arial" w:hAnsi="Arial"/>
                <w:sz w:val="17"/>
                <w:szCs w:val="17"/>
                <w:color w:val="auto"/>
              </w:rPr>
              <w:t>(0.96)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7"/>
                <w:szCs w:val="17"/>
                <w:color w:val="auto"/>
                <w:w w:val="98"/>
              </w:rPr>
              <w:t>18,102,402</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20,245,115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 (unaudited)</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 to</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740" w:type="dxa"/>
            <w:vAlign w:val="bottom"/>
          </w:tcPr>
          <w:p>
            <w:pPr>
              <w:ind w:left="240"/>
              <w:spacing w:after="0"/>
              <w:rPr>
                <w:sz w:val="20"/>
                <w:szCs w:val="20"/>
                <w:color w:val="auto"/>
              </w:rPr>
            </w:pPr>
            <w:r>
              <w:rPr>
                <w:rFonts w:ascii="Arial" w:cs="Arial" w:eastAsia="Arial" w:hAnsi="Arial"/>
                <w:sz w:val="17"/>
                <w:szCs w:val="17"/>
                <w:color w:val="auto"/>
              </w:rPr>
              <w:t>ordinary shareholders, basic and diluted (unaudited)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94,274,058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Consolidated Statements of Convertible Preferred Shares and Shareholders’ Deficit</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6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5"/>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2017</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0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61,180,500</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Repurchase of ordinary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Repurchase of unvested early exercised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40"/>
              <w:spacing w:after="0"/>
              <w:rPr>
                <w:sz w:val="20"/>
                <w:szCs w:val="20"/>
                <w:color w:val="auto"/>
              </w:rPr>
            </w:pPr>
            <w:r>
              <w:rPr>
                <w:rFonts w:ascii="Arial" w:cs="Arial" w:eastAsia="Arial" w:hAnsi="Arial"/>
                <w:sz w:val="14"/>
                <w:szCs w:val="14"/>
                <w:color w:val="auto"/>
              </w:rPr>
              <w:t>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Pr>
          <w:p>
            <w:pPr>
              <w:jc w:val="right"/>
              <w:spacing w:after="0"/>
              <w:rPr>
                <w:sz w:val="20"/>
                <w:szCs w:val="20"/>
                <w:color w:val="auto"/>
              </w:rPr>
            </w:pPr>
            <w:r>
              <w:rPr>
                <w:rFonts w:ascii="Arial" w:cs="Arial" w:eastAsia="Arial" w:hAnsi="Arial"/>
                <w:sz w:val="14"/>
                <w:szCs w:val="14"/>
                <w:color w:val="auto"/>
              </w:rPr>
              <w:t>61,180,500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Issuance of Series B convertible preferred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40"/>
              <w:spacing w:after="0"/>
              <w:rPr>
                <w:sz w:val="20"/>
                <w:szCs w:val="20"/>
                <w:color w:val="auto"/>
              </w:rPr>
            </w:pPr>
            <w:r>
              <w:rPr>
                <w:rFonts w:ascii="Arial" w:cs="Arial" w:eastAsia="Arial" w:hAnsi="Arial"/>
                <w:sz w:val="14"/>
                <w:szCs w:val="14"/>
                <w:color w:val="auto"/>
              </w:rPr>
              <w:t>shares, net of issuance costs of $226</w:t>
            </w:r>
          </w:p>
        </w:tc>
        <w:tc>
          <w:tcPr>
            <w:tcW w:w="780" w:type="dxa"/>
            <w:vAlign w:val="bottom"/>
          </w:tcPr>
          <w:p>
            <w:pPr>
              <w:jc w:val="right"/>
              <w:spacing w:after="0"/>
              <w:rPr>
                <w:sz w:val="20"/>
                <w:szCs w:val="20"/>
                <w:color w:val="auto"/>
              </w:rPr>
            </w:pPr>
            <w:r>
              <w:rPr>
                <w:rFonts w:ascii="Arial" w:cs="Arial" w:eastAsia="Arial" w:hAnsi="Arial"/>
                <w:sz w:val="14"/>
                <w:szCs w:val="14"/>
                <w:color w:val="auto"/>
              </w:rPr>
              <w:t>6,690,729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67,871,229</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ORDINARY SHARES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9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PAID-IN</w:t>
            </w:r>
          </w:p>
        </w:tc>
        <w:tc>
          <w:tcPr>
            <w:tcW w:w="1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jc w:val="right"/>
              <w:spacing w:after="0"/>
              <w:rPr>
                <w:sz w:val="20"/>
                <w:szCs w:val="20"/>
                <w:color w:val="auto"/>
              </w:rPr>
            </w:pPr>
            <w:r>
              <w:rPr>
                <w:rFonts w:ascii="Arial" w:cs="Arial" w:eastAsia="Arial" w:hAnsi="Arial"/>
                <w:sz w:val="14"/>
                <w:szCs w:val="14"/>
                <w:color w:val="auto"/>
              </w:rPr>
              <w:t>21,093,705</w:t>
            </w:r>
          </w:p>
        </w:tc>
        <w:tc>
          <w:tcPr>
            <w:tcW w:w="26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1,372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(39,808)</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(38,415)</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45,505</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(287,500)</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314"/>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(45,404)</w:t>
            </w:r>
          </w:p>
        </w:tc>
        <w:tc>
          <w:tcPr>
            <w:tcW w:w="28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57"/>
        </w:trPr>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(13,731)</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(13,731)</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tcPr>
          <w:p>
            <w:pPr>
              <w:jc w:val="right"/>
              <w:spacing w:after="0"/>
              <w:rPr>
                <w:sz w:val="20"/>
                <w:szCs w:val="20"/>
                <w:color w:val="auto"/>
              </w:rPr>
            </w:pPr>
            <w:r>
              <w:rPr>
                <w:rFonts w:ascii="Arial" w:cs="Arial" w:eastAsia="Arial" w:hAnsi="Arial"/>
                <w:sz w:val="14"/>
                <w:szCs w:val="14"/>
                <w:color w:val="auto"/>
              </w:rPr>
              <w:t>20,806,306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314"/>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34,226</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57"/>
        </w:trPr>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(19,243)</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(19,243)</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tcPr>
          <w:p>
            <w:pPr>
              <w:jc w:val="right"/>
              <w:spacing w:after="0"/>
              <w:rPr>
                <w:sz w:val="20"/>
                <w:szCs w:val="20"/>
                <w:color w:val="auto"/>
              </w:rPr>
            </w:pPr>
            <w:r>
              <w:rPr>
                <w:rFonts w:ascii="Arial" w:cs="Arial" w:eastAsia="Arial" w:hAnsi="Arial"/>
                <w:sz w:val="14"/>
                <w:szCs w:val="14"/>
                <w:color w:val="auto"/>
              </w:rPr>
              <w:t>20,840,532</w:t>
            </w:r>
          </w:p>
        </w:tc>
        <w:tc>
          <w:tcPr>
            <w:tcW w:w="2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2,122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88"/>
        </w:trPr>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-1953895</wp:posOffset>
            </wp:positionV>
            <wp:extent cx="6995160" cy="1800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80022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137160</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500"/>
            <w:col w:w="5720"/>
          </w:cols>
          <w:pgMar w:left="320" w:top="459" w:right="499" w:bottom="1440" w:gutter="0" w:footer="0" w:header="0"/>
          <w:type w:val="continuous"/>
        </w:sectPr>
      </w:pP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080"/>
          </w:cols>
          <w:pgMar w:left="320" w:top="459" w:right="49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7"/>
              </w:rPr>
              <w:t>(13,731)</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(13,190)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(14,249)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196"/>
        </w:trPr>
        <w:tc>
          <w:tcPr>
            <w:tcW w:w="92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parties for issuance of Series B convertible preferred shares, net of issuance costs of $164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6,829</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B convertible preferred shares, net of issuance costs of $62</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2,601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ordinary shares under equity incentive plan</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paid for repurchase of ordinary shares</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term loan, net of issuance costs of $83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15,357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(13,842)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at beginning of year</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22,104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8,262</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end of year</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Fair value of compound derivative liability and warrant liability related to term loan</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Vesting of early exercised share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92</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Debt issuance costs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200" w:type="dxa"/>
            <w:vAlign w:val="bottom"/>
            <w:vMerge w:val="continue"/>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93"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3"/>
        </w:trPr>
        <w:tc>
          <w:tcPr>
            <w:tcW w:w="9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Organization</w:t>
      </w:r>
    </w:p>
    <w:p>
      <w:pPr>
        <w:spacing w:after="0" w:line="93" w:lineRule="exact"/>
        <w:rPr>
          <w:rFonts w:ascii="Arial" w:cs="Arial" w:eastAsia="Arial" w:hAnsi="Arial"/>
          <w:sz w:val="17"/>
          <w:szCs w:val="17"/>
          <w:b w:val="1"/>
          <w:bCs w:val="1"/>
          <w:color w:val="auto"/>
        </w:rPr>
      </w:pPr>
    </w:p>
    <w:p>
      <w:pPr>
        <w:ind w:left="560" w:right="4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93" w:lineRule="exact"/>
        <w:rPr>
          <w:rFonts w:ascii="Arial" w:cs="Arial" w:eastAsia="Arial" w:hAnsi="Arial"/>
          <w:sz w:val="17"/>
          <w:szCs w:val="17"/>
          <w:b w:val="1"/>
          <w:bCs w:val="1"/>
          <w:color w:val="auto"/>
        </w:rPr>
      </w:pPr>
    </w:p>
    <w:p>
      <w:pPr>
        <w:jc w:val="both"/>
        <w:ind w:left="560" w:right="8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9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 (Note 13).</w:t>
      </w:r>
    </w:p>
    <w:p>
      <w:pPr>
        <w:spacing w:after="0" w:line="13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Basis of Preparation</w:t>
      </w:r>
    </w:p>
    <w:p>
      <w:pPr>
        <w:spacing w:after="0" w:line="79" w:lineRule="exact"/>
        <w:rPr>
          <w:rFonts w:ascii="Arial" w:cs="Arial" w:eastAsia="Arial" w:hAnsi="Arial"/>
          <w:sz w:val="17"/>
          <w:szCs w:val="17"/>
          <w:b w:val="1"/>
          <w:bCs w:val="1"/>
          <w:color w:val="auto"/>
        </w:rPr>
      </w:pPr>
    </w:p>
    <w:p>
      <w:pPr>
        <w:ind w:left="560" w:right="3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w:t>
      </w:r>
    </w:p>
    <w:p>
      <w:pPr>
        <w:spacing w:after="0" w:line="12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Principles of Consolidation</w:t>
      </w:r>
    </w:p>
    <w:p>
      <w:pPr>
        <w:spacing w:after="0" w:line="7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All intercompany balances and transactions have been eliminated in consolidation.</w:t>
      </w:r>
    </w:p>
    <w:p>
      <w:pPr>
        <w:spacing w:after="0" w:line="13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Unaudited Pro Forma Information</w:t>
      </w:r>
    </w:p>
    <w:p>
      <w:pPr>
        <w:spacing w:after="0" w:line="93"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Immediately prior to the completion of this offering, all outstanding convertible preferred shares will automatically convert into ordinary shares. Unaudited pro forma balance sheet information as of December 31, 2019 assumes the conversion of all outstanding convertible preferred shares and cumulative undeclared dividends on the convertible preferred shares into 80,509,887 ordinary shares and the reclassification of warrant liability to additional paid-in capital in stockholders’ equity. The ordinary shares issuable and the proceeds expected to be received in the initial public offering are excluded from such pro forma financial information. Unaudited pro forma basic and diluted net loss per share has been computed to give effect to the conversion of all outstanding convertible preferred shares and cumulative dividends on the convertible preferred shares into ordinary shares. The unaudited pro forma net loss per share does not include the shares expected to be sold and related proceeds to be received from the initial public offering.</w:t>
      </w:r>
    </w:p>
    <w:p>
      <w:pPr>
        <w:spacing w:after="0" w:line="132"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Need for Additional Capital</w:t>
      </w:r>
    </w:p>
    <w:p>
      <w:pPr>
        <w:spacing w:after="0" w:line="79" w:lineRule="exact"/>
        <w:rPr>
          <w:rFonts w:ascii="Arial" w:cs="Arial" w:eastAsia="Arial" w:hAnsi="Arial"/>
          <w:sz w:val="17"/>
          <w:szCs w:val="17"/>
          <w:b w:val="1"/>
          <w:bCs w:val="1"/>
          <w:color w:val="auto"/>
        </w:rPr>
      </w:pPr>
    </w:p>
    <w:p>
      <w:pPr>
        <w:ind w:left="560" w:right="4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$72.8 million as of December 31, 2019 and management does not expect to experience positive cash flows in the foreseeable future. Based on management’s current plans, management believes cash of $9.0 million as of December 31, 2019, along with the $105.0 million of gross proceeds from the issuance of Series C convertible preferred shares in February 2020 (Note 13), are sufficient to fund operations through at least one year from the date of the issuance of these consolidated financial statements.</w:t>
      </w:r>
    </w:p>
    <w:p>
      <w:pPr>
        <w:spacing w:after="0" w:line="150"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20"/>
        <w:spacing w:after="0" w:line="238" w:lineRule="auto"/>
        <w:rPr>
          <w:sz w:val="20"/>
          <w:szCs w:val="20"/>
          <w:color w:val="auto"/>
        </w:rPr>
      </w:pPr>
      <w:r>
        <w:rPr>
          <w:rFonts w:ascii="Arial" w:cs="Arial" w:eastAsia="Arial" w:hAnsi="Arial"/>
          <w:sz w:val="17"/>
          <w:szCs w:val="17"/>
          <w:color w:val="auto"/>
        </w:rPr>
        <w:t>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Estimates</w:t>
      </w:r>
    </w:p>
    <w:p>
      <w:pPr>
        <w:spacing w:after="0" w:line="93" w:lineRule="exact"/>
        <w:rPr>
          <w:sz w:val="20"/>
          <w:szCs w:val="20"/>
          <w:color w:val="auto"/>
        </w:rPr>
      </w:pPr>
    </w:p>
    <w:p>
      <w:pPr>
        <w:ind w:left="560" w:right="160"/>
        <w:spacing w:after="0" w:line="23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holds its cash in checking and interest-bearing accounts.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80" w:lineRule="exact"/>
        <w:rPr>
          <w:sz w:val="20"/>
          <w:szCs w:val="20"/>
          <w:color w:val="auto"/>
        </w:rPr>
      </w:pPr>
    </w:p>
    <w:p>
      <w:pPr>
        <w:ind w:left="560" w:right="280"/>
        <w:spacing w:after="0" w:line="23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The Company maintains deposits in federally insured financial institutions in excess of federally insured limits. The Company is exposed to credit risk in the event of default by the financial institutions holding its cash. The Company has not experienced any losses on its deposits of cash.</w:t>
      </w:r>
    </w:p>
    <w:p>
      <w:pPr>
        <w:spacing w:after="0" w:line="147" w:lineRule="exact"/>
        <w:rPr>
          <w:sz w:val="20"/>
          <w:szCs w:val="20"/>
          <w:color w:val="auto"/>
        </w:rPr>
      </w:pPr>
    </w:p>
    <w:p>
      <w:pPr>
        <w:ind w:left="560" w:right="2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560" w:right="12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Property and Equipment</w:t>
      </w:r>
    </w:p>
    <w:p>
      <w:pPr>
        <w:spacing w:after="0" w:line="93" w:lineRule="exact"/>
        <w:rPr>
          <w:sz w:val="20"/>
          <w:szCs w:val="20"/>
          <w:color w:val="auto"/>
        </w:rPr>
      </w:pPr>
    </w:p>
    <w:p>
      <w:pPr>
        <w:ind w:left="560" w:right="8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consolidated balance sheet and the resulting gain or loss is reflected in the consolidated statement of operations and comprehensive loss. Maintenance and repairs are charged to the consolidated statement of operations and comprehensive loss as incurred.</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780" w:type="dxa"/>
            <w:vAlign w:val="bottom"/>
            <w:gridSpan w:val="2"/>
          </w:tcPr>
          <w:p>
            <w:pPr>
              <w:spacing w:after="0"/>
              <w:rPr>
                <w:sz w:val="20"/>
                <w:szCs w:val="20"/>
                <w:color w:val="auto"/>
              </w:rPr>
            </w:pPr>
            <w:r>
              <w:rPr>
                <w:rFonts w:ascii="Arial" w:cs="Arial" w:eastAsia="Arial" w:hAnsi="Arial"/>
                <w:sz w:val="17"/>
                <w:szCs w:val="17"/>
                <w:color w:val="auto"/>
              </w:rPr>
              <w:t>The useful lives of the property and equipment are as follows:</w:t>
            </w:r>
          </w:p>
        </w:tc>
        <w:tc>
          <w:tcPr>
            <w:tcW w:w="5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7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equipment</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Furniture and office equipment</w:t>
            </w:r>
          </w:p>
        </w:tc>
        <w:tc>
          <w:tcPr>
            <w:tcW w:w="5800" w:type="dxa"/>
            <w:vAlign w:val="bottom"/>
          </w:tcPr>
          <w:p>
            <w:pPr>
              <w:ind w:left="820"/>
              <w:spacing w:after="0" w:line="189" w:lineRule="exact"/>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Computer equipment</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3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Software</w:t>
            </w:r>
          </w:p>
        </w:tc>
        <w:tc>
          <w:tcPr>
            <w:tcW w:w="5800" w:type="dxa"/>
            <w:vAlign w:val="bottom"/>
          </w:tcPr>
          <w:p>
            <w:pPr>
              <w:ind w:left="820"/>
              <w:spacing w:after="0" w:line="189" w:lineRule="exact"/>
              <w:rPr>
                <w:sz w:val="20"/>
                <w:szCs w:val="20"/>
                <w:color w:val="auto"/>
              </w:rPr>
            </w:pPr>
            <w:r>
              <w:rPr>
                <w:rFonts w:ascii="Arial" w:cs="Arial" w:eastAsia="Arial" w:hAnsi="Arial"/>
                <w:sz w:val="17"/>
                <w:szCs w:val="17"/>
                <w:color w:val="auto"/>
              </w:rPr>
              <w:t>3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Leasehold improvements</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Shorter of 7 years or remaining of lease term</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auto"/>
              </w:rPr>
              <w:t>F-11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Impairment of Long-Lived Assets</w:t>
      </w:r>
    </w:p>
    <w:p>
      <w:pPr>
        <w:spacing w:after="0" w:line="93"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80"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The Company’s financial instruments consist of cash, accounts receivable,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accounts receivable and accounts payable approximates its current fair value due to the relatively short-term nature of these items.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jc w:val="both"/>
        <w:ind w:left="560" w:right="140"/>
        <w:spacing w:after="0" w:line="232"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w:t>
      </w:r>
    </w:p>
    <w:p>
      <w:pPr>
        <w:ind w:left="560" w:right="60"/>
        <w:spacing w:after="0" w:line="236" w:lineRule="auto"/>
        <w:rPr>
          <w:sz w:val="20"/>
          <w:szCs w:val="20"/>
          <w:color w:val="auto"/>
        </w:rPr>
      </w:pPr>
      <w:r>
        <w:rPr>
          <w:rFonts w:ascii="Arial" w:cs="Arial" w:eastAsia="Arial" w:hAnsi="Arial"/>
          <w:sz w:val="17"/>
          <w:szCs w:val="17"/>
          <w:color w:val="auto"/>
        </w:rPr>
        <w:t>Convertible preferred shares are classified outside of shareholders’ deficit on the accompanying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Convertible Preferred Shares Warrant Liability</w:t>
      </w:r>
    </w:p>
    <w:p>
      <w:pPr>
        <w:spacing w:after="0" w:line="80"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Upon exercise, the Series B convertible preferred shares warrant liability would be reclassified to additional paid-in capital, with any change in fair value recognized as a component of other income (expense), net.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93"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 The Company recognizes such revenues over time as services are delivered, and invoices the customer as the work is incurred in arrears.</w:t>
      </w:r>
    </w:p>
    <w:p>
      <w:pPr>
        <w:spacing w:after="0" w:line="129"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based on their standalone selling price to the respective performance obligation when (or as) the performance obligation is satisfied.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Cost of Services for Related-Party Revenue</w:t>
      </w:r>
    </w:p>
    <w:p>
      <w:pPr>
        <w:spacing w:after="0" w:line="80" w:lineRule="exact"/>
        <w:rPr>
          <w:sz w:val="20"/>
          <w:szCs w:val="20"/>
          <w:color w:val="auto"/>
        </w:rPr>
      </w:pPr>
    </w:p>
    <w:p>
      <w:pPr>
        <w:ind w:left="560" w:right="40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 and comprehensive loss.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Research and Development Costs</w:t>
      </w:r>
    </w:p>
    <w:p>
      <w:pPr>
        <w:spacing w:after="0" w:line="80"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share-based compensation expense, lab supplies and facility costs, as well as fees paid to nonemployees and entities that conduct certain research and development activities on behalf of the Company and expenses incurred in connection with license agreements (Note 9).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Clinical and Manufacturing Accruals</w:t>
      </w:r>
    </w:p>
    <w:p>
      <w:pPr>
        <w:spacing w:after="0" w:line="93"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December 31, 2019,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Share-Based Compensation Expense</w:t>
      </w:r>
    </w:p>
    <w:p>
      <w:pPr>
        <w:spacing w:after="0" w:line="93" w:lineRule="exact"/>
        <w:rPr>
          <w:sz w:val="20"/>
          <w:szCs w:val="20"/>
          <w:color w:val="auto"/>
        </w:rPr>
      </w:pPr>
    </w:p>
    <w:p>
      <w:pPr>
        <w:ind w:left="560" w:right="20"/>
        <w:spacing w:after="0" w:line="234" w:lineRule="auto"/>
        <w:rPr>
          <w:sz w:val="20"/>
          <w:szCs w:val="20"/>
          <w:color w:val="auto"/>
        </w:rPr>
      </w:pPr>
      <w:r>
        <w:rPr>
          <w:rFonts w:ascii="Arial" w:cs="Arial" w:eastAsia="Arial" w:hAnsi="Arial"/>
          <w:sz w:val="17"/>
          <w:szCs w:val="17"/>
          <w:color w:val="auto"/>
        </w:rPr>
        <w:t>The Company accounts for share-based compensation by measuring and recognizing compensation expense for all share-based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share-based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ordinary shares on the date of grant. The Company accounts for the effect of forfeitures as they occur.</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Reporting</w:t>
      </w:r>
    </w:p>
    <w:p>
      <w:pPr>
        <w:spacing w:after="0" w:line="80" w:lineRule="exact"/>
        <w:rPr>
          <w:sz w:val="20"/>
          <w:szCs w:val="20"/>
          <w:color w:val="auto"/>
        </w:rPr>
      </w:pPr>
    </w:p>
    <w:p>
      <w:pPr>
        <w:ind w:left="560" w:right="380"/>
        <w:spacing w:after="0" w:line="243"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All of the Company’s assets are maintained in the United States and Ireland.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Currency Transactions</w:t>
      </w:r>
    </w:p>
    <w:p>
      <w:pPr>
        <w:spacing w:after="0" w:line="80" w:lineRule="exact"/>
        <w:rPr>
          <w:sz w:val="20"/>
          <w:szCs w:val="20"/>
          <w:color w:val="auto"/>
        </w:rPr>
      </w:pPr>
    </w:p>
    <w:p>
      <w:pPr>
        <w:ind w:left="560" w:right="180"/>
        <w:spacing w:after="0" w:line="235"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income (expense), net, and was immaterial for the years ended December 31, 2018 and December 31, 2019, respectively.</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93" w:lineRule="exact"/>
        <w:rPr>
          <w:sz w:val="20"/>
          <w:szCs w:val="20"/>
          <w:color w:val="auto"/>
        </w:rPr>
      </w:pPr>
    </w:p>
    <w:p>
      <w:pPr>
        <w:ind w:left="560" w:right="220"/>
        <w:spacing w:after="0" w:line="235"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148"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50" w:lineRule="exact"/>
        <w:rPr>
          <w:sz w:val="20"/>
          <w:szCs w:val="20"/>
          <w:color w:val="auto"/>
        </w:rPr>
      </w:pPr>
    </w:p>
    <w:p>
      <w:pPr>
        <w:ind w:left="560" w:right="880"/>
        <w:spacing w:after="0" w:line="243"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80"/>
        <w:spacing w:after="0" w:line="243" w:lineRule="auto"/>
        <w:rPr>
          <w:sz w:val="20"/>
          <w:szCs w:val="20"/>
          <w:color w:val="auto"/>
        </w:rPr>
      </w:pPr>
      <w:r>
        <w:rPr>
          <w:rFonts w:ascii="Arial" w:cs="Arial" w:eastAsia="Arial" w:hAnsi="Arial"/>
          <w:sz w:val="17"/>
          <w:szCs w:val="17"/>
          <w:color w:val="auto"/>
        </w:rPr>
        <w:t>more likely than not to be realized upon the ultimate settlement. The Company’s policy is to recognize interest and penalties related to the underpayment of income taxes as a component of income tax expense or benefit.</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Net Loss Per Share Attributable to Ordinary Shareholders</w:t>
      </w:r>
    </w:p>
    <w:p>
      <w:pPr>
        <w:spacing w:after="0" w:line="93"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loss attributable to ordinary shareholders is calculated by adjusting net loss of the Company for cumulative preferred share dividends. Diluted net loss per share is the same as basic net loss per share, since the effects of potentially dilutive securities are antidilutive given the net loss for each period presented.</w:t>
      </w:r>
    </w:p>
    <w:p>
      <w:pPr>
        <w:spacing w:after="0" w:line="150"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Unaudited Pro Forma Net Loss Per Share Attributable to Ordinary Shareholders</w:t>
      </w:r>
    </w:p>
    <w:p>
      <w:pPr>
        <w:spacing w:after="0" w:line="80" w:lineRule="exact"/>
        <w:rPr>
          <w:sz w:val="20"/>
          <w:szCs w:val="20"/>
          <w:color w:val="auto"/>
        </w:rPr>
      </w:pPr>
    </w:p>
    <w:p>
      <w:pPr>
        <w:ind w:left="560" w:right="200"/>
        <w:spacing w:after="0" w:line="235" w:lineRule="auto"/>
        <w:rPr>
          <w:sz w:val="20"/>
          <w:szCs w:val="20"/>
          <w:color w:val="auto"/>
        </w:rPr>
      </w:pPr>
      <w:r>
        <w:rPr>
          <w:rFonts w:ascii="Arial" w:cs="Arial" w:eastAsia="Arial" w:hAnsi="Arial"/>
          <w:sz w:val="17"/>
          <w:szCs w:val="17"/>
          <w:color w:val="auto"/>
        </w:rPr>
        <w:t>In contemplation of an initial public offering, or IPO, the Company has presented unaudited pro forma basic and diluted net loss per share attributable to ordinary shareholders for the year ended December 31, 2019. Unaudited pro forma basic net loss per share attributable to ordinary shareholders as of December 31, 2019 is computed to give effect to adjustments to the denominator in the pro forma basic and diluted net loss per share calculation to reflect the conversion of all of the Company’s outstanding convertible preferred shares and cumulative dividends into 74,028,943 ordinary shares, as if the conversion had occurred as of the beginning of the period or the original date of issuance, if later.</w:t>
      </w:r>
    </w:p>
    <w:p>
      <w:pPr>
        <w:spacing w:after="0" w:line="148" w:lineRule="exact"/>
        <w:rPr>
          <w:sz w:val="20"/>
          <w:szCs w:val="20"/>
          <w:color w:val="auto"/>
        </w:rPr>
      </w:pPr>
    </w:p>
    <w:p>
      <w:pPr>
        <w:ind w:left="560" w:right="400"/>
        <w:spacing w:after="0" w:line="236" w:lineRule="auto"/>
        <w:rPr>
          <w:sz w:val="20"/>
          <w:szCs w:val="20"/>
          <w:color w:val="auto"/>
        </w:rPr>
      </w:pPr>
      <w:r>
        <w:rPr>
          <w:rFonts w:ascii="Arial" w:cs="Arial" w:eastAsia="Arial" w:hAnsi="Arial"/>
          <w:sz w:val="17"/>
          <w:szCs w:val="17"/>
          <w:color w:val="auto"/>
        </w:rPr>
        <w:t>Unaudited pro forma diluted net loss attributable to ordinary shareholders is the same as unaudited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shares expected to be sold in the assumed IPO.</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80"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31"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November 2019, the FASB issued ASU No. 2019-10, which extends the effective date of ASU No. 2016-02 for non-public business entities, including smaller reporting companies, to fiscal years beginning after December 15, 2020. The new standard is effective for the Company beginning January 1, 2021. Early adoption is permitted. The Company is currently evaluating the effects of the adoption of this guidance on its consolidated financial statements and related disclosures.</w:t>
      </w:r>
    </w:p>
    <w:p>
      <w:pPr>
        <w:spacing w:after="0" w:line="134" w:lineRule="exact"/>
        <w:rPr>
          <w:sz w:val="20"/>
          <w:szCs w:val="20"/>
          <w:color w:val="auto"/>
        </w:rPr>
      </w:pPr>
    </w:p>
    <w:p>
      <w:pPr>
        <w:ind w:left="560" w:right="60"/>
        <w:spacing w:after="0" w:line="24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which requires entities to measure all expected credit losses for financial assets held at the reporting date based on historical experience, current conditions, and reasonable and supportable forecasts. This replaces the existing</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incurred loss model and is applicable to the measurement of credit losses on financial assets measured at amortized cost. In February 2020, the FASB issued ASU No. 2020-02 and delayed the effective date of Topic 326 until fiscal year beginning after December 15, 2022. The new standard is effective for the Company beginning January 1, 2023. Early adoption is permitted. The Company is currently evaluating the effects of the adoption of this guidance on its consolidated financial statements and related disclosures.</w:t>
      </w:r>
    </w:p>
    <w:p>
      <w:pPr>
        <w:spacing w:after="0" w:line="131"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consolidated financial statements.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Accounting Pronouncements Recently Adopted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Restricted Cash, which requires that restricted cash and cash equivalents be included as components of total cash and cash equivalents as presented on the statement of cash flows. ASU 2016-18 was effective for fiscal years beginning after December 15, 2018, and a retrospective transition method is required. The Company adopted this guidance on January 1, 2019. The adoption of this guidance did not have a material impact on the Company’s consolidated financial statements.</w:t>
      </w:r>
    </w:p>
    <w:p>
      <w:pPr>
        <w:spacing w:after="0" w:line="130" w:lineRule="exact"/>
        <w:rPr>
          <w:sz w:val="20"/>
          <w:szCs w:val="20"/>
          <w:color w:val="auto"/>
        </w:rPr>
      </w:pPr>
    </w:p>
    <w:p>
      <w:pPr>
        <w:ind w:left="560" w:right="80"/>
        <w:spacing w:after="0" w:line="237"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(Topic 480): Accounting for Certain Financial Instruments with Down Round Features. ASU No. 2017-11 provides guidance that eliminates the requirement to consider “down round” features when determining whether certain financial instruments or embedded features are indexed to an entity’s stock and need to be classified as liabilities. ASU 2017-11 provides for entities to recognize the effect of a down round feature only when it is triggered and then as a dividend and a reduction to income available to common stockholders in basic earnings per share. The Company adopted this guidance on January 1, 2019. The adoption of this guidance did not have a material impact on the Company’s consolidated financial statements.</w:t>
      </w:r>
    </w:p>
    <w:p>
      <w:pPr>
        <w:spacing w:after="0" w:line="334"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7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 xml:space="preserve">The fair value of the Company’s financial assets and liabilities are determined in accordance with the fair value hierarchy established in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3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Observable inputs, such as quoted prices in active markets</w:t>
      </w:r>
    </w:p>
    <w:p>
      <w:pPr>
        <w:spacing w:after="0" w:line="155" w:lineRule="exact"/>
        <w:rPr>
          <w:rFonts w:ascii="Arial" w:cs="Arial" w:eastAsia="Arial" w:hAnsi="Arial"/>
          <w:sz w:val="17"/>
          <w:szCs w:val="17"/>
          <w:b w:val="1"/>
          <w:bCs w:val="1"/>
          <w:color w:val="auto"/>
        </w:rPr>
      </w:pPr>
    </w:p>
    <w:p>
      <w:pPr>
        <w:ind w:left="560" w:right="200"/>
        <w:spacing w:after="0" w:line="248" w:lineRule="auto"/>
        <w:rPr>
          <w:rFonts w:ascii="Arial" w:cs="Arial" w:eastAsia="Arial" w:hAnsi="Arial"/>
          <w:sz w:val="17"/>
          <w:szCs w:val="17"/>
          <w:b w:val="1"/>
          <w:bCs w:val="1"/>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other than the quoted prices in active markets, which are observable either directly or indirectly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quoted prices in markets that are not active; or other inputs that are observable or can be corroborated by observable market data for substantially the full term of the instrument’s anticipated life</w:t>
      </w:r>
    </w:p>
    <w:p>
      <w:pPr>
        <w:spacing w:after="0" w:line="12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w:t>
      </w:r>
    </w:p>
    <w:p>
      <w:pPr>
        <w:spacing w:after="0" w:line="173" w:lineRule="exact"/>
        <w:rPr>
          <w:rFonts w:ascii="Arial" w:cs="Arial" w:eastAsia="Arial" w:hAnsi="Arial"/>
          <w:sz w:val="17"/>
          <w:szCs w:val="17"/>
          <w:b w:val="1"/>
          <w:bCs w:val="1"/>
          <w:color w:val="auto"/>
        </w:rPr>
      </w:pPr>
    </w:p>
    <w:p>
      <w:pPr>
        <w:ind w:left="560" w:right="2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 difference between the fair value of the term loan with the compound derivative using the “with and without” method under the income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color w:val="auto"/>
        </w:rPr>
        <w:t>approach, and the fair value of the term loan without the compound derivative. The valuation methodology and underlying assumptions are discussed further in Note 4.</w:t>
      </w:r>
    </w:p>
    <w:p>
      <w:pPr>
        <w:spacing w:after="0" w:line="144" w:lineRule="exact"/>
        <w:rPr>
          <w:sz w:val="20"/>
          <w:szCs w:val="20"/>
          <w:color w:val="auto"/>
        </w:rPr>
      </w:pPr>
    </w:p>
    <w:p>
      <w:pPr>
        <w:ind w:left="560" w:right="26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2019</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7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728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7"/>
                <w:szCs w:val="17"/>
                <w:color w:val="auto"/>
              </w:rPr>
              <w:t>Financial liabilities</w:t>
            </w:r>
          </w:p>
        </w:tc>
        <w:tc>
          <w:tcPr>
            <w:tcW w:w="3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7280" w:type="dxa"/>
            <w:vAlign w:val="bottom"/>
            <w:gridSpan w:val="3"/>
          </w:tcPr>
          <w:p>
            <w:pPr>
              <w:ind w:left="260"/>
              <w:spacing w:after="0" w:line="162" w:lineRule="exact"/>
              <w:rPr>
                <w:sz w:val="20"/>
                <w:szCs w:val="20"/>
                <w:color w:val="auto"/>
              </w:rPr>
            </w:pPr>
            <w:r>
              <w:rPr>
                <w:rFonts w:ascii="Arial" w:cs="Arial" w:eastAsia="Arial" w:hAnsi="Arial"/>
                <w:sz w:val="17"/>
                <w:szCs w:val="17"/>
                <w:color w:val="auto"/>
              </w:rPr>
              <w:t>Long term liabilities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2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Compound derivative liability</w:t>
            </w:r>
          </w:p>
        </w:tc>
        <w:tc>
          <w:tcPr>
            <w:tcW w:w="300" w:type="dxa"/>
            <w:vAlign w:val="bottom"/>
            <w:shd w:val="clear" w:color="auto" w:fill="CCEEFF"/>
          </w:tcPr>
          <w:p>
            <w:pPr>
              <w:jc w:val="right"/>
              <w:ind w:right="119"/>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46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7280" w:type="dxa"/>
            <w:vAlign w:val="bottom"/>
            <w:gridSpan w:val="3"/>
          </w:tcPr>
          <w:p>
            <w:pPr>
              <w:ind w:left="260"/>
              <w:spacing w:after="0"/>
              <w:rPr>
                <w:sz w:val="20"/>
                <w:szCs w:val="20"/>
                <w:color w:val="auto"/>
              </w:rPr>
            </w:pPr>
            <w:r>
              <w:rPr>
                <w:rFonts w:ascii="Arial" w:cs="Arial" w:eastAsia="Arial" w:hAnsi="Arial"/>
                <w:sz w:val="17"/>
                <w:szCs w:val="17"/>
                <w:color w:val="auto"/>
              </w:rPr>
              <w:t>Warrant liability</w:t>
            </w: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361</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5" w:lineRule="exact"/>
        <w:rPr>
          <w:sz w:val="20"/>
          <w:szCs w:val="20"/>
          <w:color w:val="auto"/>
        </w:rPr>
      </w:pPr>
    </w:p>
    <w:p>
      <w:pPr>
        <w:ind w:left="560" w:right="720"/>
        <w:spacing w:after="0" w:line="246" w:lineRule="auto"/>
        <w:rPr>
          <w:sz w:val="20"/>
          <w:szCs w:val="20"/>
          <w:color w:val="auto"/>
        </w:rPr>
      </w:pPr>
      <w:r>
        <w:rPr>
          <w:rFonts w:ascii="Arial" w:cs="Arial" w:eastAsia="Arial" w:hAnsi="Arial"/>
          <w:sz w:val="18"/>
          <w:szCs w:val="18"/>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5"/>
        </w:trPr>
        <w:tc>
          <w:tcPr>
            <w:tcW w:w="5840" w:type="dxa"/>
            <w:vAlign w:val="bottom"/>
            <w:gridSpan w:val="2"/>
            <w:vMerge w:val="restart"/>
          </w:tcPr>
          <w:p>
            <w:pPr>
              <w:ind w:left="440"/>
              <w:spacing w:after="0"/>
              <w:rPr>
                <w:sz w:val="20"/>
                <w:szCs w:val="20"/>
                <w:color w:val="auto"/>
              </w:rPr>
            </w:pPr>
            <w:r>
              <w:rPr>
                <w:rFonts w:ascii="Arial" w:cs="Arial" w:eastAsia="Arial" w:hAnsi="Arial"/>
                <w:sz w:val="17"/>
                <w:szCs w:val="17"/>
                <w:color w:val="auto"/>
              </w:rPr>
              <w:t>Balance as of December 31, 2018</w:t>
            </w:r>
          </w:p>
        </w:tc>
        <w:tc>
          <w:tcPr>
            <w:tcW w:w="2800" w:type="dxa"/>
            <w:vAlign w:val="bottom"/>
          </w:tcPr>
          <w:p>
            <w:pPr>
              <w:spacing w:after="0"/>
              <w:rPr>
                <w:sz w:val="15"/>
                <w:szCs w:val="15"/>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83"/>
        </w:trPr>
        <w:tc>
          <w:tcPr>
            <w:tcW w:w="5840" w:type="dxa"/>
            <w:vAlign w:val="bottom"/>
            <w:gridSpan w:val="2"/>
            <w:vMerge w:val="continue"/>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5"/>
                <w:szCs w:val="15"/>
                <w:color w:val="auto"/>
              </w:rPr>
            </w:pPr>
          </w:p>
        </w:tc>
        <w:tc>
          <w:tcPr>
            <w:tcW w:w="3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Additions</w:t>
            </w:r>
          </w:p>
        </w:tc>
        <w:tc>
          <w:tcPr>
            <w:tcW w:w="2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361</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Change in market value</w:t>
            </w:r>
          </w:p>
        </w:tc>
        <w:tc>
          <w:tcPr>
            <w:tcW w:w="2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 2019</w:t>
            </w:r>
          </w:p>
        </w:tc>
        <w:tc>
          <w:tcPr>
            <w:tcW w:w="3080" w:type="dxa"/>
            <w:vAlign w:val="bottom"/>
            <w:gridSpan w:val="2"/>
            <w:shd w:val="clear" w:color="auto" w:fill="CCEEFF"/>
          </w:tcPr>
          <w:p>
            <w:pPr>
              <w:ind w:left="280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361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 w:right="420"/>
        <w:spacing w:after="0" w:line="238" w:lineRule="auto"/>
        <w:rPr>
          <w:sz w:val="20"/>
          <w:szCs w:val="20"/>
          <w:color w:val="auto"/>
        </w:rPr>
      </w:pPr>
      <w:r>
        <w:rPr>
          <w:rFonts w:ascii="Arial" w:cs="Arial" w:eastAsia="Arial" w:hAnsi="Arial"/>
          <w:sz w:val="17"/>
          <w:szCs w:val="17"/>
          <w:color w:val="auto"/>
        </w:rPr>
        <w:t>The Company did not have any outstanding financial liabilities to be re-measured on a recurring basis as of December 31, 2018. There were no transfers of assets or liabilities between the fair value measurement levels during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estimated fair value of the Term Loan was $5.7 million as of December 31, 2019 which approximates the carrying value and is classified as Level 3. The Company utilized a market yield analysis and income approach to estimate a value for the Term Loan. The key valuation assumptions used consist of the discount rate of 14.5% and the probability of the occurrence of a change in control event of 10.0%.</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Property and Equipment, Net</w:t>
      </w:r>
    </w:p>
    <w:p>
      <w:pPr>
        <w:spacing w:after="0" w:line="98" w:lineRule="exact"/>
        <w:rPr>
          <w:rFonts w:ascii="Arial" w:cs="Arial" w:eastAsia="Arial" w:hAnsi="Arial"/>
          <w:sz w:val="17"/>
          <w:szCs w:val="17"/>
          <w:b w:val="1"/>
          <w:bCs w:val="1"/>
          <w:color w:val="auto"/>
        </w:rPr>
      </w:pPr>
    </w:p>
    <w:p>
      <w:pPr>
        <w:ind w:left="560" w:right="22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 presents the components of property and equipment, net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7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117</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100" w:type="dxa"/>
            <w:vAlign w:val="bottom"/>
          </w:tcPr>
          <w:p>
            <w:pPr>
              <w:spacing w:after="0"/>
              <w:rPr>
                <w:sz w:val="16"/>
                <w:szCs w:val="16"/>
                <w:color w:val="auto"/>
              </w:rPr>
            </w:pPr>
          </w:p>
        </w:tc>
        <w:tc>
          <w:tcPr>
            <w:tcW w:w="1000" w:type="dxa"/>
            <w:vAlign w:val="bottom"/>
            <w:gridSpan w:val="3"/>
          </w:tcPr>
          <w:p>
            <w:pPr>
              <w:jc w:val="right"/>
              <w:ind w:right="500"/>
              <w:spacing w:after="0" w:line="189" w:lineRule="exact"/>
              <w:rPr>
                <w:sz w:val="20"/>
                <w:szCs w:val="20"/>
                <w:color w:val="auto"/>
              </w:rPr>
            </w:pPr>
            <w:r>
              <w:rPr>
                <w:rFonts w:ascii="Arial" w:cs="Arial" w:eastAsia="Arial" w:hAnsi="Arial"/>
                <w:sz w:val="17"/>
                <w:szCs w:val="17"/>
                <w:color w:val="auto"/>
              </w:rPr>
              <w:t>1,374</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1,698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6"/>
                <w:szCs w:val="16"/>
                <w:color w:val="auto"/>
              </w:rPr>
            </w:pPr>
          </w:p>
        </w:tc>
        <w:tc>
          <w:tcPr>
            <w:tcW w:w="5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429</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5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1,976</w:t>
            </w:r>
          </w:p>
        </w:tc>
        <w:tc>
          <w:tcPr>
            <w:tcW w:w="5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2,309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(1,020)</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(1,449)</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property and equipment, net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956</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8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was approximately $0.4 million for both years ended December 31, 2018 and December 31, 2019.</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components of accrued expenses and other current liabilities as of December 31, 2018 and</w:t>
      </w:r>
    </w:p>
    <w:p>
      <w:pPr>
        <w:ind w:left="560"/>
        <w:spacing w:after="0"/>
        <w:rPr>
          <w:sz w:val="20"/>
          <w:szCs w:val="20"/>
          <w:color w:val="auto"/>
        </w:rPr>
      </w:pPr>
      <w:r>
        <w:rPr>
          <w:rFonts w:ascii="Arial" w:cs="Arial" w:eastAsia="Arial" w:hAnsi="Arial"/>
          <w:sz w:val="18"/>
          <w:szCs w:val="18"/>
          <w:color w:val="auto"/>
        </w:rPr>
        <w:t>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40" w:type="dxa"/>
            <w:vAlign w:val="bottom"/>
          </w:tcPr>
          <w:p>
            <w:pPr>
              <w:spacing w:after="0"/>
              <w:rPr>
                <w:sz w:val="13"/>
                <w:szCs w:val="13"/>
                <w:color w:val="auto"/>
              </w:rPr>
            </w:pPr>
          </w:p>
        </w:tc>
        <w:tc>
          <w:tcPr>
            <w:tcW w:w="9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9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745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864</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122</w:t>
            </w: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166</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9080" w:type="dxa"/>
            <w:vAlign w:val="bottom"/>
          </w:tcPr>
          <w:p>
            <w:pPr>
              <w:ind w:left="260"/>
              <w:spacing w:after="0"/>
              <w:rPr>
                <w:sz w:val="20"/>
                <w:szCs w:val="20"/>
                <w:color w:val="auto"/>
              </w:rPr>
            </w:pPr>
            <w:r>
              <w:rPr>
                <w:rFonts w:ascii="Arial" w:cs="Arial" w:eastAsia="Arial" w:hAnsi="Arial"/>
                <w:sz w:val="17"/>
                <w:szCs w:val="17"/>
                <w:color w:val="auto"/>
              </w:rPr>
              <w:t>Total accrued expenses and other current liabilities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1,176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1,236</w:t>
            </w:r>
          </w:p>
        </w:tc>
      </w:tr>
      <w:tr>
        <w:trPr>
          <w:trHeight w:val="20"/>
        </w:trPr>
        <w:tc>
          <w:tcPr>
            <w:tcW w:w="4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379"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TERM LOAN</w:t>
      </w:r>
    </w:p>
    <w:p>
      <w:pPr>
        <w:spacing w:after="0" w:line="175"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8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4.75% as of December 31, 2019. Therefore, the rate applicable to the Company as of December 31, 2019 was 7.0%.</w:t>
      </w:r>
    </w:p>
    <w:p>
      <w:pPr>
        <w:spacing w:after="0" w:line="147" w:lineRule="exact"/>
        <w:rPr>
          <w:sz w:val="20"/>
          <w:szCs w:val="20"/>
          <w:color w:val="auto"/>
        </w:rPr>
      </w:pPr>
    </w:p>
    <w:p>
      <w:pPr>
        <w:ind w:left="560" w:right="1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ind w:left="560" w:right="140"/>
        <w:spacing w:after="0" w:line="234" w:lineRule="auto"/>
        <w:rPr>
          <w:sz w:val="20"/>
          <w:szCs w:val="20"/>
          <w:color w:val="auto"/>
        </w:rPr>
      </w:pPr>
      <w:r>
        <w:rPr>
          <w:rFonts w:ascii="Arial" w:cs="Arial" w:eastAsia="Arial" w:hAnsi="Arial"/>
          <w:sz w:val="17"/>
          <w:szCs w:val="17"/>
          <w:color w:val="auto"/>
        </w:rPr>
        <w:t>In conjunction with the Loan Agreement, the Company has issued warrants to purchase 403,348 Series B convertible preferred shares to SVB and WestRiver with an exercise price of $1.4432 per share. The estimated fair value of the warrants at the date of issuance was approximately $0.4 million. The fair value of the Series B convertible preferred shares warrant liability was determined using the Black-Scholes option-pricing model. As of December 20, 2019, the various assumptions used in the option-pricing model were time to liquidity of 2.0 to 10.0 years, volatility of 85.5%, risk-free rate of 1.7% and equity value of $345.0 million. It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December 31, 2019, the fair value of the Series B convertible preferred shares warrant liability was approximately $0.4 million and was recorded in other long-term liabilities on the consolidated balance sheet.</w:t>
      </w:r>
    </w:p>
    <w:p>
      <w:pPr>
        <w:spacing w:after="0" w:line="148"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consolidated statement of operations and comprehensive loss. As of December 31, 2019, the fair value of the compound derivative liability was approximately $51,000 and was recorded in other long-term liabilities on the consolidated balance sheet.</w:t>
      </w:r>
    </w:p>
    <w:p>
      <w:pPr>
        <w:spacing w:after="0" w:line="154" w:lineRule="exact"/>
        <w:rPr>
          <w:sz w:val="20"/>
          <w:szCs w:val="20"/>
          <w:color w:val="auto"/>
        </w:rPr>
      </w:pPr>
    </w:p>
    <w:p>
      <w:pPr>
        <w:ind w:left="560" w:right="14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consolidated balance sheet and together with the final payment are being amortized to interest expense throughout the life of the term loan using the effective interest rate method.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560" w:right="500"/>
        <w:spacing w:after="0" w:line="238" w:lineRule="auto"/>
        <w:rPr>
          <w:sz w:val="20"/>
          <w:szCs w:val="20"/>
          <w:color w:val="auto"/>
        </w:rPr>
      </w:pPr>
      <w:r>
        <w:rPr>
          <w:rFonts w:ascii="Arial" w:cs="Arial" w:eastAsia="Arial" w:hAnsi="Arial"/>
          <w:sz w:val="17"/>
          <w:szCs w:val="17"/>
          <w:color w:val="auto"/>
        </w:rPr>
        <w:t>As of December 31, 2019, there were unamortized issuance costs and debt discounts of $0.6 million which were recorded as a direct deduction from the term loan on the consolidated balance sheet. Interest expense for the term loan was immaterial for the year ended December 31, 2019. For future payments of principal and interest as of December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36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78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w w:val="98"/>
              </w:rPr>
              <w:t>3,743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7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3,007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amount representing final payment</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0" w:type="dxa"/>
            <w:vAlign w:val="bottom"/>
            <w:vMerge w:val="continue"/>
          </w:tcPr>
          <w:p>
            <w:pPr>
              <w:spacing w:after="0"/>
              <w:rPr>
                <w:sz w:val="17"/>
                <w:szCs w:val="17"/>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gross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5,421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7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Ordinary Shares</w:t>
      </w:r>
    </w:p>
    <w:p>
      <w:pPr>
        <w:spacing w:after="0" w:line="79" w:lineRule="exact"/>
        <w:rPr>
          <w:rFonts w:ascii="Arial" w:cs="Arial" w:eastAsia="Arial" w:hAnsi="Arial"/>
          <w:sz w:val="17"/>
          <w:szCs w:val="17"/>
          <w:b w:val="1"/>
          <w:bCs w:val="1"/>
          <w:color w:val="auto"/>
        </w:rPr>
      </w:pPr>
    </w:p>
    <w:p>
      <w:pPr>
        <w:ind w:left="560" w:right="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In 2015, in conjunction with the founding of the Company, 14,000,000 ordinary shares were issued to the founders, or Founder Stock, at a price of $0.005 per share. These shares are subject to repurchase at the option of the Company at a price that is the lower of (i) the original issuance price or (ii) the fair market value as of the date of repurchase, in the event that the founders’ employment is terminated either voluntarily or involuntarily. Such repurchase rights generally lapse over a period of four years from the date the Founder Stock was issued. As of December 31, 2018, and December 31, 2019, there were 749,333 and no founder shares subject to repurchase, respectively. See Note 6 for Founder Stock activity for the years ended December 31, 2018 and December 31, 2019.</w:t>
      </w:r>
    </w:p>
    <w:p>
      <w:pPr>
        <w:spacing w:after="0" w:line="147" w:lineRule="exact"/>
        <w:rPr>
          <w:rFonts w:ascii="Arial" w:cs="Arial" w:eastAsia="Arial" w:hAnsi="Arial"/>
          <w:sz w:val="17"/>
          <w:szCs w:val="17"/>
          <w:b w:val="1"/>
          <w:bCs w:val="1"/>
          <w:color w:val="auto"/>
        </w:rPr>
      </w:pPr>
    </w:p>
    <w:p>
      <w:pPr>
        <w:ind w:left="560" w:right="28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Ordinary shares reserved for future issuance, on an as if converted basis, as of December 31, 2018 and December 31, 2019,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3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67,871,229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Share options, issued and outstanding</w:t>
            </w:r>
          </w:p>
        </w:tc>
        <w:tc>
          <w:tcPr>
            <w:tcW w:w="492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5,691,123</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7,789,923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options, authorized for future issuance</w:t>
            </w:r>
          </w:p>
        </w:tc>
        <w:tc>
          <w:tcPr>
            <w:tcW w:w="492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480,471</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3,730,445</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36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403,348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36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201,674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60" w:type="dxa"/>
            <w:vAlign w:val="bottom"/>
            <w:vMerge w:val="continue"/>
          </w:tcPr>
          <w:p>
            <w:pPr>
              <w:spacing w:after="0"/>
              <w:rPr>
                <w:sz w:val="17"/>
                <w:szCs w:val="17"/>
                <w:color w:val="auto"/>
              </w:rPr>
            </w:pPr>
          </w:p>
        </w:tc>
        <w:tc>
          <w:tcPr>
            <w:tcW w:w="36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67,352,094</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79,996,619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920" w:type="dxa"/>
            <w:vAlign w:val="bottom"/>
            <w:gridSpan w:val="3"/>
          </w:tcPr>
          <w:p>
            <w:pPr>
              <w:jc w:val="right"/>
              <w:ind w:right="4140"/>
              <w:spacing w:after="0"/>
              <w:rPr>
                <w:sz w:val="20"/>
                <w:szCs w:val="20"/>
                <w:color w:val="auto"/>
              </w:rPr>
            </w:pPr>
            <w:r>
              <w:rPr>
                <w:rFonts w:ascii="Arial" w:cs="Arial" w:eastAsia="Arial" w:hAnsi="Arial"/>
                <w:sz w:val="16"/>
                <w:szCs w:val="16"/>
                <w:color w:val="auto"/>
              </w:rPr>
              <w:t>F-20</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ind w:left="560" w:right="280"/>
        <w:spacing w:after="0" w:line="243" w:lineRule="auto"/>
        <w:rPr>
          <w:sz w:val="20"/>
          <w:szCs w:val="20"/>
          <w:color w:val="auto"/>
        </w:rPr>
      </w:pPr>
      <w:r>
        <w:rPr>
          <w:rFonts w:ascii="Arial" w:cs="Arial" w:eastAsia="Arial" w:hAnsi="Arial"/>
          <w:sz w:val="17"/>
          <w:szCs w:val="17"/>
          <w:color w:val="auto"/>
        </w:rPr>
        <w:t>As of December 31, 2018 and December 31, 2019,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62,000,000</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62,000,000</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62,000,000</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14,117,822</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6,690,729</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76,117,822</w:t>
            </w: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67,871,229</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111125</wp:posOffset>
            </wp:positionV>
            <wp:extent cx="66776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76" w:lineRule="exact"/>
        <w:rPr>
          <w:sz w:val="20"/>
          <w:szCs w:val="20"/>
          <w:color w:val="auto"/>
        </w:rPr>
      </w:pPr>
    </w:p>
    <w:p>
      <w:pPr>
        <w:ind w:left="980" w:hanging="432"/>
        <w:spacing w:after="0"/>
        <w:tabs>
          <w:tab w:leader="none" w:pos="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156" w:lineRule="exact"/>
        <w:rPr>
          <w:sz w:val="20"/>
          <w:szCs w:val="20"/>
          <w:color w:val="auto"/>
        </w:rPr>
      </w:pPr>
    </w:p>
    <w:p>
      <w:pPr>
        <w:ind w:left="560" w:right="20"/>
        <w:spacing w:after="0" w:line="234" w:lineRule="auto"/>
        <w:rPr>
          <w:sz w:val="20"/>
          <w:szCs w:val="20"/>
          <w:color w:val="auto"/>
        </w:rPr>
      </w:pPr>
      <w:r>
        <w:rPr>
          <w:rFonts w:ascii="Arial" w:cs="Arial" w:eastAsia="Arial" w:hAnsi="Arial"/>
          <w:sz w:val="17"/>
          <w:szCs w:val="17"/>
          <w:color w:val="auto"/>
        </w:rPr>
        <w:t>In May 2015, the Company entered into a Series A Preferred Share Purchase Agreement, or Series A Agreement, with certain existing investors, employees, and new investors, or collectively, the Series A Investors. Under the terms of the Series A Agreement, the Company authorized the sale and issuance of up to 36,000,000 of the Company’s Series A convertible preferred shares. The purchase and sale of the Series A convertible preferred shares could be sold in one or more closings in accordance with the Series A Agreement. In March 2017, the Company entered into a convertible promissory note purchase agreement, or the Note Purchase Agreement, with certain existing investors, employees and new investors, or collectively, the Promissory Note Investors. Under the terms of the Note Purchase Agreement, the Company issued promissory notes in the aggregate principal amount of $25.0 million that are convertible into Series A convertible preferred shares to the Promissory Note Investors.</w:t>
      </w:r>
    </w:p>
    <w:p>
      <w:pPr>
        <w:spacing w:after="0" w:line="149" w:lineRule="exact"/>
        <w:rPr>
          <w:sz w:val="20"/>
          <w:szCs w:val="20"/>
          <w:color w:val="auto"/>
        </w:rPr>
      </w:pPr>
    </w:p>
    <w:p>
      <w:pPr>
        <w:ind w:left="560" w:right="120"/>
        <w:spacing w:after="0" w:line="236" w:lineRule="auto"/>
        <w:rPr>
          <w:sz w:val="20"/>
          <w:szCs w:val="20"/>
          <w:color w:val="auto"/>
        </w:rPr>
      </w:pPr>
      <w:r>
        <w:rPr>
          <w:rFonts w:ascii="Arial" w:cs="Arial" w:eastAsia="Arial" w:hAnsi="Arial"/>
          <w:sz w:val="17"/>
          <w:szCs w:val="17"/>
          <w:color w:val="auto"/>
        </w:rPr>
        <w:t>In 2015 and 2016, the Company issued a total of 36,000,000 Series A convertible preferred shares to investors at $1.00 per share for cash proceeds of $34.8 million. In September 2017, the Company issued a total of 25,180,500 Series A convertible preferred shares for cash proceeds of $1.2 million pursuant to the conversion of outstanding convertible promissory notes. The gross proceeds of $37.2 million were reduced by total issuance costs incurred of $0.2 million.</w:t>
      </w:r>
    </w:p>
    <w:p>
      <w:pPr>
        <w:spacing w:after="0" w:line="149"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In May 2019, the Company entered into a Series B Preferred Share Purchase Agreement or the Series B Agreement, with certain existing investors, employees and new investors, or collectively, the Series B Investors. Under the terms of the Series B Agreement, the Company authorized the sale and issuance of up to 14,117,822 of the Company’s Series B convertible preferred shares at a purchase price of $1.4432 per share. The purchase and sale of the Series B convertible preferred shares could be sold in one or more closings in accordance with the Series B Agreement. As of December 31, 2019, a total of 6,690,729 shares had been purchased with gross proceeds of $9.6 million. The gross proceeds of $9.6 million were reduced by total issuance costs incurred of $0.2 million.</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rights, preferences and privileges of the Series A and Series B convertible preferred shares, or Preferred Shares, as of December 31,</w:t>
      </w:r>
    </w:p>
    <w:p>
      <w:pPr>
        <w:ind w:left="560"/>
        <w:spacing w:after="0"/>
        <w:rPr>
          <w:sz w:val="20"/>
          <w:szCs w:val="20"/>
          <w:color w:val="auto"/>
        </w:rPr>
      </w:pPr>
      <w:r>
        <w:rPr>
          <w:rFonts w:ascii="Arial" w:cs="Arial" w:eastAsia="Arial" w:hAnsi="Arial"/>
          <w:sz w:val="17"/>
          <w:szCs w:val="17"/>
          <w:color w:val="auto"/>
        </w:rPr>
        <w:t>2019 are as follows:</w:t>
      </w:r>
    </w:p>
    <w:p>
      <w:pPr>
        <w:spacing w:after="0" w:line="138" w:lineRule="exact"/>
        <w:rPr>
          <w:sz w:val="20"/>
          <w:szCs w:val="20"/>
          <w:color w:val="auto"/>
        </w:rPr>
      </w:pPr>
    </w:p>
    <w:p>
      <w:pPr>
        <w:ind w:left="560" w:right="380"/>
        <w:spacing w:after="0" w:line="265" w:lineRule="auto"/>
        <w:rPr>
          <w:sz w:val="20"/>
          <w:szCs w:val="20"/>
          <w:color w:val="auto"/>
        </w:rPr>
      </w:pPr>
      <w:r>
        <w:rPr>
          <w:rFonts w:ascii="Arial" w:cs="Arial" w:eastAsia="Arial" w:hAnsi="Arial"/>
          <w:sz w:val="17"/>
          <w:szCs w:val="17"/>
          <w:i w:val="1"/>
          <w:iCs w:val="1"/>
          <w:color w:val="auto"/>
        </w:rPr>
        <w:t xml:space="preserve">Dividend Provisions </w:t>
      </w:r>
      <w:r>
        <w:rPr>
          <w:rFonts w:ascii="Arial" w:cs="Arial" w:eastAsia="Arial" w:hAnsi="Arial"/>
          <w:sz w:val="17"/>
          <w:szCs w:val="17"/>
          <w:color w:val="auto"/>
        </w:rPr>
        <w:t>– Cumulative dividends of 6.0% per annum of the original issue price for each Preferred Shares series are payable</w:t>
      </w:r>
      <w:r>
        <w:rPr>
          <w:rFonts w:ascii="Arial" w:cs="Arial" w:eastAsia="Arial" w:hAnsi="Arial"/>
          <w:sz w:val="17"/>
          <w:szCs w:val="17"/>
          <w:i w:val="1"/>
          <w:iCs w:val="1"/>
          <w:color w:val="auto"/>
        </w:rPr>
        <w:t xml:space="preserve"> </w:t>
      </w:r>
      <w:r>
        <w:rPr>
          <w:rFonts w:ascii="Arial" w:cs="Arial" w:eastAsia="Arial" w:hAnsi="Arial"/>
          <w:sz w:val="17"/>
          <w:szCs w:val="17"/>
          <w:color w:val="auto"/>
        </w:rPr>
        <w:t>when and as declared by the Company’s Board of Directors, or Board of Directors,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upon the occurrence of a liquidation event or upon a contingent mandatory conversion of the Preferred Shares in connection with a qualified initial public offering as described below. The Series A original issue price is $1.00, and the Series B original issue price is $1.4432.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Cumulative dividends for the years ended December 31, 2018 and December 31, 2019 was $8.7 million and $12.7 million, respectively. No dividends have been declared or paid since the issuance of convertible preferred shares through December 31, 2019.</w:t>
      </w:r>
    </w:p>
    <w:p>
      <w:pPr>
        <w:spacing w:after="0" w:line="133"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merger or a reduction of capital through the sale or lease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all 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On any matter presented to the shareholders of the Company, each holder of outstanding Preferred Shares shall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cast the number of votes equal to the number of whole ordinary shares into which the Preferred Shares held by such holder are convertible. The holders of Preferred Shares shall vote together with the holders of ordinary shares as a single class. Additionally, as long as at least 9,000,000 Preferred Shares are outstanding (subject to adjustment in the event of any recapitalizations), the Company must receive approval of holders of at least two-third of the voting rights then held in aggregate by the holders of the Preferred Shares in issue on an as-converted basis in order to effect certain corporate actions. Two investors have contractual rights to elect three out of five board members.</w:t>
      </w:r>
    </w:p>
    <w:p>
      <w:pPr>
        <w:spacing w:after="0" w:line="134" w:lineRule="exact"/>
        <w:rPr>
          <w:sz w:val="20"/>
          <w:szCs w:val="20"/>
          <w:color w:val="auto"/>
        </w:rPr>
      </w:pPr>
    </w:p>
    <w:p>
      <w:pPr>
        <w:ind w:left="560"/>
        <w:spacing w:after="0" w:line="238" w:lineRule="auto"/>
        <w:rPr>
          <w:sz w:val="20"/>
          <w:szCs w:val="20"/>
          <w:color w:val="auto"/>
        </w:rPr>
      </w:pPr>
      <w:r>
        <w:rPr>
          <w:rFonts w:ascii="Arial" w:cs="Arial" w:eastAsia="Arial" w:hAnsi="Arial"/>
          <w:sz w:val="17"/>
          <w:szCs w:val="17"/>
          <w:i w:val="1"/>
          <w:iCs w:val="1"/>
          <w:color w:val="auto"/>
        </w:rPr>
        <w:t xml:space="preserve">Optional Conversion at Holders’ Option </w:t>
      </w:r>
      <w:r>
        <w:rPr>
          <w:rFonts w:ascii="Arial" w:cs="Arial" w:eastAsia="Arial" w:hAnsi="Arial"/>
          <w:sz w:val="17"/>
          <w:szCs w:val="17"/>
          <w:color w:val="auto"/>
        </w:rPr>
        <w:t>– Each share of Preferred Shares shall be convertible, at the option of the holder,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 holders shall also receive only declared but as yet unpaid dividends. Note only holders of Preferred Shares receive declared and unpaid dividends; preferred shareholders who chose to convert prior to the declaration of such dividends are not entitled to receive accumulated dividends.</w:t>
      </w:r>
    </w:p>
    <w:p>
      <w:pPr>
        <w:spacing w:after="0" w:line="133"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i w:val="1"/>
          <w:iCs w:val="1"/>
          <w:color w:val="auto"/>
        </w:rPr>
        <w:t xml:space="preserve">Contingent Mandatory Conversion </w:t>
      </w:r>
      <w:r>
        <w:rPr>
          <w:rFonts w:ascii="Arial" w:cs="Arial" w:eastAsia="Arial" w:hAnsi="Arial"/>
          <w:sz w:val="17"/>
          <w:szCs w:val="17"/>
          <w:color w:val="auto"/>
        </w:rPr>
        <w:t>– Upon the closing of the first underwritten public offering pursuant to an effective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of 1933, as amended, or pursuant to a corresponding securities issuance application process in any non-U.S. jurisdiction, covering the offer and sale of the Company’s ordinary shares in which (i) the per share price is not less than $2.30912 (as adjusted for any share dividends, combinations, splits, recapitalizations and the like with respect to such shares after the filing date hereof) and (ii) the gross cash proceeds to the Company (before underwriting discounts, commissions and fees) are at least $50.0 million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3" w:lineRule="exact"/>
        <w:rPr>
          <w:sz w:val="20"/>
          <w:szCs w:val="20"/>
          <w:color w:val="auto"/>
        </w:rPr>
      </w:pPr>
    </w:p>
    <w:p>
      <w:pPr>
        <w:jc w:val="both"/>
        <w:ind w:left="560" w:right="200"/>
        <w:spacing w:after="0" w:line="248" w:lineRule="auto"/>
        <w:rPr>
          <w:sz w:val="20"/>
          <w:szCs w:val="20"/>
          <w:color w:val="auto"/>
        </w:rPr>
      </w:pPr>
      <w:r>
        <w:rPr>
          <w:rFonts w:ascii="Arial" w:cs="Arial" w:eastAsia="Arial" w:hAnsi="Arial"/>
          <w:sz w:val="17"/>
          <w:szCs w:val="17"/>
          <w:i w:val="1"/>
          <w:iCs w:val="1"/>
          <w:color w:val="auto"/>
        </w:rPr>
        <w:t xml:space="preserve">Down-Round Antidilution Protection </w:t>
      </w:r>
      <w:r>
        <w:rPr>
          <w:rFonts w:ascii="Arial" w:cs="Arial" w:eastAsia="Arial" w:hAnsi="Arial"/>
          <w:sz w:val="17"/>
          <w:szCs w:val="17"/>
          <w:color w:val="auto"/>
        </w:rPr>
        <w:t>– In the event the Company issues its ordinary shares without consideration or for consideration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75" w:lineRule="exact"/>
        <w:rPr>
          <w:rFonts w:ascii="Arial" w:cs="Arial" w:eastAsia="Arial" w:hAnsi="Arial"/>
          <w:sz w:val="17"/>
          <w:szCs w:val="17"/>
          <w:b w:val="1"/>
          <w:bCs w:val="1"/>
          <w:color w:val="auto"/>
        </w:rPr>
      </w:pPr>
    </w:p>
    <w:p>
      <w:pPr>
        <w:ind w:left="560" w:right="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During 2015, the Company adopted an equity compensation plan, the 2015 Share Award Scheme, or the Plan, for eligible employees, officers, directors, advisors, and consultants. The Plan provides for the grant of incentive and non-statutory share options. The Plan permits the Company to grant up to 14,103,000 ordinary share awards, including incentive share options, non-statutory share options, conditional share awards and restricted share awards.</w:t>
      </w:r>
    </w:p>
    <w:p>
      <w:pPr>
        <w:spacing w:after="0" w:line="149"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terms of the share option agreements, including vesting requirements, are determined by the Board of Directors, subject to the provisions of the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exercise price of the incentive share options must equal at least the fair market value of the share on the date of grant.</w:t>
      </w:r>
    </w:p>
    <w:p>
      <w:pPr>
        <w:spacing w:after="0" w:line="147" w:lineRule="exact"/>
        <w:rPr>
          <w:rFonts w:ascii="Arial" w:cs="Arial" w:eastAsia="Arial" w:hAnsi="Arial"/>
          <w:sz w:val="17"/>
          <w:szCs w:val="17"/>
          <w:b w:val="1"/>
          <w:bCs w:val="1"/>
          <w:color w:val="auto"/>
        </w:rPr>
      </w:pPr>
    </w:p>
    <w:p>
      <w:pPr>
        <w:ind w:left="5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All awards that are canceled, forfeited or expired are returned to the Plan and are available for grant in conjunction with the issuance of new awards. Share options granted are exercisable over a maximum term of 10 years from the date of grant and generally vest over an agreed service period, usually four years.</w:t>
      </w:r>
    </w:p>
    <w:p>
      <w:pPr>
        <w:spacing w:after="0" w:line="147" w:lineRule="exact"/>
        <w:rPr>
          <w:rFonts w:ascii="Arial" w:cs="Arial" w:eastAsia="Arial" w:hAnsi="Arial"/>
          <w:sz w:val="17"/>
          <w:szCs w:val="17"/>
          <w:b w:val="1"/>
          <w:bCs w:val="1"/>
          <w:color w:val="auto"/>
        </w:rPr>
      </w:pPr>
    </w:p>
    <w:p>
      <w:pPr>
        <w:ind w:left="56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Certain share options granted under the Plan provide option holders the right to elect to exercise unvested options in exchange for ordinary shares. Such unvested ordinary shares are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2018 and December 31, 2019, there were 763,708 and 223,923 unvested early exercised options and the liability related to these unvested options was $0.1 million and approximately $27,000, respectively.</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100"/>
          </w:cols>
          <w:pgMar w:left="320" w:top="459" w:right="47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Option Activity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summary of share option activity under the Plan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REMAINING</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AVAILABLE</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4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TO GRANT</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PRICE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r>
      <w:tr>
        <w:trPr>
          <w:trHeight w:val="156"/>
        </w:trPr>
        <w:tc>
          <w:tcPr>
            <w:tcW w:w="4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2017</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1,436,695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4,735,000</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0.15</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440" w:type="dxa"/>
            <w:vAlign w:val="bottom"/>
          </w:tcPr>
          <w:p>
            <w:pPr>
              <w:spacing w:after="0"/>
              <w:rPr>
                <w:sz w:val="16"/>
                <w:szCs w:val="16"/>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(1,231,823)</w:t>
            </w:r>
          </w:p>
        </w:tc>
        <w:tc>
          <w:tcPr>
            <w:tcW w:w="880" w:type="dxa"/>
            <w:vAlign w:val="bottom"/>
          </w:tcPr>
          <w:p>
            <w:pPr>
              <w:jc w:val="right"/>
              <w:spacing w:after="0"/>
              <w:rPr>
                <w:sz w:val="20"/>
                <w:szCs w:val="20"/>
                <w:color w:val="auto"/>
              </w:rPr>
            </w:pPr>
            <w:r>
              <w:rPr>
                <w:rFonts w:ascii="Arial" w:cs="Arial" w:eastAsia="Arial" w:hAnsi="Arial"/>
                <w:sz w:val="16"/>
                <w:szCs w:val="16"/>
                <w:color w:val="auto"/>
              </w:rPr>
              <w:t>1,231,823</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0.28</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(45,505)</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0.15</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1320" w:type="dxa"/>
            <w:vAlign w:val="bottom"/>
            <w:gridSpan w:val="2"/>
          </w:tcPr>
          <w:p>
            <w:pPr>
              <w:jc w:val="right"/>
              <w:ind w:right="480"/>
              <w:spacing w:after="0"/>
              <w:rPr>
                <w:sz w:val="20"/>
                <w:szCs w:val="20"/>
                <w:color w:val="auto"/>
              </w:rPr>
            </w:pPr>
            <w:r>
              <w:rPr>
                <w:rFonts w:ascii="Arial" w:cs="Arial" w:eastAsia="Arial" w:hAnsi="Arial"/>
                <w:sz w:val="16"/>
                <w:szCs w:val="16"/>
                <w:color w:val="auto"/>
              </w:rPr>
              <w:t>230,195</w:t>
            </w:r>
          </w:p>
        </w:tc>
        <w:tc>
          <w:tcPr>
            <w:tcW w:w="1380" w:type="dxa"/>
            <w:vAlign w:val="bottom"/>
            <w:gridSpan w:val="2"/>
          </w:tcPr>
          <w:p>
            <w:pPr>
              <w:jc w:val="right"/>
              <w:ind w:right="440"/>
              <w:spacing w:after="0"/>
              <w:rPr>
                <w:sz w:val="20"/>
                <w:szCs w:val="20"/>
                <w:color w:val="auto"/>
              </w:rPr>
            </w:pPr>
            <w:r>
              <w:rPr>
                <w:rFonts w:ascii="Arial" w:cs="Arial" w:eastAsia="Arial" w:hAnsi="Arial"/>
                <w:sz w:val="16"/>
                <w:szCs w:val="16"/>
                <w:color w:val="auto"/>
              </w:rPr>
              <w:t>(230,195)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0.15</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repurchased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45,404</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4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480" w:type="dxa"/>
            <w:vAlign w:val="bottom"/>
            <w:gridSpan w:val="2"/>
          </w:tcPr>
          <w:p>
            <w:pPr>
              <w:ind w:left="440"/>
              <w:spacing w:after="0"/>
              <w:rPr>
                <w:sz w:val="20"/>
                <w:szCs w:val="20"/>
                <w:color w:val="auto"/>
              </w:rPr>
            </w:pPr>
            <w:r>
              <w:rPr>
                <w:rFonts w:ascii="Arial" w:cs="Arial" w:eastAsia="Arial" w:hAnsi="Arial"/>
                <w:sz w:val="16"/>
                <w:szCs w:val="16"/>
                <w:color w:val="auto"/>
              </w:rPr>
              <w:t>Balance outstanding at December 31, 2018</w:t>
            </w:r>
          </w:p>
        </w:tc>
        <w:tc>
          <w:tcPr>
            <w:tcW w:w="840" w:type="dxa"/>
            <w:vAlign w:val="bottom"/>
          </w:tcPr>
          <w:p>
            <w:pPr>
              <w:jc w:val="right"/>
              <w:spacing w:after="0"/>
              <w:rPr>
                <w:sz w:val="20"/>
                <w:szCs w:val="20"/>
                <w:color w:val="auto"/>
              </w:rPr>
            </w:pPr>
            <w:r>
              <w:rPr>
                <w:rFonts w:ascii="Arial" w:cs="Arial" w:eastAsia="Arial" w:hAnsi="Arial"/>
                <w:sz w:val="16"/>
                <w:szCs w:val="16"/>
                <w:color w:val="auto"/>
              </w:rPr>
              <w:t>480,471</w:t>
            </w: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5,691,123</w:t>
            </w:r>
          </w:p>
        </w:tc>
        <w:tc>
          <w:tcPr>
            <w:tcW w:w="5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0.18</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582</w:t>
            </w: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5,383,000</w:t>
            </w:r>
          </w:p>
        </w:tc>
        <w:tc>
          <w:tcPr>
            <w:tcW w:w="8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(2,249,800)</w:t>
            </w:r>
          </w:p>
        </w:tc>
        <w:tc>
          <w:tcPr>
            <w:tcW w:w="880" w:type="dxa"/>
            <w:vAlign w:val="bottom"/>
          </w:tcPr>
          <w:p>
            <w:pPr>
              <w:jc w:val="right"/>
              <w:spacing w:after="0"/>
              <w:rPr>
                <w:sz w:val="20"/>
                <w:szCs w:val="20"/>
                <w:color w:val="auto"/>
              </w:rPr>
            </w:pPr>
            <w:r>
              <w:rPr>
                <w:rFonts w:ascii="Arial" w:cs="Arial" w:eastAsia="Arial" w:hAnsi="Arial"/>
                <w:sz w:val="16"/>
                <w:szCs w:val="16"/>
                <w:color w:val="auto"/>
              </w:rPr>
              <w:t>2,249,800</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0.29</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(34,226)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0.28</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840" w:type="dxa"/>
            <w:vAlign w:val="bottom"/>
          </w:tcPr>
          <w:p>
            <w:pPr>
              <w:jc w:val="right"/>
              <w:spacing w:after="0"/>
              <w:rPr>
                <w:sz w:val="20"/>
                <w:szCs w:val="20"/>
                <w:color w:val="auto"/>
              </w:rPr>
            </w:pPr>
            <w:r>
              <w:rPr>
                <w:rFonts w:ascii="Arial" w:cs="Arial" w:eastAsia="Arial" w:hAnsi="Arial"/>
                <w:sz w:val="16"/>
                <w:szCs w:val="16"/>
                <w:color w:val="auto"/>
              </w:rPr>
              <w:t>116,774</w:t>
            </w:r>
          </w:p>
        </w:tc>
        <w:tc>
          <w:tcPr>
            <w:tcW w:w="48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6"/>
                <w:szCs w:val="16"/>
                <w:color w:val="auto"/>
              </w:rPr>
              <w:t>(116,774)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0.28</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3,730,445</w:t>
            </w:r>
          </w:p>
        </w:tc>
        <w:tc>
          <w:tcPr>
            <w:tcW w:w="48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7,789,923</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0.21</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r>
      <w:tr>
        <w:trPr>
          <w:trHeight w:val="20"/>
        </w:trPr>
        <w:tc>
          <w:tcPr>
            <w:tcW w:w="4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91"/>
        </w:trPr>
        <w:tc>
          <w:tcPr>
            <w:tcW w:w="4480" w:type="dxa"/>
            <w:vAlign w:val="bottom"/>
            <w:gridSpan w:val="2"/>
          </w:tcPr>
          <w:p>
            <w:pPr>
              <w:ind w:left="440"/>
              <w:spacing w:after="0"/>
              <w:rPr>
                <w:sz w:val="20"/>
                <w:szCs w:val="20"/>
                <w:color w:val="auto"/>
              </w:rPr>
            </w:pPr>
            <w:r>
              <w:rPr>
                <w:rFonts w:ascii="Arial" w:cs="Arial" w:eastAsia="Arial" w:hAnsi="Arial"/>
                <w:sz w:val="16"/>
                <w:szCs w:val="16"/>
                <w:color w:val="auto"/>
              </w:rPr>
              <w:t>Exercisable at December 31, 2019</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3,724,615</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0.18</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r>
      <w:tr>
        <w:trPr>
          <w:trHeight w:val="20"/>
        </w:trPr>
        <w:tc>
          <w:tcPr>
            <w:tcW w:w="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As of December 31, 2019, there was unrecognized share-based compensation expense of $0.6 million, related to unvested share options which the Company expects to recognize over a weighted-average period of 2.7 years.</w:t>
      </w:r>
    </w:p>
    <w:p>
      <w:pPr>
        <w:spacing w:after="0" w:line="144" w:lineRule="exact"/>
        <w:rPr>
          <w:sz w:val="20"/>
          <w:szCs w:val="20"/>
          <w:color w:val="auto"/>
        </w:rPr>
      </w:pPr>
    </w:p>
    <w:p>
      <w:pPr>
        <w:ind w:left="560" w:right="240"/>
        <w:spacing w:after="0" w:line="236" w:lineRule="auto"/>
        <w:rPr>
          <w:sz w:val="20"/>
          <w:szCs w:val="20"/>
          <w:color w:val="auto"/>
        </w:rPr>
      </w:pPr>
      <w:r>
        <w:rPr>
          <w:rFonts w:ascii="Arial" w:cs="Arial" w:eastAsia="Arial" w:hAnsi="Arial"/>
          <w:sz w:val="17"/>
          <w:szCs w:val="17"/>
          <w:color w:val="auto"/>
        </w:rPr>
        <w:t>The aggregate intrinsic values of options outstanding and exercisable were calculated as the difference between the exercise price of the options and the estimated fair value of the Company’s ordinary shares as determined by the Board of Directors as of December 31, 2018 and December 31, 2019. The total intrinsic value of options exercised during the years ended December 31, 2018 and 2019 were immaterial.</w:t>
      </w:r>
    </w:p>
    <w:p>
      <w:pPr>
        <w:spacing w:after="0" w:line="149"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Compensation cost for share options granted is based on the grant-date fair value estimated and is recognized over the vesting period of the applicable option on a straight-line basis. The weighted-average grant-date fair value per share for share options granted during the years ended December 31, 2018 and December 31, 2019 was $0.17 and $0.19, respectively. The total fair value of options that vested during the years ended December 31, 2018 and December 31, 2019 was approximately $0.1 million and $0.3 million, respectively.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Share-based compensation expense includes share options granted to employees and nonemployees and has been reported in the</w:t>
      </w:r>
    </w:p>
    <w:p>
      <w:pPr>
        <w:ind w:left="560"/>
        <w:spacing w:after="0"/>
        <w:rPr>
          <w:sz w:val="20"/>
          <w:szCs w:val="20"/>
          <w:color w:val="auto"/>
        </w:rPr>
      </w:pPr>
      <w:r>
        <w:rPr>
          <w:rFonts w:ascii="Arial" w:cs="Arial" w:eastAsia="Arial" w:hAnsi="Arial"/>
          <w:sz w:val="17"/>
          <w:szCs w:val="17"/>
          <w:color w:val="auto"/>
        </w:rPr>
        <w:t>Company’s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02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36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1"/>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195</w:t>
            </w: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9"/>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3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gridSpan w:val="2"/>
          </w:tcPr>
          <w:p>
            <w:pPr>
              <w:jc w:val="right"/>
              <w:ind w:right="860"/>
              <w:spacing w:after="0" w:line="189" w:lineRule="exact"/>
              <w:rPr>
                <w:sz w:val="20"/>
                <w:szCs w:val="20"/>
                <w:color w:val="auto"/>
              </w:rPr>
            </w:pPr>
            <w:r>
              <w:rPr>
                <w:rFonts w:ascii="Arial" w:cs="Arial" w:eastAsia="Arial" w:hAnsi="Arial"/>
                <w:sz w:val="17"/>
                <w:szCs w:val="17"/>
                <w:color w:val="auto"/>
              </w:rPr>
              <w:t>16</w:t>
            </w:r>
          </w:p>
        </w:tc>
        <w:tc>
          <w:tcPr>
            <w:tcW w:w="680" w:type="dxa"/>
            <w:vAlign w:val="bottom"/>
          </w:tcPr>
          <w:p>
            <w:pPr>
              <w:spacing w:after="0"/>
              <w:rPr>
                <w:sz w:val="16"/>
                <w:szCs w:val="16"/>
                <w:color w:val="auto"/>
              </w:rPr>
            </w:pP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58</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vMerge w:val="continue"/>
          </w:tcPr>
          <w:p>
            <w:pPr>
              <w:spacing w:after="0"/>
              <w:rPr>
                <w:sz w:val="17"/>
                <w:szCs w:val="17"/>
                <w:color w:val="auto"/>
              </w:rPr>
            </w:pPr>
          </w:p>
        </w:tc>
        <w:tc>
          <w:tcPr>
            <w:tcW w:w="3680" w:type="dxa"/>
            <w:vAlign w:val="bottom"/>
          </w:tcPr>
          <w:p>
            <w:pPr>
              <w:spacing w:after="0"/>
              <w:rPr>
                <w:sz w:val="17"/>
                <w:szCs w:val="17"/>
                <w:color w:val="auto"/>
              </w:rPr>
            </w:pPr>
          </w:p>
        </w:tc>
        <w:tc>
          <w:tcPr>
            <w:tcW w:w="680" w:type="dxa"/>
            <w:vAlign w:val="bottom"/>
          </w:tcPr>
          <w:p>
            <w:pPr>
              <w:jc w:val="right"/>
              <w:ind w:right="501"/>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60"/>
              <w:spacing w:after="0"/>
              <w:rPr>
                <w:sz w:val="20"/>
                <w:szCs w:val="20"/>
                <w:color w:val="auto"/>
              </w:rPr>
            </w:pPr>
            <w:r>
              <w:rPr>
                <w:rFonts w:ascii="Arial" w:cs="Arial" w:eastAsia="Arial" w:hAnsi="Arial"/>
                <w:sz w:val="17"/>
                <w:szCs w:val="17"/>
                <w:color w:val="auto"/>
                <w:w w:val="98"/>
              </w:rPr>
              <w:t>269</w:t>
            </w:r>
          </w:p>
        </w:tc>
        <w:tc>
          <w:tcPr>
            <w:tcW w:w="680" w:type="dxa"/>
            <w:vAlign w:val="bottom"/>
          </w:tcPr>
          <w:p>
            <w:pPr>
              <w:jc w:val="right"/>
              <w:ind w:right="499"/>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297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60" w:type="dxa"/>
            <w:vAlign w:val="bottom"/>
            <w:gridSpan w:val="2"/>
          </w:tcPr>
          <w:p>
            <w:pPr>
              <w:jc w:val="right"/>
              <w:ind w:right="3061"/>
              <w:spacing w:after="0"/>
              <w:rPr>
                <w:sz w:val="20"/>
                <w:szCs w:val="20"/>
                <w:color w:val="auto"/>
              </w:rPr>
            </w:pPr>
            <w:r>
              <w:rPr>
                <w:rFonts w:ascii="Arial" w:cs="Arial" w:eastAsia="Arial" w:hAnsi="Arial"/>
                <w:sz w:val="16"/>
                <w:szCs w:val="16"/>
                <w:color w:val="auto"/>
              </w:rPr>
              <w:t>F-24</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Company’s computation of share-based compensation expense for the years ended December 31, 2018 and December 31, 2019 is based on the fair value of ordinary shares of $0.28 and $0.29, respectively, and is adjusted for actual forfeitures as they occur. The fair value of each option grant during the years ended December 31, 2018 and December 31, 2019 was estimated on the date of grant using the Black-Scholes option-pricing model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318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4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gridSpan w:val="2"/>
          </w:tcPr>
          <w:p>
            <w:pPr>
              <w:jc w:val="right"/>
              <w:ind w:right="5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83"/>
        </w:trPr>
        <w:tc>
          <w:tcPr>
            <w:tcW w:w="7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1520" w:type="dxa"/>
            <w:vAlign w:val="bottom"/>
            <w:gridSpan w:val="2"/>
            <w:shd w:val="clear" w:color="auto" w:fill="CCEEFF"/>
          </w:tcPr>
          <w:p>
            <w:pPr>
              <w:jc w:val="right"/>
              <w:ind w:right="395"/>
              <w:spacing w:after="0" w:line="183" w:lineRule="exact"/>
              <w:rPr>
                <w:sz w:val="20"/>
                <w:szCs w:val="20"/>
                <w:color w:val="auto"/>
              </w:rPr>
            </w:pPr>
            <w:r>
              <w:rPr>
                <w:rFonts w:ascii="Arial" w:cs="Arial" w:eastAsia="Arial" w:hAnsi="Arial"/>
                <w:sz w:val="17"/>
                <w:szCs w:val="17"/>
                <w:color w:val="auto"/>
              </w:rPr>
              <w:t>5.2 – 6.0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6.0</w:t>
            </w:r>
          </w:p>
        </w:tc>
      </w:tr>
      <w:tr>
        <w:trPr>
          <w:trHeight w:val="189"/>
        </w:trPr>
        <w:tc>
          <w:tcPr>
            <w:tcW w:w="740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2.6%</w:t>
            </w:r>
          </w:p>
        </w:tc>
        <w:tc>
          <w:tcPr>
            <w:tcW w:w="9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 3.0%</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14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ind w:left="20"/>
              <w:spacing w:after="0" w:line="189" w:lineRule="exact"/>
              <w:rPr>
                <w:sz w:val="20"/>
                <w:szCs w:val="20"/>
                <w:color w:val="auto"/>
              </w:rPr>
            </w:pPr>
            <w:r>
              <w:rPr>
                <w:rFonts w:ascii="Arial" w:cs="Arial" w:eastAsia="Arial" w:hAnsi="Arial"/>
                <w:sz w:val="17"/>
                <w:szCs w:val="17"/>
                <w:color w:val="auto"/>
              </w:rPr>
              <w:t>2.1%</w:t>
            </w:r>
          </w:p>
        </w:tc>
      </w:tr>
      <w:tr>
        <w:trPr>
          <w:trHeight w:val="189"/>
        </w:trPr>
        <w:tc>
          <w:tcPr>
            <w:tcW w:w="7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7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6"/>
                <w:szCs w:val="16"/>
                <w:color w:val="auto"/>
              </w:rPr>
            </w:pPr>
          </w:p>
        </w:tc>
      </w:tr>
      <w:tr>
        <w:trPr>
          <w:trHeight w:val="205"/>
        </w:trPr>
        <w:tc>
          <w:tcPr>
            <w:tcW w:w="740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700" w:type="dxa"/>
            <w:vAlign w:val="bottom"/>
          </w:tcPr>
          <w:p>
            <w:pPr>
              <w:jc w:val="right"/>
              <w:spacing w:after="0"/>
              <w:rPr>
                <w:sz w:val="20"/>
                <w:szCs w:val="20"/>
                <w:color w:val="auto"/>
              </w:rPr>
            </w:pPr>
            <w:r>
              <w:rPr>
                <w:rFonts w:ascii="Arial" w:cs="Arial" w:eastAsia="Arial" w:hAnsi="Arial"/>
                <w:sz w:val="17"/>
                <w:szCs w:val="17"/>
                <w:color w:val="auto"/>
              </w:rPr>
              <w:t>66.5%</w:t>
            </w:r>
          </w:p>
        </w:tc>
        <w:tc>
          <w:tcPr>
            <w:tcW w:w="940" w:type="dxa"/>
            <w:vAlign w:val="bottom"/>
            <w:gridSpan w:val="2"/>
          </w:tcPr>
          <w:p>
            <w:pPr>
              <w:ind w:left="20"/>
              <w:spacing w:after="0"/>
              <w:rPr>
                <w:sz w:val="20"/>
                <w:szCs w:val="20"/>
                <w:color w:val="auto"/>
              </w:rPr>
            </w:pPr>
            <w:r>
              <w:rPr>
                <w:rFonts w:ascii="Arial" w:cs="Arial" w:eastAsia="Arial" w:hAnsi="Arial"/>
                <w:sz w:val="17"/>
                <w:szCs w:val="17"/>
                <w:color w:val="auto"/>
              </w:rPr>
              <w:t>– 68.7%</w:t>
            </w:r>
          </w:p>
        </w:tc>
        <w:tc>
          <w:tcPr>
            <w:tcW w:w="700" w:type="dxa"/>
            <w:vAlign w:val="bottom"/>
          </w:tcPr>
          <w:p>
            <w:pPr>
              <w:jc w:val="right"/>
              <w:spacing w:after="0"/>
              <w:rPr>
                <w:sz w:val="20"/>
                <w:szCs w:val="20"/>
                <w:color w:val="auto"/>
              </w:rPr>
            </w:pPr>
            <w:r>
              <w:rPr>
                <w:rFonts w:ascii="Arial" w:cs="Arial" w:eastAsia="Arial" w:hAnsi="Arial"/>
                <w:sz w:val="17"/>
                <w:szCs w:val="17"/>
                <w:color w:val="auto"/>
              </w:rPr>
              <w:t>75.2%</w:t>
            </w:r>
          </w:p>
        </w:tc>
        <w:tc>
          <w:tcPr>
            <w:tcW w:w="140" w:type="dxa"/>
            <w:vAlign w:val="bottom"/>
          </w:tcPr>
          <w:p>
            <w:pPr>
              <w:jc w:val="center"/>
              <w:spacing w:after="0"/>
              <w:rPr>
                <w:sz w:val="20"/>
                <w:szCs w:val="20"/>
                <w:color w:val="auto"/>
              </w:rPr>
            </w:pPr>
            <w:r>
              <w:rPr>
                <w:rFonts w:ascii="Arial" w:cs="Arial" w:eastAsia="Arial" w:hAnsi="Arial"/>
                <w:sz w:val="17"/>
                <w:szCs w:val="17"/>
                <w:color w:val="auto"/>
              </w:rPr>
              <w:t>–</w:t>
            </w:r>
          </w:p>
        </w:tc>
        <w:tc>
          <w:tcPr>
            <w:tcW w:w="700" w:type="dxa"/>
            <w:vAlign w:val="bottom"/>
          </w:tcPr>
          <w:p>
            <w:pPr>
              <w:ind w:left="20"/>
              <w:spacing w:after="0"/>
              <w:rPr>
                <w:sz w:val="20"/>
                <w:szCs w:val="20"/>
                <w:color w:val="auto"/>
              </w:rPr>
            </w:pPr>
            <w:r>
              <w:rPr>
                <w:rFonts w:ascii="Arial" w:cs="Arial" w:eastAsia="Arial" w:hAnsi="Arial"/>
                <w:sz w:val="17"/>
                <w:szCs w:val="17"/>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2"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options represents the average period the share options are expected to remain outstanding.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26" w:lineRule="exact"/>
        <w:rPr>
          <w:sz w:val="20"/>
          <w:szCs w:val="20"/>
          <w:color w:val="auto"/>
        </w:rPr>
      </w:pPr>
    </w:p>
    <w:p>
      <w:pPr>
        <w:ind w:left="560" w:right="1120"/>
        <w:spacing w:after="0" w:line="265"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 of U.S. Treasury notes as of the grant date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commensurate with the expected term of the option.</w:t>
      </w:r>
    </w:p>
    <w:p>
      <w:pPr>
        <w:spacing w:after="0" w:line="108" w:lineRule="exact"/>
        <w:rPr>
          <w:sz w:val="20"/>
          <w:szCs w:val="20"/>
          <w:color w:val="auto"/>
        </w:rPr>
      </w:pPr>
    </w:p>
    <w:p>
      <w:pPr>
        <w:ind w:left="560" w:right="440"/>
        <w:spacing w:after="0" w:line="265"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w:t>
      </w:r>
    </w:p>
    <w:p>
      <w:pPr>
        <w:spacing w:after="0" w:line="108"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Since the Company is private and does not have any trading history for its ordinary shares, the expected volatility is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volatilities of the common shares of comparable publicly traded companies.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26" w:lineRule="exact"/>
        <w:rPr>
          <w:sz w:val="20"/>
          <w:szCs w:val="20"/>
          <w:color w:val="auto"/>
        </w:rPr>
      </w:pPr>
    </w:p>
    <w:p>
      <w:pPr>
        <w:ind w:left="560" w:right="80"/>
        <w:spacing w:after="0" w:line="238" w:lineRule="auto"/>
        <w:rPr>
          <w:sz w:val="20"/>
          <w:szCs w:val="20"/>
          <w:color w:val="auto"/>
        </w:rPr>
      </w:pPr>
      <w:r>
        <w:rPr>
          <w:rFonts w:ascii="Arial" w:cs="Arial" w:eastAsia="Arial" w:hAnsi="Arial"/>
          <w:sz w:val="17"/>
          <w:szCs w:val="17"/>
          <w:i w:val="1"/>
          <w:iCs w:val="1"/>
          <w:color w:val="auto"/>
        </w:rPr>
        <w:t>Estimated Fair Value</w:t>
      </w:r>
      <w:r>
        <w:rPr>
          <w:rFonts w:ascii="Arial" w:cs="Arial" w:eastAsia="Arial" w:hAnsi="Arial"/>
          <w:sz w:val="17"/>
          <w:szCs w:val="17"/>
          <w:color w:val="auto"/>
        </w:rPr>
        <w:t>. The estimated fair value of the shares of common stock underlying stock options was determined by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(b) Founder Stock Activity</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a summary of Founder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NUMBER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4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4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Unvested at December 31, 2017</w:t>
            </w:r>
          </w:p>
        </w:tc>
        <w:tc>
          <w:tcPr>
            <w:tcW w:w="38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2,997,333</w:t>
            </w:r>
          </w:p>
        </w:tc>
        <w:tc>
          <w:tcPr>
            <w:tcW w:w="6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480"/>
              <w:spacing w:after="0" w:line="183" w:lineRule="exact"/>
              <w:rPr>
                <w:sz w:val="20"/>
                <w:szCs w:val="20"/>
                <w:color w:val="auto"/>
              </w:rPr>
            </w:pPr>
            <w:r>
              <w:rPr>
                <w:rFonts w:ascii="Arial" w:cs="Arial" w:eastAsia="Arial" w:hAnsi="Arial"/>
                <w:sz w:val="17"/>
                <w:szCs w:val="17"/>
                <w:color w:val="auto"/>
              </w:rPr>
              <w:t>$0.05</w:t>
            </w:r>
          </w:p>
        </w:tc>
      </w:tr>
      <w:tr>
        <w:trPr>
          <w:trHeight w:val="189"/>
        </w:trPr>
        <w:tc>
          <w:tcPr>
            <w:tcW w:w="440" w:type="dxa"/>
            <w:vAlign w:val="bottom"/>
          </w:tcPr>
          <w:p>
            <w:pPr>
              <w:spacing w:after="0"/>
              <w:rPr>
                <w:sz w:val="16"/>
                <w:szCs w:val="16"/>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5360" w:type="dxa"/>
            <w:vAlign w:val="bottom"/>
            <w:gridSpan w:val="3"/>
          </w:tcPr>
          <w:p>
            <w:pPr>
              <w:jc w:val="right"/>
              <w:ind w:right="620"/>
              <w:spacing w:after="0" w:line="189" w:lineRule="exact"/>
              <w:rPr>
                <w:sz w:val="20"/>
                <w:szCs w:val="20"/>
                <w:color w:val="auto"/>
              </w:rPr>
            </w:pPr>
            <w:r>
              <w:rPr>
                <w:rFonts w:ascii="Arial" w:cs="Arial" w:eastAsia="Arial" w:hAnsi="Arial"/>
                <w:sz w:val="17"/>
                <w:szCs w:val="17"/>
                <w:color w:val="auto"/>
              </w:rPr>
              <w:t>(2,248,000)</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0.05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2018</w:t>
            </w:r>
          </w:p>
        </w:tc>
        <w:tc>
          <w:tcPr>
            <w:tcW w:w="5360" w:type="dxa"/>
            <w:vAlign w:val="bottom"/>
            <w:gridSpan w:val="3"/>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749,333</w:t>
            </w:r>
          </w:p>
        </w:tc>
        <w:tc>
          <w:tcPr>
            <w:tcW w:w="1540" w:type="dxa"/>
            <w:vAlign w:val="bottom"/>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0.05</w:t>
            </w:r>
          </w:p>
        </w:tc>
      </w:tr>
      <w:tr>
        <w:trPr>
          <w:trHeight w:val="196"/>
        </w:trPr>
        <w:tc>
          <w:tcPr>
            <w:tcW w:w="440" w:type="dxa"/>
            <w:vAlign w:val="bottom"/>
          </w:tcPr>
          <w:p>
            <w:pPr>
              <w:spacing w:after="0"/>
              <w:rPr>
                <w:sz w:val="17"/>
                <w:szCs w:val="17"/>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3820" w:type="dxa"/>
            <w:vAlign w:val="bottom"/>
          </w:tcPr>
          <w:p>
            <w:pPr>
              <w:spacing w:after="0"/>
              <w:rPr>
                <w:sz w:val="17"/>
                <w:szCs w:val="17"/>
                <w:color w:val="auto"/>
              </w:rPr>
            </w:pPr>
          </w:p>
        </w:tc>
        <w:tc>
          <w:tcPr>
            <w:tcW w:w="154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(749,333)</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0.05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2019</w:t>
            </w:r>
          </w:p>
        </w:tc>
        <w:tc>
          <w:tcPr>
            <w:tcW w:w="382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   —</w:t>
            </w:r>
          </w:p>
        </w:tc>
      </w:tr>
      <w:tr>
        <w:trPr>
          <w:trHeight w:val="20"/>
        </w:trPr>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5360" w:type="dxa"/>
            <w:vAlign w:val="bottom"/>
            <w:tcBorders>
              <w:bottom w:val="single" w:sz="8" w:color="auto"/>
            </w:tcBorders>
            <w:gridSpan w:val="3"/>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379"/>
        </w:trPr>
        <w:tc>
          <w:tcPr>
            <w:tcW w:w="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360" w:type="dxa"/>
            <w:vAlign w:val="bottom"/>
            <w:gridSpan w:val="3"/>
          </w:tcPr>
          <w:p>
            <w:pPr>
              <w:jc w:val="right"/>
              <w:ind w:right="3800"/>
              <w:spacing w:after="0"/>
              <w:rPr>
                <w:sz w:val="20"/>
                <w:szCs w:val="20"/>
                <w:color w:val="auto"/>
              </w:rPr>
            </w:pPr>
            <w:r>
              <w:rPr>
                <w:rFonts w:ascii="Arial" w:cs="Arial" w:eastAsia="Arial" w:hAnsi="Arial"/>
                <w:sz w:val="16"/>
                <w:szCs w:val="16"/>
                <w:color w:val="auto"/>
              </w:rPr>
              <w:t>F-25</w:t>
            </w:r>
          </w:p>
        </w:tc>
        <w:tc>
          <w:tcPr>
            <w:tcW w:w="15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There were no Founder Stock granted during the years ended December 31, 2018 and December 31, 2019. The total fair value of Founder Stock that vested during the years ended December 31, 2018 and December 31, 2019 were $0.1 million and $40,000, respectively.</w:t>
      </w:r>
    </w:p>
    <w:p>
      <w:pPr>
        <w:spacing w:after="0" w:line="327"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80" w:lineRule="exact"/>
        <w:rPr>
          <w:rFonts w:ascii="Arial" w:cs="Arial" w:eastAsia="Arial" w:hAnsi="Arial"/>
          <w:sz w:val="17"/>
          <w:szCs w:val="17"/>
          <w:b w:val="1"/>
          <w:bCs w:val="1"/>
          <w:color w:val="auto"/>
        </w:rPr>
      </w:pPr>
    </w:p>
    <w:p>
      <w:pPr>
        <w:ind w:left="560" w:right="6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domestic (Ireland) and foreign components of pre-tax loss for the years ending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720" w:type="dxa"/>
            <w:vAlign w:val="bottom"/>
            <w:gridSpan w:val="3"/>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Foreign</w:t>
            </w:r>
          </w:p>
        </w:tc>
        <w:tc>
          <w:tcPr>
            <w:tcW w:w="7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0"/>
              </w:rPr>
              <w:t>$ (12,576)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5"/>
              </w:rPr>
              <w:t>$ (16,803)</w:t>
            </w: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(1,110)</w:t>
            </w:r>
          </w:p>
        </w:tc>
        <w:tc>
          <w:tcPr>
            <w:tcW w:w="120" w:type="dxa"/>
            <w:vAlign w:val="bottom"/>
          </w:tcPr>
          <w:p>
            <w:pPr>
              <w:spacing w:after="0"/>
              <w:rPr>
                <w:sz w:val="16"/>
                <w:szCs w:val="16"/>
                <w:color w:val="auto"/>
              </w:rPr>
            </w:pPr>
          </w:p>
        </w:tc>
        <w:tc>
          <w:tcPr>
            <w:tcW w:w="88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(2,406)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8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8"/>
              </w:rPr>
              <w:t>$ (13,686)</w:t>
            </w:r>
          </w:p>
        </w:tc>
        <w:tc>
          <w:tcPr>
            <w:tcW w:w="1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 (19,209)</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9100" w:type="dxa"/>
            <w:vAlign w:val="bottom"/>
            <w:gridSpan w:val="2"/>
          </w:tcPr>
          <w:p>
            <w:pPr>
              <w:ind w:left="440"/>
              <w:spacing w:after="0"/>
              <w:rPr>
                <w:sz w:val="20"/>
                <w:szCs w:val="20"/>
                <w:color w:val="auto"/>
              </w:rPr>
            </w:pPr>
            <w:r>
              <w:rPr>
                <w:rFonts w:ascii="Arial" w:cs="Arial" w:eastAsia="Arial" w:hAnsi="Arial"/>
                <w:sz w:val="17"/>
                <w:szCs w:val="17"/>
                <w:color w:val="auto"/>
              </w:rPr>
              <w:t>The provision for income taxes consist of the following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0" w:type="dxa"/>
            <w:vAlign w:val="bottom"/>
            <w:tcBorders>
              <w:bottom w:val="single" w:sz="8" w:color="auto"/>
            </w:tcBorders>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8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Current</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current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b w:val="1"/>
                <w:bCs w:val="1"/>
                <w:color w:val="auto"/>
              </w:rPr>
              <w:t>Deferred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 (Ireland)</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deferred</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Irish statutory income tax rate of 12.5% to the actual tax rate for the years ended December 31, 2018 and</w:t>
      </w:r>
    </w:p>
    <w:p>
      <w:pPr>
        <w:ind w:left="560"/>
        <w:spacing w:after="0"/>
        <w:rPr>
          <w:sz w:val="20"/>
          <w:szCs w:val="20"/>
          <w:color w:val="auto"/>
        </w:rPr>
      </w:pPr>
      <w:r>
        <w:rPr>
          <w:rFonts w:ascii="Arial" w:cs="Arial" w:eastAsia="Arial" w:hAnsi="Arial"/>
          <w:sz w:val="17"/>
          <w:szCs w:val="17"/>
          <w:color w:val="auto"/>
        </w:rPr>
        <w:t>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50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At statutory rate</w:t>
            </w:r>
          </w:p>
        </w:tc>
        <w:tc>
          <w:tcPr>
            <w:tcW w:w="50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(1,711)</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(2,401)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Foreign income tax at different rates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1,404</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R&amp;D credits</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(499)</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732</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Share-based compensation</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Prior period true ups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(38)</w:t>
            </w:r>
          </w:p>
        </w:tc>
        <w:tc>
          <w:tcPr>
            <w:tcW w:w="12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440"/>
              <w:spacing w:after="0"/>
              <w:rPr>
                <w:sz w:val="20"/>
                <w:szCs w:val="20"/>
                <w:color w:val="auto"/>
              </w:rPr>
            </w:pPr>
            <w:r>
              <w:rPr>
                <w:rFonts w:ascii="Arial" w:cs="Arial" w:eastAsia="Arial" w:hAnsi="Arial"/>
                <w:sz w:val="17"/>
                <w:szCs w:val="17"/>
                <w:color w:val="auto"/>
              </w:rPr>
              <w:t>Provision for income taxes</w:t>
            </w:r>
          </w:p>
        </w:tc>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5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45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160" w:type="dxa"/>
            <w:vAlign w:val="bottom"/>
            <w:gridSpan w:val="2"/>
          </w:tcPr>
          <w:p>
            <w:pPr>
              <w:jc w:val="right"/>
              <w:ind w:right="3655"/>
              <w:spacing w:after="0"/>
              <w:rPr>
                <w:sz w:val="20"/>
                <w:szCs w:val="20"/>
                <w:color w:val="auto"/>
              </w:rPr>
            </w:pPr>
            <w:r>
              <w:rPr>
                <w:rFonts w:ascii="Arial" w:cs="Arial" w:eastAsia="Arial" w:hAnsi="Arial"/>
                <w:sz w:val="16"/>
                <w:szCs w:val="16"/>
                <w:color w:val="auto"/>
              </w:rPr>
              <w:t>F-26</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760"/>
        <w:spacing w:after="0" w:line="243" w:lineRule="auto"/>
        <w:rPr>
          <w:sz w:val="20"/>
          <w:szCs w:val="20"/>
          <w:color w:val="auto"/>
        </w:rPr>
      </w:pPr>
      <w:r>
        <w:rPr>
          <w:rFonts w:ascii="Arial" w:cs="Arial" w:eastAsia="Arial" w:hAnsi="Arial"/>
          <w:sz w:val="17"/>
          <w:szCs w:val="17"/>
          <w:color w:val="auto"/>
        </w:rPr>
        <w:t>Significant components of the Company’s deferred tax assets as of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5780" w:type="dxa"/>
            <w:vAlign w:val="bottom"/>
            <w:tcBorders>
              <w:bottom w:val="single" w:sz="8" w:color="CCEEFF"/>
            </w:tcBorders>
          </w:tcPr>
          <w:p>
            <w:pPr>
              <w:spacing w:after="0"/>
              <w:rPr>
                <w:sz w:val="13"/>
                <w:szCs w:val="13"/>
                <w:color w:val="auto"/>
              </w:rPr>
            </w:pPr>
          </w:p>
        </w:tc>
        <w:tc>
          <w:tcPr>
            <w:tcW w:w="30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57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Deferred tax assets:</w:t>
            </w: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Net operating loss carryforwards</w:t>
            </w:r>
          </w:p>
        </w:tc>
        <w:tc>
          <w:tcPr>
            <w:tcW w:w="32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363</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3,259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Research &amp; other credits</w:t>
            </w:r>
          </w:p>
        </w:tc>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1,701</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208</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gross DTA</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2,272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vMerge w:val="restart"/>
          </w:tcPr>
          <w:p>
            <w:pPr>
              <w:ind w:left="260"/>
              <w:spacing w:after="0"/>
              <w:rPr>
                <w:sz w:val="20"/>
                <w:szCs w:val="20"/>
                <w:color w:val="auto"/>
              </w:rPr>
            </w:pPr>
            <w:r>
              <w:rPr>
                <w:rFonts w:ascii="Arial" w:cs="Arial" w:eastAsia="Arial" w:hAnsi="Arial"/>
                <w:sz w:val="17"/>
                <w:szCs w:val="17"/>
                <w:color w:val="auto"/>
              </w:rPr>
              <w:t>Less: Val. Allowance</w:t>
            </w: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(2,181)</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(6,686)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96"/>
        </w:trPr>
        <w:tc>
          <w:tcPr>
            <w:tcW w:w="6220" w:type="dxa"/>
            <w:vAlign w:val="bottom"/>
            <w:gridSpan w:val="2"/>
          </w:tcPr>
          <w:p>
            <w:pPr>
              <w:ind w:left="440"/>
              <w:spacing w:after="0"/>
              <w:rPr>
                <w:sz w:val="20"/>
                <w:szCs w:val="20"/>
                <w:color w:val="auto"/>
              </w:rPr>
            </w:pPr>
            <w:r>
              <w:rPr>
                <w:rFonts w:ascii="Arial" w:cs="Arial" w:eastAsia="Arial" w:hAnsi="Arial"/>
                <w:sz w:val="17"/>
                <w:szCs w:val="17"/>
                <w:b w:val="1"/>
                <w:bCs w:val="1"/>
                <w:color w:val="auto"/>
              </w:rPr>
              <w:t>Deferred tax liabilities:</w:t>
            </w:r>
          </w:p>
        </w:tc>
        <w:tc>
          <w:tcPr>
            <w:tcW w:w="3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Fixed assets</w:t>
            </w:r>
          </w:p>
        </w:tc>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 (91)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vMerge w:val="restart"/>
          </w:tcPr>
          <w:p>
            <w:pPr>
              <w:ind w:left="260"/>
              <w:spacing w:after="0"/>
              <w:rPr>
                <w:sz w:val="20"/>
                <w:szCs w:val="20"/>
                <w:color w:val="auto"/>
              </w:rPr>
            </w:pPr>
            <w:r>
              <w:rPr>
                <w:rFonts w:ascii="Arial" w:cs="Arial" w:eastAsia="Arial" w:hAnsi="Arial"/>
                <w:sz w:val="17"/>
                <w:szCs w:val="17"/>
                <w:color w:val="auto"/>
              </w:rPr>
              <w:t>Total gross DTL</w:t>
            </w: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 (91)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40"/>
        <w:spacing w:after="0" w:line="238" w:lineRule="auto"/>
        <w:rPr>
          <w:sz w:val="20"/>
          <w:szCs w:val="20"/>
          <w:color w:val="auto"/>
        </w:rPr>
      </w:pPr>
      <w:r>
        <w:rPr>
          <w:rFonts w:ascii="Arial" w:cs="Arial" w:eastAsia="Arial" w:hAnsi="Arial"/>
          <w:sz w:val="17"/>
          <w:szCs w:val="17"/>
          <w:color w:val="auto"/>
        </w:rPr>
        <w:t>Realization of deferred tax assets is dependent upon the Company generating future taxable income, the timing and amount of which are uncertain. Accordingly, the deferred tax assets have been largely offset by a valuation allowance. The valuation allowance increased by approximately $0.8 million and $4.5 million for the years ended December 31, 2018 and December 31, 2019, respectively.</w:t>
      </w:r>
    </w:p>
    <w:p>
      <w:pPr>
        <w:spacing w:after="0" w:line="147" w:lineRule="exact"/>
        <w:rPr>
          <w:sz w:val="20"/>
          <w:szCs w:val="20"/>
          <w:color w:val="auto"/>
        </w:rPr>
      </w:pPr>
    </w:p>
    <w:p>
      <w:pPr>
        <w:ind w:left="560" w:right="380"/>
        <w:spacing w:after="0" w:line="236" w:lineRule="auto"/>
        <w:rPr>
          <w:sz w:val="20"/>
          <w:szCs w:val="20"/>
          <w:color w:val="auto"/>
        </w:rPr>
      </w:pPr>
      <w:r>
        <w:rPr>
          <w:rFonts w:ascii="Arial" w:cs="Arial" w:eastAsia="Arial" w:hAnsi="Arial"/>
          <w:sz w:val="17"/>
          <w:szCs w:val="17"/>
          <w:color w:val="auto"/>
        </w:rPr>
        <w:t>As of December 31, 2019, the Company had a net operating loss carryforwards for U.S. state income tax purposes of approximately $30.9 million, that expire in the year 2038, and for Ireland income tax purposes of approximately $4.0 million that never expire. As of December 31, 2019, the Company had U.S. federal research and development credit carryforwards of approximately $1.5 million, that expire in the year 2038, and U.S. state research and development credit carryforwards of approximately $2.4 million, that do not expire.</w:t>
      </w:r>
    </w:p>
    <w:p>
      <w:pPr>
        <w:spacing w:after="0" w:line="149"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81"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The Company’s policy is to include interest and penalties related to unrecognized tax benefits, if any, within the provision for taxes in the consolidated statements of operations and comprehensive loss. If the Company is eventually able to recognize its uncertain tax positions, the Company’s effective tax rate would be reduced. The Company currently has a full valuation allowance against its net deferred tax asset which would impact the timing of the effective tax rate benefit should any of these uncertain tax positions be favorably settled in the future.</w:t>
      </w:r>
    </w:p>
    <w:p>
      <w:pPr>
        <w:spacing w:after="0" w:line="149" w:lineRule="exact"/>
        <w:rPr>
          <w:sz w:val="20"/>
          <w:szCs w:val="20"/>
          <w:color w:val="auto"/>
        </w:rPr>
      </w:pPr>
    </w:p>
    <w:p>
      <w:pPr>
        <w:ind w:left="560" w:right="940"/>
        <w:spacing w:after="0" w:line="243" w:lineRule="auto"/>
        <w:rPr>
          <w:sz w:val="20"/>
          <w:szCs w:val="20"/>
          <w:color w:val="auto"/>
        </w:rPr>
      </w:pPr>
      <w:r>
        <w:rPr>
          <w:rFonts w:ascii="Arial" w:cs="Arial" w:eastAsia="Arial" w:hAnsi="Arial"/>
          <w:sz w:val="17"/>
          <w:szCs w:val="17"/>
          <w:color w:val="auto"/>
        </w:rPr>
        <w:t>The Company files income tax returns in Ireland, the U.S., and Malta. All of the Company’s tax years since 2015 remain open to examination.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has the following activity relating to unrecognized tax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62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2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Beginning balance</w:t>
            </w:r>
          </w:p>
        </w:tc>
        <w:tc>
          <w:tcPr>
            <w:tcW w:w="26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decreases—tax positions in prior periods</w:t>
            </w:r>
          </w:p>
        </w:tc>
        <w:tc>
          <w:tcPr>
            <w:tcW w:w="2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increases—tax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160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Ending balance</w:t>
            </w:r>
          </w:p>
        </w:tc>
        <w:tc>
          <w:tcPr>
            <w:tcW w:w="2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2018 and December 31, 2019, no interest or penalties were required to be recognized relating to unrecognized tax benefits.</w:t>
      </w:r>
    </w:p>
    <w:p>
      <w:pPr>
        <w:spacing w:after="0" w:line="332"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&amp; CONTINGENCIES</w:t>
      </w:r>
    </w:p>
    <w:p>
      <w:pPr>
        <w:spacing w:after="0" w:line="175" w:lineRule="exact"/>
        <w:rPr>
          <w:rFonts w:ascii="Arial" w:cs="Arial" w:eastAsia="Arial" w:hAnsi="Arial"/>
          <w:sz w:val="17"/>
          <w:szCs w:val="17"/>
          <w:b w:val="1"/>
          <w:bCs w:val="1"/>
          <w:color w:val="auto"/>
        </w:rPr>
      </w:pPr>
    </w:p>
    <w:p>
      <w:pPr>
        <w:ind w:left="560" w:right="100"/>
        <w:spacing w:after="0" w:line="232" w:lineRule="auto"/>
        <w:rPr>
          <w:rFonts w:ascii="Arial" w:cs="Arial" w:eastAsia="Arial" w:hAnsi="Arial"/>
          <w:sz w:val="17"/>
          <w:szCs w:val="17"/>
          <w:b w:val="1"/>
          <w:bCs w:val="1"/>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w:t>
      </w:r>
    </w:p>
    <w:p>
      <w:pPr>
        <w:ind w:left="560" w:right="10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2018 and December 31, 2019.</w:t>
      </w:r>
    </w:p>
    <w:p>
      <w:pPr>
        <w:spacing w:after="0" w:line="13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Legal Proceedings</w:t>
      </w:r>
    </w:p>
    <w:p>
      <w:pPr>
        <w:spacing w:after="0" w:line="79" w:lineRule="exact"/>
        <w:rPr>
          <w:rFonts w:ascii="Arial" w:cs="Arial" w:eastAsia="Arial" w:hAnsi="Arial"/>
          <w:sz w:val="17"/>
          <w:szCs w:val="17"/>
          <w:b w:val="1"/>
          <w:bCs w:val="1"/>
          <w:color w:val="auto"/>
        </w:rPr>
      </w:pPr>
    </w:p>
    <w:p>
      <w:pPr>
        <w:ind w:left="560" w:right="10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2018 and December 31, 2019, the Company had no pending or threatened litigation.</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commitments and contractual obligations as of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OPERATING</w:t>
            </w:r>
          </w:p>
        </w:tc>
        <w:tc>
          <w:tcPr>
            <w:tcW w:w="19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MANUFACTURING</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LEASE</w:t>
            </w:r>
          </w:p>
        </w:tc>
        <w:tc>
          <w:tcPr>
            <w:tcW w:w="14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AND SERVICE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00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OBLIGATIONS</w:t>
            </w:r>
          </w:p>
        </w:tc>
        <w:tc>
          <w:tcPr>
            <w:tcW w:w="14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CONTRACTS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82"/>
        </w:trPr>
        <w:tc>
          <w:tcPr>
            <w:tcW w:w="2060" w:type="dxa"/>
            <w:vAlign w:val="bottom"/>
            <w:gridSpan w:val="2"/>
            <w:vMerge w:val="continue"/>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rPr>
              <w:t>(2)</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2020</w:t>
            </w:r>
          </w:p>
        </w:tc>
        <w:tc>
          <w:tcPr>
            <w:tcW w:w="40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544</w:t>
            </w:r>
          </w:p>
        </w:tc>
        <w:tc>
          <w:tcPr>
            <w:tcW w:w="6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926</w:t>
            </w:r>
          </w:p>
        </w:tc>
        <w:tc>
          <w:tcPr>
            <w:tcW w:w="6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560</w:t>
            </w:r>
          </w:p>
        </w:tc>
        <w:tc>
          <w:tcPr>
            <w:tcW w:w="140" w:type="dxa"/>
            <w:vAlign w:val="bottom"/>
          </w:tcPr>
          <w:p>
            <w:pPr>
              <w:spacing w:after="0"/>
              <w:rPr>
                <w:sz w:val="16"/>
                <w:szCs w:val="16"/>
                <w:color w:val="auto"/>
              </w:rPr>
            </w:pPr>
          </w:p>
        </w:tc>
        <w:tc>
          <w:tcPr>
            <w:tcW w:w="18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5,805</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4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577</w:t>
            </w:r>
          </w:p>
        </w:tc>
        <w:tc>
          <w:tcPr>
            <w:tcW w:w="1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247</w:t>
            </w:r>
          </w:p>
        </w:tc>
        <w:tc>
          <w:tcPr>
            <w:tcW w:w="140" w:type="dxa"/>
            <w:vAlign w:val="bottom"/>
          </w:tcPr>
          <w:p>
            <w:pPr>
              <w:spacing w:after="0"/>
              <w:rPr>
                <w:sz w:val="16"/>
                <w:szCs w:val="16"/>
                <w:color w:val="auto"/>
              </w:rPr>
            </w:pPr>
          </w:p>
        </w:tc>
        <w:tc>
          <w:tcPr>
            <w:tcW w:w="18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
              <w:spacing w:after="0" w:line="189" w:lineRule="exact"/>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1,928</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8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6,731</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4" w:lineRule="exact"/>
        <w:rPr>
          <w:sz w:val="20"/>
          <w:szCs w:val="20"/>
          <w:color w:val="auto"/>
        </w:rPr>
      </w:pPr>
    </w:p>
    <w:p>
      <w:pPr>
        <w:ind w:left="880" w:hanging="292"/>
        <w:spacing w:after="0"/>
        <w:tabs>
          <w:tab w:leader="none" w:pos="880" w:val="left"/>
        </w:tabs>
        <w:numPr>
          <w:ilvl w:val="0"/>
          <w:numId w:val="125"/>
        </w:numPr>
        <w:rPr>
          <w:rFonts w:ascii="Arial" w:cs="Arial" w:eastAsia="Arial" w:hAnsi="Arial"/>
          <w:sz w:val="14"/>
          <w:szCs w:val="14"/>
          <w:i w:val="1"/>
          <w:iCs w:val="1"/>
          <w:color w:val="auto"/>
        </w:rPr>
      </w:pPr>
      <w:r>
        <w:rPr>
          <w:rFonts w:ascii="Arial" w:cs="Arial" w:eastAsia="Arial" w:hAnsi="Arial"/>
          <w:sz w:val="14"/>
          <w:szCs w:val="14"/>
          <w:i w:val="1"/>
          <w:iCs w:val="1"/>
          <w:color w:val="auto"/>
        </w:rPr>
        <w:t>Payments due for the office and laboratory space in Burlingame, California under a single operating lease agreement that expires in 2023.</w:t>
      </w:r>
    </w:p>
    <w:p>
      <w:pPr>
        <w:spacing w:after="0" w:line="15" w:lineRule="exact"/>
        <w:rPr>
          <w:rFonts w:ascii="Arial" w:cs="Arial" w:eastAsia="Arial" w:hAnsi="Arial"/>
          <w:sz w:val="14"/>
          <w:szCs w:val="14"/>
          <w:i w:val="1"/>
          <w:iCs w:val="1"/>
          <w:color w:val="auto"/>
        </w:rPr>
      </w:pPr>
    </w:p>
    <w:p>
      <w:pPr>
        <w:ind w:left="880" w:right="40" w:hanging="292"/>
        <w:spacing w:after="0" w:line="241" w:lineRule="auto"/>
        <w:tabs>
          <w:tab w:leader="none" w:pos="880" w:val="left"/>
        </w:tabs>
        <w:numPr>
          <w:ilvl w:val="0"/>
          <w:numId w:val="125"/>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based on non-cancellable commitments and forecasts that include estimates of future market demand, quantity discounts and manufacturing efficiencies that may impact timing of purchases.</w:t>
      </w:r>
    </w:p>
    <w:p>
      <w:pPr>
        <w:ind w:left="880" w:hanging="292"/>
        <w:spacing w:after="0"/>
        <w:tabs>
          <w:tab w:leader="none" w:pos="880" w:val="left"/>
        </w:tabs>
        <w:numPr>
          <w:ilvl w:val="0"/>
          <w:numId w:val="125"/>
        </w:numPr>
        <w:rPr>
          <w:rFonts w:ascii="Arial" w:cs="Arial" w:eastAsia="Arial" w:hAnsi="Arial"/>
          <w:sz w:val="14"/>
          <w:szCs w:val="14"/>
          <w:i w:val="1"/>
          <w:iCs w:val="1"/>
          <w:color w:val="auto"/>
        </w:rPr>
      </w:pPr>
      <w:r>
        <w:rPr>
          <w:rFonts w:ascii="Arial" w:cs="Arial" w:eastAsia="Arial" w:hAnsi="Arial"/>
          <w:sz w:val="14"/>
          <w:szCs w:val="14"/>
          <w:i w:val="1"/>
          <w:iCs w:val="1"/>
          <w:color w:val="auto"/>
        </w:rPr>
        <w:t>In December 2019, the Company entered into a term loan pursuant to the Loan Agreement as described above in Note 4.</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Facilities</w:t>
      </w:r>
    </w:p>
    <w:p>
      <w:pPr>
        <w:spacing w:after="0" w:line="79" w:lineRule="exact"/>
        <w:rPr>
          <w:sz w:val="20"/>
          <w:szCs w:val="20"/>
          <w:color w:val="auto"/>
        </w:rPr>
      </w:pPr>
    </w:p>
    <w:p>
      <w:pPr>
        <w:ind w:left="560" w:right="680"/>
        <w:spacing w:after="0" w:line="243" w:lineRule="auto"/>
        <w:rPr>
          <w:sz w:val="20"/>
          <w:szCs w:val="20"/>
          <w:color w:val="auto"/>
        </w:rPr>
      </w:pPr>
      <w:r>
        <w:rPr>
          <w:rFonts w:ascii="Arial" w:cs="Arial" w:eastAsia="Arial" w:hAnsi="Arial"/>
          <w:sz w:val="17"/>
          <w:szCs w:val="17"/>
          <w:color w:val="auto"/>
        </w:rPr>
        <w:t>In 2015, the Company entered into a noncancelable lease for office space for a period of three years and two months, commencing March 2015 and ending May 31, 2018.</w:t>
      </w:r>
    </w:p>
    <w:p>
      <w:pPr>
        <w:spacing w:after="0" w:line="144" w:lineRule="exact"/>
        <w:rPr>
          <w:sz w:val="20"/>
          <w:szCs w:val="20"/>
          <w:color w:val="auto"/>
        </w:rPr>
      </w:pPr>
    </w:p>
    <w:p>
      <w:pPr>
        <w:ind w:left="560" w:right="300"/>
        <w:spacing w:after="0" w:line="243" w:lineRule="auto"/>
        <w:rPr>
          <w:sz w:val="20"/>
          <w:szCs w:val="20"/>
          <w:color w:val="auto"/>
        </w:rPr>
      </w:pPr>
      <w:r>
        <w:rPr>
          <w:rFonts w:ascii="Arial" w:cs="Arial" w:eastAsia="Arial" w:hAnsi="Arial"/>
          <w:sz w:val="17"/>
          <w:szCs w:val="17"/>
          <w:color w:val="auto"/>
        </w:rPr>
        <w:t>In 2016, the Company entered into a sublease agreement for office space for a period of four years, commencing June 2016 and ending May 31, 2020. This sublease was terminated early in May 2018 without any fees and penalties.</w:t>
      </w:r>
    </w:p>
    <w:p>
      <w:pPr>
        <w:spacing w:after="0" w:line="144" w:lineRule="exact"/>
        <w:rPr>
          <w:sz w:val="20"/>
          <w:szCs w:val="20"/>
          <w:color w:val="auto"/>
        </w:rPr>
      </w:pPr>
    </w:p>
    <w:p>
      <w:pPr>
        <w:ind w:left="560" w:right="140"/>
        <w:spacing w:after="0" w:line="243"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144"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for years ended December 31, 2018 and December 31, 2019 were $1.0 million and $0.8 million, respectively.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Manufacturing and Service Contracts</w:t>
      </w:r>
    </w:p>
    <w:p>
      <w:pPr>
        <w:spacing w:after="0" w:line="93"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In November 2015, the Company entered into a Master Service Agreement, or MSA, with KBI Biopharma, Inc, or KBI, relating to formulation development, process development and cGMP manufacturing of ALX148 for use in clinical trials on a project basis. The MSA had an initial term of three years which the Company subsequently extended. See table above for future committed purchases with KBI.</w:t>
      </w:r>
    </w:p>
    <w:p>
      <w:pPr>
        <w:spacing w:after="0" w:line="147"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The Company also enters into other contracts in the normal course of business with CROs, contract development and manufacturing organizations and other service providers and vendors. These contracts generally provide for termination on short notice and are cancelable contracts and, accordingly, are not included in the contractual obligations and disclosures summarized above.</w:t>
      </w:r>
    </w:p>
    <w:p>
      <w:pPr>
        <w:spacing w:after="0" w:line="330"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79" w:lineRule="exact"/>
        <w:rPr>
          <w:rFonts w:ascii="Arial" w:cs="Arial" w:eastAsia="Arial" w:hAnsi="Arial"/>
          <w:sz w:val="17"/>
          <w:szCs w:val="17"/>
          <w:b w:val="1"/>
          <w:bCs w:val="1"/>
          <w:color w:val="auto"/>
        </w:rPr>
      </w:pPr>
    </w:p>
    <w:p>
      <w:pPr>
        <w:ind w:left="560" w:right="5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0"/>
        <w:spacing w:after="0" w:line="235" w:lineRule="auto"/>
        <w:rPr>
          <w:sz w:val="20"/>
          <w:szCs w:val="20"/>
          <w:color w:val="auto"/>
        </w:rPr>
      </w:pPr>
      <w:r>
        <w:rPr>
          <w:rFonts w:ascii="Arial" w:cs="Arial" w:eastAsia="Arial" w:hAnsi="Arial"/>
          <w:sz w:val="17"/>
          <w:szCs w:val="17"/>
          <w:color w:val="auto"/>
        </w:rPr>
        <w:t>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50" w:lineRule="exact"/>
        <w:rPr>
          <w:sz w:val="20"/>
          <w:szCs w:val="20"/>
          <w:color w:val="auto"/>
        </w:rPr>
      </w:pPr>
    </w:p>
    <w:p>
      <w:pPr>
        <w:ind w:left="560" w:right="20"/>
        <w:spacing w:after="0" w:line="23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 specified aggregate amount in respect of a specified number of licensed products that successfully satisfy certain clinical and regulatory milestones. No milestone payments have been made through December 31, 2019.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560" w:right="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93"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in respect of each licensed product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jc w:val="both"/>
        <w:ind w:left="560" w:right="100"/>
        <w:spacing w:after="0" w:line="236"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40"/>
        <w:spacing w:after="0" w:line="243" w:lineRule="auto"/>
        <w:rPr>
          <w:sz w:val="20"/>
          <w:szCs w:val="20"/>
          <w:color w:val="auto"/>
        </w:rPr>
      </w:pPr>
      <w:r>
        <w:rPr>
          <w:rFonts w:ascii="Arial" w:cs="Arial" w:eastAsia="Arial" w:hAnsi="Arial"/>
          <w:sz w:val="17"/>
          <w:szCs w:val="17"/>
          <w:color w:val="auto"/>
        </w:rPr>
        <w:t>certain circumstances the licenses granted under the agreement will terminate unless they have become fully paid up as described in the previous paragraph.</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93" w:lineRule="exact"/>
        <w:rPr>
          <w:sz w:val="20"/>
          <w:szCs w:val="20"/>
          <w:color w:val="auto"/>
        </w:rPr>
      </w:pPr>
    </w:p>
    <w:p>
      <w:pPr>
        <w:ind w:left="560" w:right="120"/>
        <w:spacing w:after="0" w:line="23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7"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205"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560" w:right="16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332"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DEFINED CONTRIBUTION PLAN</w:t>
      </w:r>
    </w:p>
    <w:p>
      <w:pPr>
        <w:spacing w:after="0" w:line="175" w:lineRule="exact"/>
        <w:rPr>
          <w:rFonts w:ascii="Arial" w:cs="Arial" w:eastAsia="Arial" w:hAnsi="Arial"/>
          <w:sz w:val="17"/>
          <w:szCs w:val="17"/>
          <w:b w:val="1"/>
          <w:bCs w:val="1"/>
          <w:color w:val="auto"/>
        </w:rPr>
      </w:pPr>
    </w:p>
    <w:p>
      <w:pPr>
        <w:ind w:left="560" w:right="50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Company has a qualified 401(k) Savings and Investment Plan, or the Plan, whereby employees may contribute up to the Federal annual limits. The Company does not match employee contributions.</w:t>
      </w:r>
    </w:p>
    <w:p>
      <w:pPr>
        <w:spacing w:after="0" w:line="326" w:lineRule="exact"/>
        <w:rPr>
          <w:rFonts w:ascii="Arial" w:cs="Arial" w:eastAsia="Arial" w:hAnsi="Arial"/>
          <w:sz w:val="17"/>
          <w:szCs w:val="17"/>
          <w:b w:val="1"/>
          <w:bCs w:val="1"/>
          <w:color w:val="auto"/>
        </w:rPr>
      </w:pPr>
    </w:p>
    <w:p>
      <w:pPr>
        <w:ind w:left="540" w:hanging="424"/>
        <w:spacing w:after="0"/>
        <w:tabs>
          <w:tab w:leader="none" w:pos="54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RELATED-PARTY TRANSACTIONS</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Related-Party Revenue</w:t>
      </w:r>
    </w:p>
    <w:p>
      <w:pPr>
        <w:spacing w:after="0" w:line="79" w:lineRule="exact"/>
        <w:rPr>
          <w:rFonts w:ascii="Arial" w:cs="Arial" w:eastAsia="Arial" w:hAnsi="Arial"/>
          <w:sz w:val="17"/>
          <w:szCs w:val="17"/>
          <w:b w:val="1"/>
          <w:bCs w:val="1"/>
          <w:color w:val="auto"/>
        </w:rPr>
      </w:pPr>
    </w:p>
    <w:p>
      <w:pPr>
        <w:ind w:left="560" w:right="6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is also the Chief Executive Officer of Tollnine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our customer, obtains control of promised goods or services, in an amount that reflects the consideration which the Company expects to receive in exchange for those goods or services. For the years ended December 31, 2018 and December 31, 2019, the Company recognized related-party revenues of $2.1 million and $4.8 million, respectively, under the Tollnine Agreement.</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Receivables due from Related-Party</w:t>
      </w:r>
    </w:p>
    <w:p>
      <w:pPr>
        <w:spacing w:after="0" w:line="79" w:lineRule="exact"/>
        <w:rPr>
          <w:rFonts w:ascii="Arial" w:cs="Arial" w:eastAsia="Arial" w:hAnsi="Arial"/>
          <w:sz w:val="17"/>
          <w:szCs w:val="17"/>
          <w:b w:val="1"/>
          <w:bCs w:val="1"/>
          <w:color w:val="auto"/>
        </w:rPr>
      </w:pPr>
    </w:p>
    <w:p>
      <w:pPr>
        <w:ind w:left="560" w:right="12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As of December 31, 2018, and 2019, the Company had outstanding related-party receivables from Tollnine of $0.9 million and $0.5 million, respectively.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ORDINARY SHAREHOLDERS AND UNAUDITED PRO FORMA NET LOSS PER SHARE</w:t>
      </w:r>
    </w:p>
    <w:p>
      <w:pPr>
        <w:spacing w:after="0" w:line="99" w:lineRule="exact"/>
        <w:rPr>
          <w:rFonts w:ascii="Arial" w:cs="Arial" w:eastAsia="Arial" w:hAnsi="Arial"/>
          <w:sz w:val="17"/>
          <w:szCs w:val="17"/>
          <w:b w:val="1"/>
          <w:bCs w:val="1"/>
          <w:color w:val="auto"/>
        </w:rPr>
      </w:pPr>
    </w:p>
    <w:p>
      <w:pPr>
        <w:ind w:left="560" w:right="40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440" w:type="dxa"/>
            <w:vAlign w:val="bottom"/>
          </w:tcPr>
          <w:p>
            <w:pPr>
              <w:spacing w:after="0"/>
              <w:rPr>
                <w:sz w:val="13"/>
                <w:szCs w:val="13"/>
                <w:color w:val="auto"/>
              </w:rPr>
            </w:pPr>
          </w:p>
        </w:tc>
        <w:tc>
          <w:tcPr>
            <w:tcW w:w="79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69"/>
        </w:trPr>
        <w:tc>
          <w:tcPr>
            <w:tcW w:w="440" w:type="dxa"/>
            <w:vAlign w:val="bottom"/>
          </w:tcPr>
          <w:p>
            <w:pPr>
              <w:spacing w:after="0"/>
              <w:rPr>
                <w:sz w:val="14"/>
                <w:szCs w:val="14"/>
                <w:color w:val="auto"/>
              </w:rPr>
            </w:pPr>
          </w:p>
        </w:tc>
        <w:tc>
          <w:tcPr>
            <w:tcW w:w="79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9"/>
        </w:trPr>
        <w:tc>
          <w:tcPr>
            <w:tcW w:w="440" w:type="dxa"/>
            <w:vAlign w:val="bottom"/>
          </w:tcPr>
          <w:p>
            <w:pPr>
              <w:spacing w:after="0"/>
              <w:rPr>
                <w:sz w:val="16"/>
                <w:szCs w:val="16"/>
                <w:color w:val="auto"/>
              </w:rPr>
            </w:pPr>
          </w:p>
        </w:tc>
        <w:tc>
          <w:tcPr>
            <w:tcW w:w="792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(13,731)</w:t>
            </w: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$(19,243)</w:t>
            </w: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7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Less: cumulative dividends allocated to preferred shareholders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(3,671)</w:t>
            </w:r>
          </w:p>
        </w:tc>
        <w:tc>
          <w:tcPr>
            <w:tcW w:w="6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(4,028)</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7920" w:type="dxa"/>
            <w:vAlign w:val="bottom"/>
          </w:tcPr>
          <w:p>
            <w:pPr>
              <w:ind w:left="260"/>
              <w:spacing w:after="0"/>
              <w:rPr>
                <w:sz w:val="20"/>
                <w:szCs w:val="20"/>
                <w:color w:val="auto"/>
              </w:rPr>
            </w:pPr>
            <w:r>
              <w:rPr>
                <w:rFonts w:ascii="Arial" w:cs="Arial" w:eastAsia="Arial" w:hAnsi="Arial"/>
                <w:sz w:val="17"/>
                <w:szCs w:val="17"/>
                <w:color w:val="auto"/>
              </w:rPr>
              <w:t>Net loss attributable to ordinary shareholders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640"/>
              <w:spacing w:after="0"/>
              <w:rPr>
                <w:sz w:val="20"/>
                <w:szCs w:val="20"/>
                <w:color w:val="auto"/>
              </w:rPr>
            </w:pPr>
            <w:r>
              <w:rPr>
                <w:rFonts w:ascii="Arial" w:cs="Arial" w:eastAsia="Arial" w:hAnsi="Arial"/>
                <w:sz w:val="17"/>
                <w:szCs w:val="17"/>
                <w:color w:val="auto"/>
              </w:rPr>
              <w:t>(17,402)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$(23,271)</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7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7920" w:type="dxa"/>
            <w:vAlign w:val="bottom"/>
          </w:tcPr>
          <w:p>
            <w:pPr>
              <w:ind w:left="260"/>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20" w:type="dxa"/>
            <w:vAlign w:val="bottom"/>
          </w:tcPr>
          <w:p>
            <w:pPr>
              <w:spacing w:after="0"/>
              <w:rPr>
                <w:sz w:val="16"/>
                <w:szCs w:val="16"/>
                <w:color w:val="auto"/>
              </w:rPr>
            </w:pPr>
          </w:p>
        </w:tc>
        <w:tc>
          <w:tcPr>
            <w:tcW w:w="15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w w:val="98"/>
              </w:rPr>
              <w:t>18,102,402</w:t>
            </w:r>
          </w:p>
        </w:tc>
        <w:tc>
          <w:tcPr>
            <w:tcW w:w="1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20,245,115</w:t>
            </w:r>
          </w:p>
        </w:tc>
      </w:tr>
      <w:tr>
        <w:trPr>
          <w:trHeight w:val="20"/>
        </w:trPr>
        <w:tc>
          <w:tcPr>
            <w:tcW w:w="4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7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640"/>
              <w:spacing w:after="0" w:line="183" w:lineRule="exact"/>
              <w:rPr>
                <w:sz w:val="20"/>
                <w:szCs w:val="20"/>
                <w:color w:val="auto"/>
              </w:rPr>
            </w:pPr>
            <w:r>
              <w:rPr>
                <w:rFonts w:ascii="Arial" w:cs="Arial" w:eastAsia="Arial" w:hAnsi="Arial"/>
                <w:sz w:val="17"/>
                <w:szCs w:val="17"/>
                <w:color w:val="auto"/>
              </w:rPr>
              <w:t>(0.96)</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(1.15)</w:t>
            </w:r>
          </w:p>
        </w:tc>
      </w:tr>
      <w:tr>
        <w:trPr>
          <w:trHeight w:val="20"/>
        </w:trPr>
        <w:tc>
          <w:tcPr>
            <w:tcW w:w="4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7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jc w:val="both"/>
        <w:ind w:left="560" w:right="20"/>
        <w:spacing w:after="0" w:line="238"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December 31, 2018 and December 31, 2019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2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6,690,729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to purchase convertible preferred shares</w:t>
            </w:r>
          </w:p>
        </w:tc>
        <w:tc>
          <w:tcPr>
            <w:tcW w:w="12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403,348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1,513,041</w:t>
            </w:r>
          </w:p>
        </w:tc>
        <w:tc>
          <w:tcPr>
            <w:tcW w:w="140" w:type="dxa"/>
            <w:vAlign w:val="bottom"/>
          </w:tcPr>
          <w:p>
            <w:pPr>
              <w:spacing w:after="0"/>
              <w:rPr>
                <w:sz w:val="16"/>
                <w:szCs w:val="16"/>
                <w:color w:val="auto"/>
              </w:rPr>
            </w:pP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223,923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5,691,123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7,789,923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vMerge w:val="restart"/>
          </w:tcPr>
          <w:p>
            <w:pPr>
              <w:ind w:left="26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14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68,384,664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76,288,423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60" w:right="720"/>
        <w:spacing w:after="0" w:line="246" w:lineRule="auto"/>
        <w:rPr>
          <w:sz w:val="20"/>
          <w:szCs w:val="20"/>
          <w:color w:val="auto"/>
        </w:rPr>
      </w:pPr>
      <w:r>
        <w:rPr>
          <w:rFonts w:ascii="Arial" w:cs="Arial" w:eastAsia="Arial" w:hAnsi="Arial"/>
          <w:sz w:val="18"/>
          <w:szCs w:val="18"/>
          <w:color w:val="auto"/>
        </w:rPr>
        <w:t>The following table sets forth the computation of the Company’s unaudited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-119380</wp:posOffset>
            </wp:positionV>
            <wp:extent cx="6711950"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11950" cy="128905"/>
                    </a:xfrm>
                    <a:prstGeom prst="rect">
                      <a:avLst/>
                    </a:prstGeom>
                    <a:noFill/>
                  </pic:spPr>
                </pic:pic>
              </a:graphicData>
            </a:graphic>
          </wp:anchor>
        </w:drawing>
      </w:r>
    </w:p>
    <w:p>
      <w:pPr>
        <w:spacing w:after="0" w:line="41" w:lineRule="exact"/>
        <w:rPr>
          <w:sz w:val="20"/>
          <w:szCs w:val="20"/>
          <w:color w:val="auto"/>
        </w:rPr>
      </w:pPr>
    </w:p>
    <w:p>
      <w:pPr>
        <w:ind w:left="1060" w:right="137" w:hanging="250"/>
        <w:spacing w:after="0" w:line="232" w:lineRule="auto"/>
        <w:rPr>
          <w:sz w:val="20"/>
          <w:szCs w:val="20"/>
          <w:color w:val="auto"/>
        </w:rPr>
      </w:pPr>
      <w:r>
        <w:rPr>
          <w:rFonts w:ascii="Arial" w:cs="Arial" w:eastAsia="Arial" w:hAnsi="Arial"/>
          <w:sz w:val="17"/>
          <w:szCs w:val="17"/>
          <w:color w:val="auto"/>
        </w:rPr>
        <w:t>Weighted-average ordinary shares used in computing net loss per share attributable to ordinary shareholders, basic and diluted</w:t>
      </w:r>
    </w:p>
    <w:p>
      <w:pPr>
        <w:ind w:left="1060" w:right="317" w:hanging="250"/>
        <w:spacing w:after="0" w:line="243" w:lineRule="auto"/>
        <w:rPr>
          <w:sz w:val="20"/>
          <w:szCs w:val="20"/>
          <w:color w:val="auto"/>
        </w:rPr>
      </w:pPr>
      <w:r>
        <w:rPr>
          <w:rFonts w:ascii="Arial" w:cs="Arial" w:eastAsia="Arial" w:hAnsi="Arial"/>
          <w:sz w:val="17"/>
          <w:szCs w:val="17"/>
          <w:color w:val="auto"/>
        </w:rPr>
        <w:t>Pro forma adjustment to reflect assumed conversion of preferred shares and accrued dividends allocable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-247015</wp:posOffset>
            </wp:positionV>
            <wp:extent cx="6711950" cy="2400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11950" cy="240030"/>
                    </a:xfrm>
                    <a:prstGeom prst="rect">
                      <a:avLst/>
                    </a:prstGeom>
                    <a:noFill/>
                  </pic:spPr>
                </pic:pic>
              </a:graphicData>
            </a:graphic>
          </wp:anchor>
        </w:drawing>
      </w:r>
    </w:p>
    <w:p>
      <w:pPr>
        <w:ind w:left="560" w:right="1177"/>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-160655</wp:posOffset>
            </wp:positionV>
            <wp:extent cx="6711950" cy="1200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1195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left="3" w:right="117"/>
        <w:spacing w:after="0" w:line="251" w:lineRule="auto"/>
        <w:rPr>
          <w:sz w:val="20"/>
          <w:szCs w:val="20"/>
          <w:color w:val="auto"/>
        </w:rPr>
      </w:pPr>
      <w:r>
        <w:rPr>
          <w:rFonts w:ascii="Arial" w:cs="Arial" w:eastAsia="Arial" w:hAnsi="Arial"/>
          <w:sz w:val="14"/>
          <w:szCs w:val="14"/>
          <w:b w:val="1"/>
          <w:bCs w:val="1"/>
          <w:color w:val="auto"/>
        </w:rPr>
        <w:t>YEAR ENDED DECEMBER 31, 2019</w:t>
      </w:r>
    </w:p>
    <w:p>
      <w:pPr>
        <w:spacing w:after="0" w:line="1" w:lineRule="exact"/>
        <w:rPr>
          <w:sz w:val="20"/>
          <w:szCs w:val="20"/>
          <w:color w:val="auto"/>
        </w:rPr>
      </w:pPr>
    </w:p>
    <w:p>
      <w:pPr>
        <w:ind w:left="483" w:hanging="483"/>
        <w:spacing w:after="0"/>
        <w:tabs>
          <w:tab w:leader="none" w:pos="483" w:val="left"/>
        </w:tabs>
        <w:numPr>
          <w:ilvl w:val="0"/>
          <w:numId w:val="129"/>
        </w:numPr>
        <w:rPr>
          <w:rFonts w:ascii="Arial" w:cs="Arial" w:eastAsia="Arial" w:hAnsi="Arial"/>
          <w:sz w:val="17"/>
          <w:szCs w:val="17"/>
          <w:color w:val="auto"/>
        </w:rPr>
      </w:pPr>
      <w:r>
        <w:rPr>
          <w:rFonts w:ascii="Arial" w:cs="Arial" w:eastAsia="Arial" w:hAnsi="Arial"/>
          <w:sz w:val="17"/>
          <w:szCs w:val="17"/>
          <w:color w:val="auto"/>
        </w:rPr>
        <w:t>(19,243)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17" w:lineRule="exact"/>
        <w:rPr>
          <w:sz w:val="20"/>
          <w:szCs w:val="20"/>
          <w:color w:val="auto"/>
        </w:rPr>
      </w:pPr>
    </w:p>
    <w:p>
      <w:pPr>
        <w:ind w:left="203"/>
        <w:spacing w:after="0"/>
        <w:rPr>
          <w:sz w:val="20"/>
          <w:szCs w:val="20"/>
          <w:color w:val="auto"/>
        </w:rPr>
      </w:pPr>
      <w:r>
        <w:rPr>
          <w:rFonts w:ascii="Arial" w:cs="Arial" w:eastAsia="Arial" w:hAnsi="Arial"/>
          <w:sz w:val="17"/>
          <w:szCs w:val="17"/>
          <w:color w:val="auto"/>
        </w:rPr>
        <w:t>20,245,115</w:t>
      </w:r>
    </w:p>
    <w:p>
      <w:pPr>
        <w:spacing w:after="0" w:line="183" w:lineRule="exact"/>
        <w:rPr>
          <w:sz w:val="20"/>
          <w:szCs w:val="20"/>
          <w:color w:val="auto"/>
        </w:rPr>
      </w:pPr>
    </w:p>
    <w:p>
      <w:pPr>
        <w:ind w:left="203"/>
        <w:spacing w:after="0"/>
        <w:rPr>
          <w:sz w:val="20"/>
          <w:szCs w:val="20"/>
          <w:color w:val="auto"/>
        </w:rPr>
      </w:pPr>
      <w:r>
        <w:rPr>
          <w:rFonts w:ascii="Arial" w:cs="Arial" w:eastAsia="Arial" w:hAnsi="Arial"/>
          <w:sz w:val="17"/>
          <w:szCs w:val="17"/>
          <w:color w:val="auto"/>
        </w:rPr>
        <w:t>74,028,943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 w:lineRule="exact"/>
        <w:rPr>
          <w:sz w:val="20"/>
          <w:szCs w:val="20"/>
          <w:color w:val="auto"/>
        </w:rPr>
      </w:pPr>
    </w:p>
    <w:p>
      <w:pPr>
        <w:ind w:left="203"/>
        <w:spacing w:after="0"/>
        <w:rPr>
          <w:sz w:val="20"/>
          <w:szCs w:val="20"/>
          <w:color w:val="auto"/>
        </w:rPr>
      </w:pPr>
      <w:r>
        <w:rPr>
          <w:rFonts w:ascii="Arial" w:cs="Arial" w:eastAsia="Arial" w:hAnsi="Arial"/>
          <w:sz w:val="17"/>
          <w:szCs w:val="17"/>
          <w:color w:val="auto"/>
        </w:rPr>
        <w:t>94,274,058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8" w:lineRule="exact"/>
        <w:rPr>
          <w:sz w:val="20"/>
          <w:szCs w:val="20"/>
          <w:color w:val="auto"/>
        </w:rPr>
      </w:pPr>
    </w:p>
    <w:p>
      <w:pPr>
        <w:ind w:left="683" w:hanging="683"/>
        <w:spacing w:after="0"/>
        <w:tabs>
          <w:tab w:leader="none" w:pos="68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7754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6775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9237" w:space="720"/>
            <w:col w:w="1183"/>
          </w:cols>
          <w:pgMar w:left="320" w:top="459" w:right="439" w:bottom="1440" w:gutter="0" w:footer="0" w:header="0"/>
          <w:type w:val="continuous"/>
        </w:sectPr>
      </w:pP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140"/>
          </w:cols>
          <w:pgMar w:left="320" w:top="459" w:right="439"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75" w:lineRule="exact"/>
        <w:rPr>
          <w:rFonts w:ascii="Arial" w:cs="Arial" w:eastAsia="Arial" w:hAnsi="Arial"/>
          <w:sz w:val="17"/>
          <w:szCs w:val="17"/>
          <w:b w:val="1"/>
          <w:bCs w:val="1"/>
          <w:color w:val="auto"/>
        </w:rPr>
      </w:pPr>
    </w:p>
    <w:p>
      <w:pPr>
        <w:ind w:left="560" w:right="42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Company has evaluated subsequent events from the balance sheet date through May 5, 2020, the date at which the consolidated financial statements were available to be issued.</w:t>
      </w:r>
    </w:p>
    <w:p>
      <w:pPr>
        <w:spacing w:after="0" w:line="144" w:lineRule="exact"/>
        <w:rPr>
          <w:rFonts w:ascii="Arial" w:cs="Arial" w:eastAsia="Arial" w:hAnsi="Arial"/>
          <w:sz w:val="17"/>
          <w:szCs w:val="17"/>
          <w:b w:val="1"/>
          <w:bCs w:val="1"/>
          <w:color w:val="auto"/>
        </w:rPr>
      </w:pPr>
    </w:p>
    <w:p>
      <w:pPr>
        <w:ind w:left="560" w:right="22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February 2020, the Company entered into a Series C Preferred Share Purchase Agreement, or the Series C Agreement, with certain existing investors, employees and new investors, or collectively, the Series C Investors. Under the terms of the Series C Agreement, the Company authorized the sale and issuance of up to 72,754,989 Series C convertible preferred shares at a purchase price of $1.4432 per share. To date, all authorized Series C convertible preferred shares have been purchased with gross proceeds of $105.0 million.</w:t>
      </w:r>
    </w:p>
    <w:p>
      <w:pPr>
        <w:spacing w:after="0" w:line="149"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52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(Note 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4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9,017</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105,035</w:t>
            </w:r>
          </w:p>
        </w:tc>
        <w:tc>
          <w:tcPr>
            <w:tcW w:w="1520" w:type="dxa"/>
            <w:vAlign w:val="bottom"/>
            <w:gridSpan w:val="2"/>
            <w:shd w:val="clear" w:color="auto" w:fill="CCEEFF"/>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536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1,191</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256</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1,187</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9,809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107,413</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860</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757</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4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10,676</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108,399</w:t>
            </w:r>
          </w:p>
        </w:tc>
        <w:tc>
          <w:tcPr>
            <w:tcW w:w="1520" w:type="dxa"/>
            <w:vAlign w:val="bottom"/>
            <w:gridSpan w:val="2"/>
            <w:shd w:val="clear" w:color="auto" w:fill="CCEEFF"/>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equity (deficit)</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4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3,748</w:t>
            </w:r>
          </w:p>
        </w:tc>
        <w:tc>
          <w:tcPr>
            <w:tcW w:w="4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1,987</w:t>
            </w:r>
          </w:p>
        </w:tc>
        <w:tc>
          <w:tcPr>
            <w:tcW w:w="1520" w:type="dxa"/>
            <w:vAlign w:val="bottom"/>
            <w:gridSpan w:val="2"/>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1,236</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1,146</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Term loan—current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857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4,984</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3,990</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Term loan—non-current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5,421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4,672</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long-term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512</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89" w:lineRule="exact"/>
              <w:rPr>
                <w:sz w:val="20"/>
                <w:szCs w:val="20"/>
                <w:color w:val="auto"/>
              </w:rPr>
            </w:pPr>
            <w:r>
              <w:rPr>
                <w:rFonts w:ascii="Arial" w:cs="Arial" w:eastAsia="Arial" w:hAnsi="Arial"/>
                <w:sz w:val="17"/>
                <w:szCs w:val="17"/>
                <w:color w:val="auto"/>
              </w:rPr>
              <w:t>Deferred rent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10,952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9,282</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 $0.001 par value; 61,180,500 shares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authorized; 61,180,500 shares issued and outstanding at December 31, 2019</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March 31, 2020, respectively; aggregate liquidation preference of $73,571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$74,476 as of December 31, 2019 and March 31, 2020, respectively;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shares authorized, issued and outstanding, pro forma (unaudited)</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60,933</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60,933</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6480" w:type="dxa"/>
            <w:vAlign w:val="bottom"/>
          </w:tcPr>
          <w:p>
            <w:pPr>
              <w:spacing w:after="0" w:line="183" w:lineRule="exact"/>
              <w:rPr>
                <w:sz w:val="20"/>
                <w:szCs w:val="20"/>
                <w:color w:val="auto"/>
              </w:rPr>
            </w:pPr>
            <w:r>
              <w:rPr>
                <w:rFonts w:ascii="Arial" w:cs="Arial" w:eastAsia="Arial" w:hAnsi="Arial"/>
                <w:sz w:val="17"/>
                <w:szCs w:val="17"/>
                <w:color w:val="auto"/>
              </w:rPr>
              <w:t>Series B convertible preferred shares: $0.001 par value; 7,295,752 shares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authorized; 6,690,729 shares issued and outstanding at December 31, 2019</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and March 31, 2020; aggregate liquidation preference of $10,014 and $10,158</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as of December 31, 2019 and March 31, 2020, respectively; 0 shares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tcPr>
          <w:p>
            <w:pPr>
              <w:ind w:left="240"/>
              <w:spacing w:after="0"/>
              <w:rPr>
                <w:sz w:val="20"/>
                <w:szCs w:val="20"/>
                <w:color w:val="auto"/>
              </w:rPr>
            </w:pPr>
            <w:r>
              <w:rPr>
                <w:rFonts w:ascii="Arial" w:cs="Arial" w:eastAsia="Arial" w:hAnsi="Arial"/>
                <w:sz w:val="17"/>
                <w:szCs w:val="17"/>
                <w:color w:val="auto"/>
              </w:rPr>
              <w:t>authorized, issued and outstanding, pro forma (unaudited)</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9,430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9,430</w:t>
            </w:r>
          </w:p>
        </w:tc>
        <w:tc>
          <w:tcPr>
            <w:tcW w:w="260" w:type="dxa"/>
            <w:vAlign w:val="bottom"/>
          </w:tcPr>
          <w:p>
            <w:pPr>
              <w:spacing w:after="0"/>
              <w:rPr>
                <w:sz w:val="16"/>
                <w:szCs w:val="16"/>
                <w:color w:val="auto"/>
              </w:rPr>
            </w:pPr>
          </w:p>
        </w:tc>
        <w:tc>
          <w:tcPr>
            <w:tcW w:w="13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C convertible preferred shares: $0.001 par value; 72,754,989 shares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authorized; 0 and 72,754,989 shares issued and outstanding at December 31,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2019 and March 31, 2020, respectively; aggregate liquidation preference of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$105,934 as of December 31, 2019 and March 31, 2020, respectively;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shares authorized, issued and outstanding, pro forma (unaudited)</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104,680</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5"/>
        </w:trPr>
        <w:tc>
          <w:tcPr>
            <w:tcW w:w="6480" w:type="dxa"/>
            <w:vAlign w:val="bottom"/>
          </w:tcPr>
          <w:p>
            <w:pPr>
              <w:ind w:left="5340"/>
              <w:spacing w:after="0"/>
              <w:rPr>
                <w:sz w:val="20"/>
                <w:szCs w:val="20"/>
                <w:color w:val="auto"/>
              </w:rPr>
            </w:pPr>
            <w:r>
              <w:rPr>
                <w:rFonts w:ascii="Arial" w:cs="Arial" w:eastAsia="Arial" w:hAnsi="Arial"/>
                <w:sz w:val="16"/>
                <w:szCs w:val="16"/>
                <w:color w:val="auto"/>
              </w:rPr>
              <w:t>F-34</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SHAREHOLDERS’</w:t>
            </w:r>
          </w:p>
        </w:tc>
      </w:tr>
      <w:tr>
        <w:trPr>
          <w:trHeight w:val="162"/>
        </w:trPr>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 AS OF</w:t>
            </w:r>
          </w:p>
        </w:tc>
      </w:tr>
      <w:tr>
        <w:trPr>
          <w:trHeight w:val="162"/>
        </w:trPr>
        <w:tc>
          <w:tcPr>
            <w:tcW w:w="666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6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56"/>
        </w:trPr>
        <w:tc>
          <w:tcPr>
            <w:tcW w:w="6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8"/>
              <w:spacing w:after="0" w:line="155" w:lineRule="exact"/>
              <w:rPr>
                <w:sz w:val="20"/>
                <w:szCs w:val="20"/>
                <w:color w:val="auto"/>
              </w:rPr>
            </w:pPr>
            <w:r>
              <w:rPr>
                <w:rFonts w:ascii="Arial" w:cs="Arial" w:eastAsia="Arial" w:hAnsi="Arial"/>
                <w:sz w:val="14"/>
                <w:szCs w:val="14"/>
                <w:b w:val="1"/>
                <w:bCs w:val="1"/>
                <w:color w:val="auto"/>
              </w:rPr>
              <w:t>(Note 1)</w:t>
            </w:r>
          </w:p>
        </w:tc>
        <w:tc>
          <w:tcPr>
            <w:tcW w:w="560" w:type="dxa"/>
            <w:vAlign w:val="bottom"/>
            <w:gridSpan w:val="2"/>
          </w:tcPr>
          <w:p>
            <w:pPr>
              <w:spacing w:after="0"/>
              <w:rPr>
                <w:sz w:val="13"/>
                <w:szCs w:val="13"/>
                <w:color w:val="auto"/>
              </w:rPr>
            </w:pPr>
          </w:p>
        </w:tc>
        <w:tc>
          <w:tcPr>
            <w:tcW w:w="8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9"/>
              </w:rPr>
              <w:t>(unaudited)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42"/>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189"/>
        </w:trPr>
        <w:tc>
          <w:tcPr>
            <w:tcW w:w="6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3"/>
        </w:trPr>
        <w:tc>
          <w:tcPr>
            <w:tcW w:w="6660" w:type="dxa"/>
            <w:vAlign w:val="bottom"/>
          </w:tcPr>
          <w:p>
            <w:pPr>
              <w:spacing w:after="0" w:line="183" w:lineRule="exact"/>
              <w:rPr>
                <w:sz w:val="20"/>
                <w:szCs w:val="20"/>
                <w:color w:val="auto"/>
              </w:rPr>
            </w:pPr>
            <w:r>
              <w:rPr>
                <w:rFonts w:ascii="Arial" w:cs="Arial" w:eastAsia="Arial" w:hAnsi="Arial"/>
                <w:sz w:val="17"/>
                <w:szCs w:val="17"/>
                <w:color w:val="auto"/>
              </w:rPr>
              <w:t>Ordinary shares, $0.001 par value; 10,000,000,000 shares authorized;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660" w:type="dxa"/>
            <w:vAlign w:val="bottom"/>
          </w:tcPr>
          <w:p>
            <w:pPr>
              <w:ind w:left="240"/>
              <w:spacing w:after="0" w:line="189" w:lineRule="exact"/>
              <w:rPr>
                <w:sz w:val="20"/>
                <w:szCs w:val="20"/>
                <w:color w:val="auto"/>
              </w:rPr>
            </w:pPr>
            <w:r>
              <w:rPr>
                <w:rFonts w:ascii="Arial" w:cs="Arial" w:eastAsia="Arial" w:hAnsi="Arial"/>
                <w:sz w:val="17"/>
                <w:szCs w:val="17"/>
                <w:color w:val="auto"/>
              </w:rPr>
              <w:t>20,840,532 shares issued and outstanding at December 31, 2019 and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60" w:type="dxa"/>
            <w:vAlign w:val="bottom"/>
          </w:tcPr>
          <w:p>
            <w:pPr>
              <w:ind w:left="240"/>
              <w:spacing w:after="0" w:line="189" w:lineRule="exact"/>
              <w:rPr>
                <w:sz w:val="20"/>
                <w:szCs w:val="20"/>
                <w:color w:val="auto"/>
              </w:rPr>
            </w:pPr>
            <w:r>
              <w:rPr>
                <w:rFonts w:ascii="Arial" w:cs="Arial" w:eastAsia="Arial" w:hAnsi="Arial"/>
                <w:sz w:val="17"/>
                <w:szCs w:val="17"/>
                <w:color w:val="auto"/>
              </w:rPr>
              <w:t>March 31, 2020; 10,000,000,000 shares authorized, 175,757,582 shares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6660" w:type="dxa"/>
            <w:vAlign w:val="bottom"/>
          </w:tcPr>
          <w:p>
            <w:pPr>
              <w:ind w:left="240"/>
              <w:spacing w:after="0"/>
              <w:rPr>
                <w:sz w:val="20"/>
                <w:szCs w:val="20"/>
                <w:color w:val="auto"/>
              </w:rPr>
            </w:pPr>
            <w:r>
              <w:rPr>
                <w:rFonts w:ascii="Arial" w:cs="Arial" w:eastAsia="Arial" w:hAnsi="Arial"/>
                <w:sz w:val="17"/>
                <w:szCs w:val="17"/>
                <w:color w:val="auto"/>
              </w:rPr>
              <w:t>issued and outstanding, pro forma (unaudited)</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3"/>
          </w:tcPr>
          <w:p>
            <w:pPr>
              <w:jc w:val="right"/>
              <w:ind w:right="560"/>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21</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176</w:t>
            </w:r>
          </w:p>
        </w:tc>
      </w:tr>
      <w:tr>
        <w:trPr>
          <w:trHeight w:val="189"/>
        </w:trPr>
        <w:tc>
          <w:tcPr>
            <w:tcW w:w="66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2,122</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2,289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192,356</w:t>
            </w:r>
          </w:p>
        </w:tc>
      </w:tr>
      <w:tr>
        <w:trPr>
          <w:trHeight w:val="189"/>
        </w:trPr>
        <w:tc>
          <w:tcPr>
            <w:tcW w:w="666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80" w:type="dxa"/>
            <w:vAlign w:val="bottom"/>
          </w:tcPr>
          <w:p>
            <w:pPr>
              <w:spacing w:after="0"/>
              <w:rPr>
                <w:sz w:val="16"/>
                <w:szCs w:val="16"/>
                <w:color w:val="auto"/>
              </w:rPr>
            </w:pPr>
          </w:p>
        </w:tc>
        <w:tc>
          <w:tcPr>
            <w:tcW w:w="1440" w:type="dxa"/>
            <w:vAlign w:val="bottom"/>
            <w:gridSpan w:val="3"/>
          </w:tcPr>
          <w:p>
            <w:pPr>
              <w:jc w:val="right"/>
              <w:ind w:right="500"/>
              <w:spacing w:after="0" w:line="189" w:lineRule="exact"/>
              <w:rPr>
                <w:sz w:val="20"/>
                <w:szCs w:val="20"/>
                <w:color w:val="auto"/>
              </w:rPr>
            </w:pPr>
            <w:r>
              <w:rPr>
                <w:rFonts w:ascii="Arial" w:cs="Arial" w:eastAsia="Arial" w:hAnsi="Arial"/>
                <w:sz w:val="17"/>
                <w:szCs w:val="17"/>
                <w:color w:val="auto"/>
              </w:rPr>
              <w:t>(72,782)</w:t>
            </w:r>
          </w:p>
        </w:tc>
        <w:tc>
          <w:tcPr>
            <w:tcW w:w="140" w:type="dxa"/>
            <w:vAlign w:val="bottom"/>
          </w:tcPr>
          <w:p>
            <w:pPr>
              <w:spacing w:after="0"/>
              <w:rPr>
                <w:sz w:val="16"/>
                <w:szCs w:val="16"/>
                <w:color w:val="auto"/>
              </w:rPr>
            </w:pPr>
          </w:p>
        </w:tc>
        <w:tc>
          <w:tcPr>
            <w:tcW w:w="9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(78,236)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(92,968)</w:t>
            </w:r>
          </w:p>
        </w:tc>
      </w:tr>
      <w:tr>
        <w:trPr>
          <w:trHeight w:val="27"/>
        </w:trPr>
        <w:tc>
          <w:tcPr>
            <w:tcW w:w="6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6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shareholders’ equity (deficit)</w:t>
            </w:r>
          </w:p>
        </w:tc>
        <w:tc>
          <w:tcPr>
            <w:tcW w:w="18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(70,639)</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(75,926)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99,564</w:t>
            </w:r>
          </w:p>
        </w:tc>
      </w:tr>
      <w:tr>
        <w:trPr>
          <w:trHeight w:val="190"/>
        </w:trPr>
        <w:tc>
          <w:tcPr>
            <w:tcW w:w="6660" w:type="dxa"/>
            <w:vAlign w:val="bottom"/>
          </w:tcPr>
          <w:p>
            <w:pPr>
              <w:ind w:left="500"/>
              <w:spacing w:after="0" w:line="190" w:lineRule="exact"/>
              <w:rPr>
                <w:sz w:val="20"/>
                <w:szCs w:val="20"/>
                <w:color w:val="auto"/>
              </w:rPr>
            </w:pPr>
            <w:r>
              <w:rPr>
                <w:rFonts w:ascii="Arial" w:cs="Arial" w:eastAsia="Arial" w:hAnsi="Arial"/>
                <w:sz w:val="17"/>
                <w:szCs w:val="17"/>
                <w:color w:val="auto"/>
              </w:rPr>
              <w:t>Total liabilities, convertible preferred shares and shareholders’ equity</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6660" w:type="dxa"/>
            <w:vAlign w:val="bottom"/>
          </w:tcPr>
          <w:p>
            <w:pPr>
              <w:ind w:left="760"/>
              <w:spacing w:after="0"/>
              <w:rPr>
                <w:sz w:val="20"/>
                <w:szCs w:val="20"/>
                <w:color w:val="auto"/>
              </w:rPr>
            </w:pPr>
            <w:r>
              <w:rPr>
                <w:rFonts w:ascii="Arial" w:cs="Arial" w:eastAsia="Arial" w:hAnsi="Arial"/>
                <w:sz w:val="17"/>
                <w:szCs w:val="17"/>
                <w:color w:val="auto"/>
              </w:rPr>
              <w:t>(deficit)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10,676</w:t>
            </w:r>
          </w:p>
        </w:tc>
        <w:tc>
          <w:tcPr>
            <w:tcW w:w="54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108,399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6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4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1,032</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655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3,733</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3,828</w:t>
            </w:r>
          </w:p>
        </w:tc>
        <w:tc>
          <w:tcPr>
            <w:tcW w:w="0" w:type="dxa"/>
            <w:vAlign w:val="bottom"/>
          </w:tcPr>
          <w:p>
            <w:pPr>
              <w:spacing w:after="0"/>
              <w:rPr>
                <w:sz w:val="1"/>
                <w:szCs w:val="1"/>
                <w:color w:val="auto"/>
              </w:rPr>
            </w:pPr>
          </w:p>
        </w:tc>
      </w:tr>
      <w:tr>
        <w:trPr>
          <w:trHeight w:val="189"/>
        </w:trPr>
        <w:tc>
          <w:tcPr>
            <w:tcW w:w="74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588</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4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596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4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5,259</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(4,227)</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(2)</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7"/>
                <w:szCs w:val="17"/>
                <w:color w:val="auto"/>
              </w:rPr>
              <w:t>(4,229)</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(9)</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7"/>
                <w:szCs w:val="17"/>
                <w:color w:val="auto"/>
              </w:rPr>
              <w:t>(4,238)</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7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(905)</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380"/>
              <w:spacing w:after="0"/>
              <w:rPr>
                <w:sz w:val="20"/>
                <w:szCs w:val="20"/>
                <w:color w:val="auto"/>
              </w:rPr>
            </w:pPr>
            <w:r>
              <w:rPr>
                <w:rFonts w:ascii="Arial" w:cs="Arial" w:eastAsia="Arial" w:hAnsi="Arial"/>
                <w:sz w:val="17"/>
                <w:szCs w:val="17"/>
                <w:color w:val="auto"/>
              </w:rPr>
              <w:t>(5,143)</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5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380"/>
              <w:spacing w:after="0" w:line="183" w:lineRule="exact"/>
              <w:rPr>
                <w:sz w:val="20"/>
                <w:szCs w:val="20"/>
                <w:color w:val="auto"/>
              </w:rPr>
            </w:pPr>
            <w:r>
              <w:rPr>
                <w:rFonts w:ascii="Arial" w:cs="Arial" w:eastAsia="Arial" w:hAnsi="Arial"/>
                <w:sz w:val="17"/>
                <w:szCs w:val="17"/>
                <w:color w:val="auto"/>
              </w:rPr>
              <w:t>(0.26)</w:t>
            </w:r>
          </w:p>
        </w:tc>
        <w:tc>
          <w:tcPr>
            <w:tcW w:w="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19,749,549</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20,684,025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w:t>
            </w: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(0.04)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440" w:type="dxa"/>
            <w:vAlign w:val="bottom"/>
          </w:tcPr>
          <w:p>
            <w:pPr>
              <w:ind w:left="240"/>
              <w:spacing w:after="0"/>
              <w:rPr>
                <w:sz w:val="20"/>
                <w:szCs w:val="20"/>
                <w:color w:val="auto"/>
              </w:rPr>
            </w:pPr>
            <w:r>
              <w:rPr>
                <w:rFonts w:ascii="Arial" w:cs="Arial" w:eastAsia="Arial" w:hAnsi="Arial"/>
                <w:sz w:val="17"/>
                <w:szCs w:val="17"/>
                <w:color w:val="auto"/>
              </w:rPr>
              <w:t>to ordinary shareholders, basic and diluted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144,442,583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Convertible Preferred Shares and Shareholders’ Deficit</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(unaudited)</w:t>
      </w:r>
    </w:p>
    <w:p>
      <w:pPr>
        <w:jc w:val="center"/>
        <w:ind w:right="-15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7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6"/>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2018</w:t>
            </w: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040" w:type="dxa"/>
            <w:vAlign w:val="bottom"/>
            <w:vMerge w:val="continue"/>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61,180,500</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4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March 31, 2019</w:t>
            </w:r>
          </w:p>
        </w:tc>
        <w:tc>
          <w:tcPr>
            <w:tcW w:w="840" w:type="dxa"/>
            <w:vAlign w:val="bottom"/>
          </w:tcPr>
          <w:p>
            <w:pPr>
              <w:jc w:val="right"/>
              <w:spacing w:after="0"/>
              <w:rPr>
                <w:sz w:val="20"/>
                <w:szCs w:val="20"/>
                <w:color w:val="auto"/>
              </w:rPr>
            </w:pPr>
            <w:r>
              <w:rPr>
                <w:rFonts w:ascii="Arial" w:cs="Arial" w:eastAsia="Arial" w:hAnsi="Arial"/>
                <w:sz w:val="14"/>
                <w:szCs w:val="14"/>
                <w:color w:val="auto"/>
              </w:rPr>
              <w:t>61,180,500</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040" w:type="dxa"/>
            <w:vAlign w:val="bottom"/>
            <w:vMerge w:val="continue"/>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67,871,229</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Issuance of Series C convertible preferred</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40" w:type="dxa"/>
            <w:vAlign w:val="bottom"/>
          </w:tcPr>
          <w:p>
            <w:pPr>
              <w:ind w:left="140"/>
              <w:spacing w:after="0"/>
              <w:rPr>
                <w:sz w:val="20"/>
                <w:szCs w:val="20"/>
                <w:color w:val="auto"/>
              </w:rPr>
            </w:pPr>
            <w:r>
              <w:rPr>
                <w:rFonts w:ascii="Arial" w:cs="Arial" w:eastAsia="Arial" w:hAnsi="Arial"/>
                <w:sz w:val="14"/>
                <w:szCs w:val="14"/>
                <w:color w:val="auto"/>
              </w:rPr>
              <w:t>shares, net of issuance costs of $320</w:t>
            </w:r>
          </w:p>
        </w:tc>
        <w:tc>
          <w:tcPr>
            <w:tcW w:w="840" w:type="dxa"/>
            <w:vAlign w:val="bottom"/>
          </w:tcPr>
          <w:p>
            <w:pPr>
              <w:jc w:val="right"/>
              <w:spacing w:after="0"/>
              <w:rPr>
                <w:sz w:val="20"/>
                <w:szCs w:val="20"/>
                <w:color w:val="auto"/>
              </w:rPr>
            </w:pPr>
            <w:r>
              <w:rPr>
                <w:rFonts w:ascii="Arial" w:cs="Arial" w:eastAsia="Arial" w:hAnsi="Arial"/>
                <w:sz w:val="14"/>
                <w:szCs w:val="14"/>
                <w:color w:val="auto"/>
              </w:rPr>
              <w:t>72,754,989</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104,680</w:t>
            </w:r>
          </w:p>
        </w:tc>
        <w:tc>
          <w:tcPr>
            <w:tcW w:w="0" w:type="dxa"/>
            <w:vAlign w:val="bottom"/>
          </w:tcPr>
          <w:p>
            <w:pPr>
              <w:spacing w:after="0"/>
              <w:rPr>
                <w:sz w:val="1"/>
                <w:szCs w:val="1"/>
                <w:color w:val="auto"/>
              </w:rPr>
            </w:pPr>
          </w:p>
        </w:tc>
      </w:tr>
      <w:tr>
        <w:trPr>
          <w:trHeight w:val="162"/>
        </w:trPr>
        <w:tc>
          <w:tcPr>
            <w:tcW w:w="30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04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40" w:type="dxa"/>
            <w:vAlign w:val="bottom"/>
          </w:tcPr>
          <w:p>
            <w:pPr>
              <w:spacing w:after="0"/>
              <w:rPr>
                <w:sz w:val="20"/>
                <w:szCs w:val="20"/>
                <w:color w:val="auto"/>
              </w:rPr>
            </w:pPr>
            <w:r>
              <w:rPr>
                <w:rFonts w:ascii="Arial" w:cs="Arial" w:eastAsia="Arial" w:hAnsi="Arial"/>
                <w:sz w:val="14"/>
                <w:szCs w:val="14"/>
                <w:b w:val="1"/>
                <w:bCs w:val="1"/>
                <w:color w:val="auto"/>
              </w:rPr>
              <w:t>Balance as of March 31, 2020</w:t>
            </w:r>
          </w:p>
        </w:tc>
        <w:tc>
          <w:tcPr>
            <w:tcW w:w="840" w:type="dxa"/>
            <w:vAlign w:val="bottom"/>
          </w:tcPr>
          <w:p>
            <w:pPr>
              <w:jc w:val="right"/>
              <w:spacing w:after="0"/>
              <w:rPr>
                <w:sz w:val="20"/>
                <w:szCs w:val="20"/>
                <w:color w:val="auto"/>
              </w:rPr>
            </w:pPr>
            <w:r>
              <w:rPr>
                <w:rFonts w:ascii="Arial" w:cs="Arial" w:eastAsia="Arial" w:hAnsi="Arial"/>
                <w:sz w:val="14"/>
                <w:szCs w:val="14"/>
                <w:color w:val="auto"/>
              </w:rPr>
              <w:t>140,626,218</w:t>
            </w:r>
          </w:p>
        </w:tc>
        <w:tc>
          <w:tcPr>
            <w:tcW w:w="34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175,043</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6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ORDINARY SHARES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8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jc w:val="right"/>
              <w:spacing w:after="0"/>
              <w:rPr>
                <w:sz w:val="20"/>
                <w:szCs w:val="20"/>
                <w:color w:val="auto"/>
              </w:rPr>
            </w:pPr>
            <w:r>
              <w:rPr>
                <w:rFonts w:ascii="Arial" w:cs="Arial" w:eastAsia="Arial" w:hAnsi="Arial"/>
                <w:sz w:val="14"/>
                <w:szCs w:val="14"/>
                <w:color w:val="auto"/>
              </w:rPr>
              <w:t>20,806,306</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1,740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162"/>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7"/>
        </w:trPr>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(4,238)</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jc w:val="right"/>
              <w:spacing w:after="0"/>
              <w:rPr>
                <w:sz w:val="20"/>
                <w:szCs w:val="20"/>
                <w:color w:val="auto"/>
              </w:rPr>
            </w:pPr>
            <w:r>
              <w:rPr>
                <w:rFonts w:ascii="Arial" w:cs="Arial" w:eastAsia="Arial" w:hAnsi="Arial"/>
                <w:sz w:val="14"/>
                <w:szCs w:val="14"/>
                <w:color w:val="auto"/>
              </w:rPr>
              <w:t>20,806,306</w:t>
            </w:r>
          </w:p>
        </w:tc>
        <w:tc>
          <w:tcPr>
            <w:tcW w:w="2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1,837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(57,777)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(55,919)</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80" w:type="dxa"/>
            <w:vAlign w:val="bottom"/>
          </w:tcPr>
          <w:p>
            <w:pPr>
              <w:jc w:val="right"/>
              <w:spacing w:after="0"/>
              <w:rPr>
                <w:sz w:val="20"/>
                <w:szCs w:val="20"/>
                <w:color w:val="auto"/>
              </w:rPr>
            </w:pPr>
            <w:r>
              <w:rPr>
                <w:rFonts w:ascii="Arial" w:cs="Arial" w:eastAsia="Arial" w:hAnsi="Arial"/>
                <w:sz w:val="14"/>
                <w:szCs w:val="14"/>
                <w:color w:val="auto"/>
              </w:rPr>
              <w:t>20,840,532</w:t>
            </w:r>
          </w:p>
        </w:tc>
        <w:tc>
          <w:tcPr>
            <w:tcW w:w="5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2,122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72"/>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14"/>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57"/>
        </w:trPr>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(5,454)</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(5,454)</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 w:type="dxa"/>
            <w:vAlign w:val="bottom"/>
          </w:tcPr>
          <w:p>
            <w:pPr>
              <w:jc w:val="right"/>
              <w:spacing w:after="0"/>
              <w:rPr>
                <w:sz w:val="20"/>
                <w:szCs w:val="20"/>
                <w:color w:val="auto"/>
              </w:rPr>
            </w:pPr>
            <w:r>
              <w:rPr>
                <w:rFonts w:ascii="Arial" w:cs="Arial" w:eastAsia="Arial" w:hAnsi="Arial"/>
                <w:sz w:val="14"/>
                <w:szCs w:val="14"/>
                <w:color w:val="auto"/>
              </w:rPr>
              <w:t>20,840,532</w:t>
            </w:r>
          </w:p>
        </w:tc>
        <w:tc>
          <w:tcPr>
            <w:tcW w:w="2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(78,236)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-3342005</wp:posOffset>
            </wp:positionH>
            <wp:positionV relativeFrom="paragraph">
              <wp:posOffset>-1336675</wp:posOffset>
            </wp:positionV>
            <wp:extent cx="6995160" cy="13112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311275"/>
                    </a:xfrm>
                    <a:prstGeom prst="rect">
                      <a:avLst/>
                    </a:prstGeom>
                    <a:noFill/>
                  </pic:spPr>
                </pic:pic>
              </a:graphicData>
            </a:graphic>
          </wp:anchor>
        </w:drawing>
        <w:drawing>
          <wp:anchor simplePos="0" relativeHeight="251657728" behindDoc="1" locked="0" layoutInCell="0" allowOverlap="1">
            <wp:simplePos x="0" y="0"/>
            <wp:positionH relativeFrom="column">
              <wp:posOffset>-3342005</wp:posOffset>
            </wp:positionH>
            <wp:positionV relativeFrom="paragraph">
              <wp:posOffset>145415</wp:posOffset>
            </wp:positionV>
            <wp:extent cx="69951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520"/>
            <w:col w:w="5700"/>
          </w:cols>
          <w:pgMar w:left="320" w:top="459" w:right="499" w:bottom="1440" w:gutter="0" w:footer="0" w:header="0"/>
          <w:type w:val="continuous"/>
        </w:sectPr>
      </w:pP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080"/>
          </w:cols>
          <w:pgMar w:left="320" w:top="459" w:right="49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8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(4,238)</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97</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76</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fair value of compound derivative liability</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Changes in fair value of Series B convertible preferred shares warrant liability</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200" w:type="dxa"/>
            <w:vAlign w:val="bottom"/>
          </w:tcPr>
          <w:p>
            <w:pPr>
              <w:spacing w:after="0"/>
              <w:rPr>
                <w:sz w:val="16"/>
                <w:szCs w:val="16"/>
                <w:color w:val="auto"/>
              </w:rPr>
            </w:pP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(1,031)</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365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(931)</w:t>
            </w: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721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(1,761)</w:t>
            </w: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145</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7"/>
                <w:szCs w:val="17"/>
                <w:color w:val="auto"/>
              </w:rPr>
              <w:t>(3,861)</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200" w:type="dxa"/>
            <w:vAlign w:val="bottom"/>
          </w:tcPr>
          <w:p>
            <w:pPr>
              <w:spacing w:after="0"/>
              <w:rPr>
                <w:sz w:val="16"/>
                <w:szCs w:val="16"/>
                <w:color w:val="auto"/>
              </w:rPr>
            </w:pP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(118)</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(118)</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6"/>
        </w:trPr>
        <w:tc>
          <w:tcPr>
            <w:tcW w:w="78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Proceeds from related parties for issuance of Series C convertible preferred shares, net of</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issuance costs of $6</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68,655</w:t>
            </w: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C convertible preferred shares, net of issuance costs of $3</w:t>
            </w:r>
          </w:p>
        </w:tc>
        <w:tc>
          <w:tcPr>
            <w:tcW w:w="2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36,336</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financing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104,991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Net (decrease) increase in cash</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7"/>
                <w:szCs w:val="17"/>
                <w:color w:val="auto"/>
              </w:rPr>
              <w:t>(3,979)</w:t>
            </w: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96,018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beginning of period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Cash at end of period</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4,283</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105,035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Cash paid for interest</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Vesting of early exercised share options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21</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277</w:t>
            </w: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Unpaid Series C convertible preferred shares issuance costs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vMerge w:val="continue"/>
          </w:tcPr>
          <w:p>
            <w:pPr>
              <w:spacing w:after="0"/>
              <w:rPr>
                <w:sz w:val="15"/>
                <w:szCs w:val="15"/>
                <w:color w:val="auto"/>
              </w:rPr>
            </w:pPr>
          </w:p>
        </w:tc>
        <w:tc>
          <w:tcPr>
            <w:tcW w:w="200" w:type="dxa"/>
            <w:vAlign w:val="bottom"/>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3" w:lineRule="exact"/>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Unpaid deferred offering costs</w:t>
            </w:r>
          </w:p>
        </w:tc>
        <w:tc>
          <w:tcPr>
            <w:tcW w:w="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800"/>
              <w:spacing w:after="0" w:line="183"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(unaudited)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w:t>
      </w:r>
    </w:p>
    <w:p>
      <w:pPr>
        <w:spacing w:after="0" w:line="4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149"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Subsequent to the balance sheet date as of March 31, 2020, 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internal reorganization (Note 9).</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of Preparation</w:t>
      </w:r>
    </w:p>
    <w:p>
      <w:pPr>
        <w:spacing w:after="0" w:line="41"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These condensed consolidated financial statements have been prepared in accordance with accounting principles generally accepted in the United States of America, or U.S. GAAP.</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intercompany balances and transactions have been eliminated in consolidation.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Unaudited Interim Condensed Consolidated Financial Statements</w:t>
      </w:r>
    </w:p>
    <w:p>
      <w:pPr>
        <w:spacing w:after="0" w:line="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condensed consolidated balance sheet as of March 31, 2020 and the condensed consolidated statements of operations and comprehensive loss, condensed consolidated statements of convertible preferred shares and shareholders’ deficit and the condensed consolidated statements of cash flows for the three months ended March 31, 2019 and March 31, 2020 are unaudited. These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March 31, 2020 and its results of operations for the periods presented. The results of operations for the three months ended March 31, 2020, are not necessarily indicative of the results to be expected for any subsequent periods, including the year ended December 31, 2020, and therefore should not be relied upon as an indicator of future results. The condensed consolidated balance sheet as of December 31, 2019 included herein was derived from the audited consolidated financial statements as of that date. The accompanying condensed consolidated financial statements and related notes should be read in conjunction with the audited consolidated financial statements for the year ended December 31, 2019 and included elsewhere in this prospectus.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 Forma Net Loss Per Share Attributable to Ordinary Shareholders</w:t>
      </w:r>
    </w:p>
    <w:p>
      <w:pPr>
        <w:spacing w:after="0" w:line="41"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In contemplation of an initial public offering, or IPO, the Company has presented pro forma basic and diluted net loss per share attributable to ordinary shareholders for the three months ended March 31, 2020.</w:t>
      </w:r>
    </w:p>
    <w:p>
      <w:pPr>
        <w:spacing w:after="0" w:line="144"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Pro forma basic net loss per share attributable to ordinary shareholders as of March 31, 2020 is computed to give effect to adjustments to the denominator in the pro forma basic and diluted net loss per share calculation to reflect the conversion of all of the Company’s outstanding convertible preferred shares and cumulative dividends into 123,758,558 ordinary shares as if the conversion had occurred as of the beginning of the period or the original date of issuance, if later.</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Pro forma diluted net loss attributable to ordinary shareholders is the same as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related shares expected to be sold in the assumed IPO.</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Need for Additional Capital</w:t>
      </w:r>
    </w:p>
    <w:p>
      <w:pPr>
        <w:spacing w:after="0" w:line="41"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$78.2 million as of March 31, 2020 and management does not expect to experience positive cash flows in the foreseeable future. Based on management’s current plans, management believes cash and cash equivalents of $105.0 million as of March 31, 2020 are sufficient to fund operations through at least one year from the date of the issuance of these condensed consolidated financial statements.</w:t>
      </w:r>
    </w:p>
    <w:p>
      <w:pPr>
        <w:spacing w:after="0" w:line="14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1"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and are stated at fair value.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has not experienced any losses on its deposits of cash and cash equivalents.</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condensed consolidated balance sheet and the resulting gain or loss is reflected in the condensed consolidated statement of operations and comprehensive loss. Maintenance and repairs are charged to the condensed consolidated statement of operations and comprehensive loss as incurred.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useful lives of the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equipment</w:t>
      </w:r>
    </w:p>
    <w:p>
      <w:pPr>
        <w:ind w:left="120"/>
        <w:spacing w:after="0" w:line="232" w:lineRule="auto"/>
        <w:rPr>
          <w:sz w:val="20"/>
          <w:szCs w:val="20"/>
          <w:color w:val="auto"/>
        </w:rPr>
      </w:pPr>
      <w:r>
        <w:rPr>
          <w:rFonts w:ascii="Arial" w:cs="Arial" w:eastAsia="Arial" w:hAnsi="Arial"/>
          <w:sz w:val="17"/>
          <w:szCs w:val="17"/>
          <w:color w:val="auto"/>
        </w:rPr>
        <w:t>Furniture and office equipment</w:t>
      </w:r>
    </w:p>
    <w:p>
      <w:pPr>
        <w:ind w:left="120"/>
        <w:spacing w:after="0" w:line="232" w:lineRule="auto"/>
        <w:rPr>
          <w:sz w:val="20"/>
          <w:szCs w:val="20"/>
          <w:color w:val="auto"/>
        </w:rPr>
      </w:pPr>
      <w:r>
        <w:rPr>
          <w:rFonts w:ascii="Arial" w:cs="Arial" w:eastAsia="Arial" w:hAnsi="Arial"/>
          <w:sz w:val="17"/>
          <w:szCs w:val="17"/>
          <w:color w:val="auto"/>
        </w:rPr>
        <w:t>Computer equipment</w:t>
      </w:r>
    </w:p>
    <w:p>
      <w:pPr>
        <w:ind w:left="120"/>
        <w:spacing w:after="0" w:line="232" w:lineRule="auto"/>
        <w:rPr>
          <w:sz w:val="20"/>
          <w:szCs w:val="20"/>
          <w:color w:val="auto"/>
        </w:rPr>
      </w:pPr>
      <w:r>
        <w:rPr>
          <w:rFonts w:ascii="Arial" w:cs="Arial" w:eastAsia="Arial" w:hAnsi="Arial"/>
          <w:sz w:val="17"/>
          <w:szCs w:val="17"/>
          <w:color w:val="auto"/>
        </w:rPr>
        <w:t>Software</w:t>
      </w:r>
    </w:p>
    <w:p>
      <w:pPr>
        <w:ind w:left="12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3 years</w:t>
      </w:r>
    </w:p>
    <w:p>
      <w:pPr>
        <w:spacing w:after="0" w:line="232" w:lineRule="auto"/>
        <w:rPr>
          <w:sz w:val="20"/>
          <w:szCs w:val="20"/>
          <w:color w:val="auto"/>
        </w:rPr>
      </w:pPr>
      <w:r>
        <w:rPr>
          <w:rFonts w:ascii="Arial" w:cs="Arial" w:eastAsia="Arial" w:hAnsi="Arial"/>
          <w:sz w:val="17"/>
          <w:szCs w:val="17"/>
          <w:color w:val="auto"/>
        </w:rPr>
        <w:t>3 years</w:t>
      </w:r>
    </w:p>
    <w:p>
      <w:pPr>
        <w:spacing w:after="0"/>
        <w:rPr>
          <w:sz w:val="20"/>
          <w:szCs w:val="20"/>
          <w:color w:val="auto"/>
        </w:rPr>
      </w:pPr>
      <w:r>
        <w:rPr>
          <w:rFonts w:ascii="Arial" w:cs="Arial" w:eastAsia="Arial" w:hAnsi="Arial"/>
          <w:sz w:val="17"/>
          <w:szCs w:val="17"/>
          <w:color w:val="auto"/>
        </w:rPr>
        <w:t>Shorter of 7 years or remaining of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137160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260"/>
          </w:cols>
          <w:pgMar w:left="320" w:top="459" w:right="459" w:bottom="1440" w:gutter="0" w:footer="0" w:header="0"/>
          <w:type w:val="continuous"/>
        </w:sect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as a reduction of additional paid-in capital generated as a result of the offering. Should the in-process equity financing be abandoned, the deferred offering costs will be expensed immediately as a charge to operating expenses in the consolidated statements of operations and comprehensive loss. As of March 31, 2020, $0.2 million of deferred offering costs were capitalized and recorded as other assets on the condensed consolidated balance sheet.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three months ended March 31, 2019 and March 31, 2020.</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condensed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Company’s financial instruments consist of cash and cash equivalents, receivables due from related-party,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receivables due from related-party and accounts payable approximates its current fair value due to the relatively short-term nature of these items.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120"/>
          </w:cols>
          <w:pgMar w:left="320" w:top="459" w:right="459" w:bottom="1440" w:gutter="0" w:footer="0" w:header="0"/>
          <w:type w:val="continuous"/>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Shares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 Convertible preferred shares are classified outside of shareholders’ deficit on the accompanying condensed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Warrant Liability</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including the completion of an initial public offering. Upon exercise, the Series B convertible preferred shares warrant liability would be reclassified to additional paid-in capital, with any change in fair value recognized as a component of other income (expense), net.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w:t>
      </w:r>
    </w:p>
    <w:p>
      <w:pPr>
        <w:ind w:left="12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138" w:lineRule="exact"/>
        <w:rPr>
          <w:sz w:val="20"/>
          <w:szCs w:val="20"/>
          <w:color w:val="auto"/>
        </w:rPr>
      </w:pPr>
    </w:p>
    <w:p>
      <w:pPr>
        <w:ind w:left="120" w:right="28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54"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condensed consolidated statements of operations and comprehensive loss.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54"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March 31, 2020,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Net Loss Per Share Attributable to Ordinary Shareholders</w:t>
      </w:r>
    </w:p>
    <w:p>
      <w:pPr>
        <w:spacing w:after="0" w:line="54"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preferred share dividends. Diluted net loss per share is the same as basic net loss per share, since the effects of potentially dilutive securities are antidilutive given the net loss for each period presented.</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54"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29"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non-public business entities, including smaller reporting companies, to fiscal years beginning after December 15, 2021. The new standard is effective for the Company beginning January 1, 2022. Early adoption is permitted. The Company is currently evaluating the effects of the adoption of this guidance on its condensed consolidated financial statements and related disclosures.</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condensed consolidated financial statements.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New Accounting Pronouncements Recently Adopted</w:t>
      </w:r>
    </w:p>
    <w:p>
      <w:pPr>
        <w:spacing w:after="0" w:line="41"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Company adopted this guidance on January 1, 2020. The adoption of this guidance did not have a material impact on the Company’s condensed consolidated financial statements.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September 2018, the FASB issued ASU No. 2018-13, Fair Value Measurement (Topic 820): Disclosure Framework—Changes to the Disclosure Requirements for Fair Value Measurement. The FASB issued final guidance that eliminates, adds and modifies certain disclosure requirements for fair value measurements as part of its disclosure framework project. Under the ASU, entities will no longer be required to disclose the amount of transfers between Level 1 and Level 2 of the fair value hierarchy. Public companies will be required to disclose changes in unrealized gains and losses for the period included in other comprehensive income for recurring Level 3 fair value measurements held at the end of the reporting period and the range and weighted average used to develop significant unobservable inputs for Level 3 fair value measurements. ASU 2018-13 is effective for public business entities for annual reporting periods, and interim periods within those annual periods, beginning after December 15, 2019, with early adoption permitted. The Company adopted this guidance on January 1, 2020. The adoption of ASU 2018-13 did not have a material impact on its condensed consolidated financial statements.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FAIR VALUE OF FINANCIAL INSTRUMENTS</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fair value of the Company’s financial assets and liabilities are determined in accordance with the fair value hierarchy established in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quoted prices in active markets</w:t>
      </w:r>
    </w:p>
    <w:p>
      <w:pPr>
        <w:spacing w:after="0" w:line="156"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156"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The Company’s financial instruments consist primarily of cash, cash equivalents, Series B convertible preferred shares warrant liability, and a term loan compound derivative liability.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F-44</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 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4.</w:t>
      </w:r>
    </w:p>
    <w:p>
      <w:pPr>
        <w:spacing w:after="0" w:line="150"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AS OF MARCH 31, 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6900" w:type="dxa"/>
            <w:vAlign w:val="bottom"/>
          </w:tcPr>
          <w:p>
            <w:pPr>
              <w:spacing w:after="0"/>
              <w:rPr>
                <w:sz w:val="13"/>
                <w:szCs w:val="13"/>
                <w:color w:val="auto"/>
              </w:rPr>
            </w:pPr>
          </w:p>
        </w:tc>
        <w:tc>
          <w:tcPr>
            <w:tcW w:w="8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LEVEL 2</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8"/>
              </w:rPr>
              <w:t>LEVEL 3</w:t>
            </w:r>
          </w:p>
        </w:tc>
        <w:tc>
          <w:tcPr>
            <w:tcW w:w="10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Cash equivalents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Money market funds</w:t>
            </w:r>
          </w:p>
        </w:tc>
        <w:tc>
          <w:tcPr>
            <w:tcW w:w="86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$90,067</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90,067</w:t>
            </w:r>
          </w:p>
        </w:tc>
      </w:tr>
      <w:tr>
        <w:trPr>
          <w:trHeight w:val="189"/>
        </w:trPr>
        <w:tc>
          <w:tcPr>
            <w:tcW w:w="6900" w:type="dxa"/>
            <w:vAlign w:val="bottom"/>
          </w:tcPr>
          <w:p>
            <w:pPr>
              <w:spacing w:after="0" w:line="18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Long term liabilities</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Compound derivative liability</w:t>
            </w:r>
          </w:p>
        </w:tc>
        <w:tc>
          <w:tcPr>
            <w:tcW w:w="2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65</w:t>
            </w:r>
          </w:p>
        </w:tc>
        <w:tc>
          <w:tcPr>
            <w:tcW w:w="3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65</w:t>
            </w: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Warrant liability</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447</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447</w:t>
            </w:r>
          </w:p>
        </w:tc>
      </w:tr>
      <w:tr>
        <w:trPr>
          <w:trHeight w:val="324"/>
        </w:trPr>
        <w:tc>
          <w:tcPr>
            <w:tcW w:w="6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6900" w:type="dxa"/>
            <w:vAlign w:val="bottom"/>
          </w:tcPr>
          <w:p>
            <w:pPr>
              <w:spacing w:after="0"/>
              <w:rPr>
                <w:sz w:val="13"/>
                <w:szCs w:val="13"/>
                <w:color w:val="auto"/>
              </w:rPr>
            </w:pPr>
          </w:p>
        </w:tc>
        <w:tc>
          <w:tcPr>
            <w:tcW w:w="8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8"/>
              </w:rPr>
              <w:t>LEVEL 3</w:t>
            </w:r>
          </w:p>
        </w:tc>
        <w:tc>
          <w:tcPr>
            <w:tcW w:w="10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Long term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Compound derivative liability</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51</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6900" w:type="dxa"/>
            <w:vAlign w:val="bottom"/>
          </w:tcPr>
          <w:p>
            <w:pPr>
              <w:ind w:left="240"/>
              <w:spacing w:after="0"/>
              <w:rPr>
                <w:sz w:val="20"/>
                <w:szCs w:val="20"/>
                <w:color w:val="auto"/>
              </w:rPr>
            </w:pPr>
            <w:r>
              <w:rPr>
                <w:rFonts w:ascii="Arial" w:cs="Arial" w:eastAsia="Arial" w:hAnsi="Arial"/>
                <w:sz w:val="17"/>
                <w:szCs w:val="17"/>
                <w:color w:val="auto"/>
              </w:rPr>
              <w:t>Warrant liability</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361</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WARRANT</w:t>
            </w:r>
          </w:p>
        </w:tc>
        <w:tc>
          <w:tcPr>
            <w:tcW w:w="36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DERIVATIVE</w:t>
            </w:r>
          </w:p>
        </w:tc>
      </w:tr>
      <w:tr>
        <w:trPr>
          <w:trHeight w:val="175"/>
        </w:trPr>
        <w:tc>
          <w:tcPr>
            <w:tcW w:w="56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36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r>
      <w:tr>
        <w:trPr>
          <w:trHeight w:val="183"/>
        </w:trPr>
        <w:tc>
          <w:tcPr>
            <w:tcW w:w="5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December 31, 2019</w:t>
            </w:r>
          </w:p>
        </w:tc>
        <w:tc>
          <w:tcPr>
            <w:tcW w:w="30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361</w:t>
            </w:r>
          </w:p>
        </w:tc>
        <w:tc>
          <w:tcPr>
            <w:tcW w:w="3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4"/>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5600" w:type="dxa"/>
            <w:vAlign w:val="bottom"/>
          </w:tcPr>
          <w:p>
            <w:pPr>
              <w:spacing w:after="0" w:line="189" w:lineRule="exact"/>
              <w:rPr>
                <w:sz w:val="20"/>
                <w:szCs w:val="20"/>
                <w:color w:val="auto"/>
              </w:rPr>
            </w:pPr>
            <w:r>
              <w:rPr>
                <w:rFonts w:ascii="Arial" w:cs="Arial" w:eastAsia="Arial" w:hAnsi="Arial"/>
                <w:sz w:val="17"/>
                <w:szCs w:val="17"/>
                <w:color w:val="auto"/>
              </w:rPr>
              <w:t>Change in market value</w:t>
            </w:r>
          </w:p>
        </w:tc>
        <w:tc>
          <w:tcPr>
            <w:tcW w:w="3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86</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w:t>
            </w:r>
          </w:p>
        </w:tc>
      </w:tr>
      <w:tr>
        <w:trPr>
          <w:trHeight w:val="27"/>
        </w:trPr>
        <w:tc>
          <w:tcPr>
            <w:tcW w:w="56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March 31, 2020</w:t>
            </w:r>
          </w:p>
        </w:tc>
        <w:tc>
          <w:tcPr>
            <w:tcW w:w="3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447</w:t>
            </w:r>
          </w:p>
        </w:tc>
        <w:tc>
          <w:tcPr>
            <w:tcW w:w="740" w:type="dxa"/>
            <w:vAlign w:val="bottom"/>
            <w:gridSpan w:val="2"/>
            <w:shd w:val="clear" w:color="auto" w:fill="CCEEFF"/>
          </w:tcPr>
          <w:p>
            <w:pPr>
              <w:jc w:val="right"/>
              <w:ind w:right="204"/>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65</w:t>
            </w:r>
          </w:p>
        </w:tc>
      </w:tr>
      <w:tr>
        <w:trPr>
          <w:trHeight w:val="20"/>
        </w:trPr>
        <w:tc>
          <w:tcPr>
            <w:tcW w:w="56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both"/>
        <w:ind w:left="120" w:right="420"/>
        <w:spacing w:after="0" w:line="238" w:lineRule="auto"/>
        <w:rPr>
          <w:sz w:val="20"/>
          <w:szCs w:val="20"/>
          <w:color w:val="auto"/>
        </w:rPr>
      </w:pPr>
      <w:r>
        <w:rPr>
          <w:rFonts w:ascii="Arial" w:cs="Arial" w:eastAsia="Arial" w:hAnsi="Arial"/>
          <w:sz w:val="17"/>
          <w:szCs w:val="17"/>
          <w:color w:val="auto"/>
        </w:rPr>
        <w:t>The Company did not have any outstanding financial assets or liabilities to be re-measured on a recurring basis as of March 31, 2019. There were no transfers of assets or liabilities between the fair value measurement levels during the year ended December 31, 2019 and the three months ended March 31, 2020.</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54" w:lineRule="exact"/>
        <w:rPr>
          <w:sz w:val="20"/>
          <w:szCs w:val="20"/>
          <w:color w:val="auto"/>
        </w:rPr>
      </w:pPr>
    </w:p>
    <w:p>
      <w:pPr>
        <w:ind w:left="120" w:right="520"/>
        <w:spacing w:after="0" w:line="238" w:lineRule="auto"/>
        <w:rPr>
          <w:sz w:val="20"/>
          <w:szCs w:val="20"/>
          <w:color w:val="auto"/>
        </w:rPr>
      </w:pPr>
      <w:r>
        <w:rPr>
          <w:rFonts w:ascii="Arial" w:cs="Arial" w:eastAsia="Arial" w:hAnsi="Arial"/>
          <w:sz w:val="17"/>
          <w:szCs w:val="17"/>
          <w:color w:val="auto"/>
        </w:rPr>
        <w:t>The estimated fair value of the Term Loan was $5.6 million as of March 31, 2020 which approximates the carrying value and is classified as Level 3. The Company utilized a market yield analysis and income approach to estimate a value for the Term Loan. The key valuation assumptions used consist of the discount rate of 17.5% and the probability of the occurrence of a change in control event of 10.0%</w:t>
      </w:r>
    </w:p>
    <w:p>
      <w:pPr>
        <w:spacing w:after="0" w:line="185" w:lineRule="exact"/>
        <w:rPr>
          <w:sz w:val="20"/>
          <w:szCs w:val="20"/>
          <w:color w:val="auto"/>
        </w:rPr>
      </w:pPr>
    </w:p>
    <w:p>
      <w:pPr>
        <w:ind w:left="120" w:right="7880" w:hanging="4"/>
        <w:spacing w:after="0" w:line="316" w:lineRule="auto"/>
        <w:tabs>
          <w:tab w:leader="none" w:pos="39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6"/>
          <w:szCs w:val="16"/>
          <w:b w:val="1"/>
          <w:bCs w:val="1"/>
          <w:i w:val="1"/>
          <w:iCs w:val="1"/>
          <w:color w:val="auto"/>
        </w:rPr>
        <w:t>Property and Equipment, Net</w:t>
      </w:r>
    </w:p>
    <w:p>
      <w:pPr>
        <w:spacing w:after="0" w:line="1" w:lineRule="exact"/>
        <w:rPr>
          <w:rFonts w:ascii="Arial" w:cs="Arial" w:eastAsia="Arial" w:hAnsi="Arial"/>
          <w:sz w:val="17"/>
          <w:szCs w:val="17"/>
          <w:b w:val="1"/>
          <w:bCs w:val="1"/>
          <w:color w:val="auto"/>
        </w:rPr>
      </w:pPr>
    </w:p>
    <w:p>
      <w:pPr>
        <w:ind w:left="1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components of property and equipment, net as of December 31, 2019 and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83"/>
        </w:trPr>
        <w:tc>
          <w:tcPr>
            <w:tcW w:w="8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157</w:t>
            </w:r>
          </w:p>
        </w:tc>
        <w:tc>
          <w:tcPr>
            <w:tcW w:w="60" w:type="dxa"/>
            <w:vAlign w:val="bottom"/>
            <w:shd w:val="clear" w:color="auto" w:fill="CCEEFF"/>
          </w:tcPr>
          <w:p>
            <w:pPr>
              <w:spacing w:after="0"/>
              <w:rPr>
                <w:sz w:val="15"/>
                <w:szCs w:val="15"/>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140" w:type="dxa"/>
            <w:vAlign w:val="bottom"/>
          </w:tcPr>
          <w:p>
            <w:pPr>
              <w:spacing w:after="0"/>
              <w:rPr>
                <w:sz w:val="16"/>
                <w:szCs w:val="16"/>
                <w:color w:val="auto"/>
              </w:rPr>
            </w:pPr>
          </w:p>
        </w:tc>
        <w:tc>
          <w:tcPr>
            <w:tcW w:w="168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1,698</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1,698</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36</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40" w:type="dxa"/>
            <w:vAlign w:val="bottom"/>
          </w:tcPr>
          <w:p>
            <w:pPr>
              <w:spacing w:after="0"/>
              <w:rPr>
                <w:sz w:val="16"/>
                <w:szCs w:val="16"/>
                <w:color w:val="auto"/>
              </w:rPr>
            </w:pPr>
          </w:p>
        </w:tc>
        <w:tc>
          <w:tcPr>
            <w:tcW w:w="168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429</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429</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1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210"/>
        </w:trPr>
        <w:tc>
          <w:tcPr>
            <w:tcW w:w="836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6"/>
              <w:spacing w:after="0" w:line="202" w:lineRule="exact"/>
              <w:rPr>
                <w:sz w:val="20"/>
                <w:szCs w:val="20"/>
                <w:color w:val="auto"/>
              </w:rPr>
            </w:pPr>
            <w:r>
              <w:rPr>
                <w:rFonts w:ascii="Arial" w:cs="Arial" w:eastAsia="Arial" w:hAnsi="Arial"/>
                <w:sz w:val="18"/>
                <w:szCs w:val="18"/>
                <w:color w:val="auto"/>
              </w:rPr>
              <w:t>(1,449)</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w w:val="98"/>
              </w:rPr>
              <w:t>(1,563)</w:t>
            </w:r>
          </w:p>
        </w:tc>
        <w:tc>
          <w:tcPr>
            <w:tcW w:w="60" w:type="dxa"/>
            <w:vAlign w:val="bottom"/>
          </w:tcPr>
          <w:p>
            <w:pPr>
              <w:spacing w:after="0"/>
              <w:rPr>
                <w:sz w:val="18"/>
                <w:szCs w:val="18"/>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860</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757</w:t>
            </w:r>
          </w:p>
        </w:tc>
      </w:tr>
      <w:tr>
        <w:trPr>
          <w:trHeight w:val="20"/>
        </w:trPr>
        <w:tc>
          <w:tcPr>
            <w:tcW w:w="8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60"/>
        <w:spacing w:after="0" w:line="298" w:lineRule="auto"/>
        <w:rPr>
          <w:sz w:val="20"/>
          <w:szCs w:val="20"/>
          <w:color w:val="auto"/>
        </w:rPr>
      </w:pPr>
      <w:r>
        <w:rPr>
          <w:rFonts w:ascii="Arial" w:cs="Arial" w:eastAsia="Arial" w:hAnsi="Arial"/>
          <w:sz w:val="17"/>
          <w:szCs w:val="17"/>
          <w:color w:val="auto"/>
        </w:rPr>
        <w:t xml:space="preserve">Depreciation and amortization expense was $0.1 million for the three months ended March 31, 2019 and March 31, 2020, respectively. </w:t>
      </w:r>
      <w:r>
        <w:rPr>
          <w:rFonts w:ascii="Arial" w:cs="Arial" w:eastAsia="Arial" w:hAnsi="Arial"/>
          <w:sz w:val="17"/>
          <w:szCs w:val="17"/>
          <w:b w:val="1"/>
          <w:bCs w:val="1"/>
          <w:i w:val="1"/>
          <w:iCs w:val="1"/>
          <w:color w:val="auto"/>
        </w:rPr>
        <w:t>Accrued Expenses and Other Current Liabilities</w:t>
      </w:r>
    </w:p>
    <w:p>
      <w:pPr>
        <w:spacing w:after="0" w:line="1"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following table presents the components of accrued expenses and other current liabilities as of December 31, 2019 and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83"/>
        </w:trPr>
        <w:tc>
          <w:tcPr>
            <w:tcW w:w="8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114</w:t>
            </w:r>
          </w:p>
        </w:tc>
        <w:tc>
          <w:tcPr>
            <w:tcW w:w="60" w:type="dxa"/>
            <w:vAlign w:val="bottom"/>
            <w:shd w:val="clear" w:color="auto" w:fill="CCEEFF"/>
          </w:tcPr>
          <w:p>
            <w:pPr>
              <w:spacing w:after="0"/>
              <w:rPr>
                <w:sz w:val="15"/>
                <w:szCs w:val="15"/>
                <w:color w:val="auto"/>
              </w:rPr>
            </w:pPr>
          </w:p>
        </w:tc>
      </w:tr>
      <w:tr>
        <w:trPr>
          <w:trHeight w:val="189"/>
        </w:trPr>
        <w:tc>
          <w:tcPr>
            <w:tcW w:w="844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4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864</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301</w:t>
            </w: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122</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496</w:t>
            </w:r>
          </w:p>
        </w:tc>
      </w:tr>
      <w:tr>
        <w:trPr>
          <w:trHeight w:val="189"/>
        </w:trPr>
        <w:tc>
          <w:tcPr>
            <w:tcW w:w="844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4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27</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w:t>
            </w: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224</w:t>
            </w:r>
          </w:p>
        </w:tc>
        <w:tc>
          <w:tcPr>
            <w:tcW w:w="60" w:type="dxa"/>
            <w:vAlign w:val="bottom"/>
            <w:shd w:val="clear" w:color="auto" w:fill="CCEEFF"/>
          </w:tcPr>
          <w:p>
            <w:pPr>
              <w:spacing w:after="0"/>
              <w:rPr>
                <w:sz w:val="16"/>
                <w:szCs w:val="16"/>
                <w:color w:val="auto"/>
              </w:rPr>
            </w:pPr>
          </w:p>
        </w:tc>
      </w:tr>
      <w:tr>
        <w:trPr>
          <w:trHeight w:val="196"/>
        </w:trPr>
        <w:tc>
          <w:tcPr>
            <w:tcW w:w="8440" w:type="dxa"/>
            <w:vAlign w:val="bottom"/>
          </w:tcPr>
          <w:p>
            <w:pPr>
              <w:ind w:left="240"/>
              <w:spacing w:after="0"/>
              <w:rPr>
                <w:sz w:val="20"/>
                <w:szCs w:val="20"/>
                <w:color w:val="auto"/>
              </w:rPr>
            </w:pPr>
            <w:r>
              <w:rPr>
                <w:rFonts w:ascii="Arial" w:cs="Arial" w:eastAsia="Arial" w:hAnsi="Arial"/>
                <w:sz w:val="17"/>
                <w:szCs w:val="17"/>
                <w:color w:val="auto"/>
              </w:rPr>
              <w:t>Total accrued liabilities</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1,236</w:t>
            </w:r>
          </w:p>
        </w:tc>
        <w:tc>
          <w:tcPr>
            <w:tcW w:w="6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1,146</w:t>
            </w:r>
          </w:p>
        </w:tc>
      </w:tr>
      <w:tr>
        <w:trPr>
          <w:trHeight w:val="20"/>
        </w:trPr>
        <w:tc>
          <w:tcPr>
            <w:tcW w:w="8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TERM LOAN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March 31, 2020. Therefore, the rate applicable to the Company as of March 31, 2020 was 7.0%.</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jc w:val="both"/>
        <w:ind w:left="120" w:right="240"/>
        <w:spacing w:after="0" w:line="232" w:lineRule="auto"/>
        <w:rPr>
          <w:sz w:val="20"/>
          <w:szCs w:val="20"/>
          <w:color w:val="auto"/>
        </w:rPr>
      </w:pPr>
      <w:r>
        <w:rPr>
          <w:rFonts w:ascii="Arial" w:cs="Arial" w:eastAsia="Arial" w:hAnsi="Arial"/>
          <w:sz w:val="17"/>
          <w:szCs w:val="17"/>
          <w:color w:val="auto"/>
        </w:rPr>
        <w:t>In conjunction with the Loan Agreement, the Company has issued warrants to purchase 403,348 Series B convertible preferred shares to SVB and WestRiver with an exercise price of $1.4432 per share. The estimated fair value of the warrants at the date of issuance was approximately $0.4 million. The fair value of the Series B convertible preferred shares warrant liability was determined using the Black-Scholes option-pricing model. As of March 31, 2020, the various assumptions used in the option-pricing model were time to liquidity of 2.0 to 9.7 years, volatility of</w:t>
      </w:r>
    </w:p>
    <w:p>
      <w:pPr>
        <w:ind w:left="120" w:right="40"/>
        <w:spacing w:after="0" w:line="236" w:lineRule="auto"/>
        <w:rPr>
          <w:sz w:val="20"/>
          <w:szCs w:val="20"/>
          <w:color w:val="auto"/>
        </w:rPr>
      </w:pPr>
      <w:r>
        <w:rPr>
          <w:rFonts w:ascii="Arial" w:cs="Arial" w:eastAsia="Arial" w:hAnsi="Arial"/>
          <w:sz w:val="17"/>
          <w:szCs w:val="17"/>
          <w:color w:val="auto"/>
        </w:rPr>
        <w:t>97.4% and risk-free rate of 0.4%. It was recorded at its fair value at inception and is being re-measured at each financial reporting period with any changes in fair value being recognized as a component of other income (expense), net in the accompanying condensed consolidated statement of operations and comprehensive loss. As of March 31, 2020, the fair value of the Series B convertible preferred shares warrant liability was approximately $0.4 million and was recorded in other long-term liabilities on the condensed consolidated balance sheets.</w:t>
      </w:r>
    </w:p>
    <w:p>
      <w:pPr>
        <w:spacing w:after="0" w:line="149"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condensed consolidated statement of operations and comprehensive loss. As of March 31, 2020, the fair value of the compound derivative liability was approximately $65,000 and was recorded in other long-term liabilities on the condensed consolidated balance sheets.</w:t>
      </w:r>
    </w:p>
    <w:p>
      <w:pPr>
        <w:spacing w:after="0" w:line="1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condensed consolidated balance sheet and together with the final payment are being amortized to interest expense throughout the life of the term loan using the effective interest rate method.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F-47</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As of March 31, 2020, there were unamortized issuance costs and debt discounts of $0.5 million, which were recorded as a direct deduction from the term loan on the condensed consolidated balance sheet. Interest expense for the term loan was $0.2 million for the three months ended March 31, 2020. Future payments of principal and interest as of March 31, 2020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Years ending December 31: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340" w:type="dxa"/>
            <w:vAlign w:val="bottom"/>
          </w:tcPr>
          <w:p>
            <w:pPr>
              <w:spacing w:after="0" w:line="189" w:lineRule="exact"/>
              <w:rPr>
                <w:sz w:val="20"/>
                <w:szCs w:val="20"/>
                <w:color w:val="auto"/>
              </w:rPr>
            </w:pPr>
            <w:r>
              <w:rPr>
                <w:rFonts w:ascii="Arial" w:cs="Arial" w:eastAsia="Arial" w:hAnsi="Arial"/>
                <w:sz w:val="17"/>
                <w:szCs w:val="17"/>
                <w:color w:val="auto"/>
              </w:rPr>
              <w:t>2020 (remaining 9 months)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96"/>
        </w:trPr>
        <w:tc>
          <w:tcPr>
            <w:tcW w:w="1034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7,071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340" w:type="dxa"/>
            <w:vAlign w:val="bottom"/>
            <w:vMerge w:val="restart"/>
          </w:tcPr>
          <w:p>
            <w:pPr>
              <w:spacing w:after="0"/>
              <w:rPr>
                <w:sz w:val="20"/>
                <w:szCs w:val="20"/>
                <w:color w:val="auto"/>
              </w:rPr>
            </w:pPr>
            <w:r>
              <w:rPr>
                <w:rFonts w:ascii="Arial" w:cs="Arial" w:eastAsia="Arial" w:hAnsi="Arial"/>
                <w:sz w:val="17"/>
                <w:szCs w:val="17"/>
                <w:color w:val="auto"/>
              </w:rPr>
              <w:t>Less: amount representing interest</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34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80"/>
              <w:spacing w:after="0" w:line="183" w:lineRule="exact"/>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final payment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89"/>
        </w:trPr>
        <w:tc>
          <w:tcPr>
            <w:tcW w:w="10340" w:type="dxa"/>
            <w:vAlign w:val="bottom"/>
          </w:tcPr>
          <w:p>
            <w:pPr>
              <w:spacing w:after="0" w:line="189" w:lineRule="exact"/>
              <w:rPr>
                <w:sz w:val="20"/>
                <w:szCs w:val="20"/>
                <w:color w:val="auto"/>
              </w:rPr>
            </w:pPr>
            <w:r>
              <w:rPr>
                <w:rFonts w:ascii="Arial" w:cs="Arial" w:eastAsia="Arial" w:hAnsi="Arial"/>
                <w:sz w:val="17"/>
                <w:szCs w:val="17"/>
                <w:color w:val="auto"/>
              </w:rPr>
              <w:t>Long-term debt, gross</w:t>
            </w:r>
          </w:p>
        </w:tc>
        <w:tc>
          <w:tcPr>
            <w:tcW w:w="100" w:type="dxa"/>
            <w:vAlign w:val="bottom"/>
          </w:tcPr>
          <w:p>
            <w:pPr>
              <w:spacing w:after="0"/>
              <w:rPr>
                <w:sz w:val="16"/>
                <w:szCs w:val="16"/>
                <w:color w:val="auto"/>
              </w:rPr>
            </w:pP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196"/>
        </w:trPr>
        <w:tc>
          <w:tcPr>
            <w:tcW w:w="10340" w:type="dxa"/>
            <w:vAlign w:val="bottom"/>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tcPr>
          <w:p>
            <w:pPr>
              <w:spacing w:after="0"/>
              <w:rPr>
                <w:sz w:val="17"/>
                <w:szCs w:val="17"/>
                <w:color w:val="auto"/>
              </w:rPr>
            </w:pPr>
          </w:p>
        </w:tc>
        <w:tc>
          <w:tcPr>
            <w:tcW w:w="5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4,672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8820" w:hanging="4"/>
        <w:spacing w:after="0" w:line="316" w:lineRule="auto"/>
        <w:tabs>
          <w:tab w:leader="none" w:pos="390"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 STRUCTURE </w:t>
      </w:r>
      <w:r>
        <w:rPr>
          <w:rFonts w:ascii="Arial" w:cs="Arial" w:eastAsia="Arial" w:hAnsi="Arial"/>
          <w:sz w:val="16"/>
          <w:szCs w:val="16"/>
          <w:b w:val="1"/>
          <w:bCs w:val="1"/>
          <w:i w:val="1"/>
          <w:iCs w:val="1"/>
          <w:color w:val="auto"/>
        </w:rPr>
        <w:t>Ordinary Shares</w:t>
      </w:r>
    </w:p>
    <w:p>
      <w:pPr>
        <w:spacing w:after="0" w:line="1" w:lineRule="exact"/>
        <w:rPr>
          <w:sz w:val="20"/>
          <w:szCs w:val="20"/>
          <w:color w:val="auto"/>
        </w:rPr>
      </w:pPr>
    </w:p>
    <w:p>
      <w:pPr>
        <w:ind w:left="120" w:right="740"/>
        <w:spacing w:after="0" w:line="243" w:lineRule="auto"/>
        <w:rPr>
          <w:sz w:val="20"/>
          <w:szCs w:val="20"/>
          <w:color w:val="auto"/>
        </w:rPr>
      </w:pPr>
      <w:r>
        <w:rPr>
          <w:rFonts w:ascii="Arial" w:cs="Arial" w:eastAsia="Arial" w:hAnsi="Arial"/>
          <w:sz w:val="17"/>
          <w:szCs w:val="17"/>
          <w:color w:val="auto"/>
        </w:rPr>
        <w:t>Ordinary shares reserved for future issuance, on an as if converted basis, as of December 31, 2019 and March 31, 2020,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836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67,871,229</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140,626,218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Stock options issued and outstanding</w:t>
            </w:r>
          </w:p>
        </w:tc>
        <w:tc>
          <w:tcPr>
            <w:tcW w:w="12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7,789,923</w:t>
            </w:r>
          </w:p>
        </w:tc>
        <w:tc>
          <w:tcPr>
            <w:tcW w:w="14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21,063,923</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 options authorized for future issuance</w:t>
            </w:r>
          </w:p>
        </w:tc>
        <w:tc>
          <w:tcPr>
            <w:tcW w:w="12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3,730,445</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1,277,036</w:t>
            </w:r>
          </w:p>
        </w:tc>
        <w:tc>
          <w:tcPr>
            <w:tcW w:w="0" w:type="dxa"/>
            <w:vAlign w:val="bottom"/>
          </w:tcPr>
          <w:p>
            <w:pPr>
              <w:spacing w:after="0"/>
              <w:rPr>
                <w:sz w:val="1"/>
                <w:szCs w:val="1"/>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12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403,348</w:t>
            </w:r>
          </w:p>
        </w:tc>
        <w:tc>
          <w:tcPr>
            <w:tcW w:w="140" w:type="dxa"/>
            <w:vAlign w:val="bottom"/>
          </w:tcPr>
          <w:p>
            <w:pPr>
              <w:spacing w:after="0"/>
              <w:rPr>
                <w:sz w:val="16"/>
                <w:szCs w:val="16"/>
                <w:color w:val="auto"/>
              </w:rPr>
            </w:pPr>
          </w:p>
        </w:tc>
        <w:tc>
          <w:tcPr>
            <w:tcW w:w="12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403,348</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201,674</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201,674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79,996,619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163,572,199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Shares</w:t>
      </w:r>
    </w:p>
    <w:p>
      <w:pPr>
        <w:spacing w:after="0" w:line="41"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color w:val="auto"/>
        </w:rPr>
        <w:t>As of December 31, 2019 and March 31, 2020,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AUTHORIZED</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PROCEEDS(1)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40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18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312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62,000,000</w:t>
            </w:r>
          </w:p>
        </w:tc>
        <w:tc>
          <w:tcPr>
            <w:tcW w:w="12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tcPr>
          <w:p>
            <w:pPr>
              <w:jc w:val="right"/>
              <w:ind w:right="48"/>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8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14,117,822</w:t>
            </w:r>
          </w:p>
        </w:tc>
        <w:tc>
          <w:tcPr>
            <w:tcW w:w="12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6,690,729</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7"/>
                <w:szCs w:val="17"/>
                <w:color w:val="auto"/>
              </w:rPr>
              <w:t>76,117,822</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67,871,229</w:t>
            </w:r>
          </w:p>
        </w:tc>
        <w:tc>
          <w:tcPr>
            <w:tcW w:w="400" w:type="dxa"/>
            <w:vAlign w:val="bottom"/>
            <w:gridSpan w:val="2"/>
          </w:tcPr>
          <w:p>
            <w:pPr>
              <w:jc w:val="right"/>
              <w:ind w:right="48"/>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080" w:type="dxa"/>
            <w:vAlign w:val="bottom"/>
          </w:tcPr>
          <w:p>
            <w:pPr>
              <w:spacing w:after="0"/>
              <w:rPr>
                <w:sz w:val="24"/>
                <w:szCs w:val="24"/>
                <w:color w:val="auto"/>
              </w:rPr>
            </w:pPr>
          </w:p>
        </w:tc>
        <w:tc>
          <w:tcPr>
            <w:tcW w:w="3120" w:type="dxa"/>
            <w:vAlign w:val="bottom"/>
            <w:gridSpan w:val="3"/>
          </w:tcPr>
          <w:p>
            <w:pPr>
              <w:jc w:val="right"/>
              <w:ind w:right="1520"/>
              <w:spacing w:after="0"/>
              <w:rPr>
                <w:sz w:val="20"/>
                <w:szCs w:val="20"/>
                <w:color w:val="auto"/>
              </w:rPr>
            </w:pPr>
            <w:r>
              <w:rPr>
                <w:rFonts w:ascii="Arial" w:cs="Arial" w:eastAsia="Arial" w:hAnsi="Arial"/>
                <w:sz w:val="16"/>
                <w:szCs w:val="16"/>
                <w:color w:val="auto"/>
              </w:rPr>
              <w:t>F-48</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5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2"/>
                <w:szCs w:val="12"/>
                <w:color w:val="auto"/>
              </w:rPr>
            </w:pPr>
          </w:p>
        </w:tc>
      </w:tr>
      <w:tr>
        <w:trPr>
          <w:trHeight w:val="162"/>
        </w:trPr>
        <w:tc>
          <w:tcPr>
            <w:tcW w:w="59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24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59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OUTSTANDING</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PROCEEDS(1)</w:t>
            </w:r>
          </w:p>
        </w:tc>
        <w:tc>
          <w:tcPr>
            <w:tcW w:w="11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PREFERENCE</w:t>
            </w:r>
          </w:p>
        </w:tc>
      </w:tr>
      <w:tr>
        <w:trPr>
          <w:trHeight w:val="169"/>
        </w:trPr>
        <w:tc>
          <w:tcPr>
            <w:tcW w:w="59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10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9"/>
        </w:trPr>
        <w:tc>
          <w:tcPr>
            <w:tcW w:w="594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13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61,180,500</w:t>
            </w:r>
          </w:p>
        </w:tc>
        <w:tc>
          <w:tcPr>
            <w:tcW w:w="13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61,180,500</w:t>
            </w:r>
          </w:p>
        </w:tc>
        <w:tc>
          <w:tcPr>
            <w:tcW w:w="2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60,933</w:t>
            </w:r>
          </w:p>
        </w:tc>
        <w:tc>
          <w:tcPr>
            <w:tcW w:w="260" w:type="dxa"/>
            <w:vAlign w:val="bottom"/>
          </w:tcPr>
          <w:p>
            <w:pPr>
              <w:jc w:val="right"/>
              <w:ind w:right="8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74,476</w:t>
            </w:r>
          </w:p>
        </w:tc>
      </w:tr>
      <w:tr>
        <w:trPr>
          <w:trHeight w:val="189"/>
        </w:trPr>
        <w:tc>
          <w:tcPr>
            <w:tcW w:w="5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3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7,295,752</w:t>
            </w:r>
          </w:p>
        </w:tc>
        <w:tc>
          <w:tcPr>
            <w:tcW w:w="13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6,690,729</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9,430</w:t>
            </w:r>
          </w:p>
        </w:tc>
        <w:tc>
          <w:tcPr>
            <w:tcW w:w="2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10,158</w:t>
            </w:r>
          </w:p>
        </w:tc>
      </w:tr>
      <w:tr>
        <w:trPr>
          <w:trHeight w:val="189"/>
        </w:trPr>
        <w:tc>
          <w:tcPr>
            <w:tcW w:w="5940" w:type="dxa"/>
            <w:vAlign w:val="bottom"/>
          </w:tcPr>
          <w:p>
            <w:pPr>
              <w:spacing w:after="0" w:line="189" w:lineRule="exact"/>
              <w:rPr>
                <w:sz w:val="20"/>
                <w:szCs w:val="20"/>
                <w:color w:val="auto"/>
              </w:rPr>
            </w:pPr>
            <w:r>
              <w:rPr>
                <w:rFonts w:ascii="Arial" w:cs="Arial" w:eastAsia="Arial" w:hAnsi="Arial"/>
                <w:sz w:val="17"/>
                <w:szCs w:val="17"/>
                <w:color w:val="auto"/>
              </w:rPr>
              <w:t>Series C convertible preferred shares</w:t>
            </w:r>
          </w:p>
        </w:tc>
        <w:tc>
          <w:tcPr>
            <w:tcW w:w="1040" w:type="dxa"/>
            <w:vAlign w:val="bottom"/>
          </w:tcPr>
          <w:p>
            <w:pPr>
              <w:jc w:val="right"/>
              <w:spacing w:after="0" w:line="189" w:lineRule="exact"/>
              <w:rPr>
                <w:sz w:val="20"/>
                <w:szCs w:val="20"/>
                <w:color w:val="auto"/>
              </w:rPr>
            </w:pPr>
            <w:r>
              <w:rPr>
                <w:rFonts w:ascii="Arial" w:cs="Arial" w:eastAsia="Arial" w:hAnsi="Arial"/>
                <w:sz w:val="17"/>
                <w:szCs w:val="17"/>
                <w:color w:val="auto"/>
              </w:rPr>
              <w:t>72,754,989</w:t>
            </w:r>
          </w:p>
        </w:tc>
        <w:tc>
          <w:tcPr>
            <w:tcW w:w="26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7"/>
                <w:szCs w:val="17"/>
                <w:color w:val="auto"/>
              </w:rPr>
              <w:t>72,754,989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7"/>
                <w:szCs w:val="17"/>
                <w:color w:val="auto"/>
              </w:rPr>
              <w:t>104,680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105,934</w:t>
            </w:r>
          </w:p>
        </w:tc>
      </w:tr>
      <w:tr>
        <w:trPr>
          <w:trHeight w:val="27"/>
        </w:trPr>
        <w:tc>
          <w:tcPr>
            <w:tcW w:w="59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5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141,231,241</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140,626,218</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175,043</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line="189" w:lineRule="exact"/>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190,568</w:t>
            </w:r>
          </w:p>
        </w:tc>
      </w:tr>
      <w:tr>
        <w:trPr>
          <w:trHeight w:val="20"/>
        </w:trPr>
        <w:tc>
          <w:tcPr>
            <w:tcW w:w="59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9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February 2020, the company entered into a Series C Preferred Shares Purchase Agreement, or the Series C Agreement, with certain existing investors, employees and new investors, or collectively, the Series C Investors. Under the terms of the Series C Agreement, the Company authorized the sale and issuance of up to 72,754,989 of the Company’s Series C convertible preferred shares at a purchase price of $1.4432 per share. As of March 31, 2020, a total of 72,754,989 shares had been purchased with gross proceeds of $105.0 million. The gross proceeds of $105.0 million were reduced by total issuance costs incurred of $0.3 million.</w:t>
      </w:r>
    </w:p>
    <w:p>
      <w:pPr>
        <w:spacing w:after="0" w:line="150"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As of March 31, 2020, the holders of the convertible preferred shares had the following rights and preferences (in thousands, except share amounts):</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i w:val="1"/>
          <w:iCs w:val="1"/>
          <w:color w:val="auto"/>
        </w:rPr>
        <w:t>Dividend Provisions</w:t>
      </w:r>
      <w:r>
        <w:rPr>
          <w:rFonts w:ascii="Arial" w:cs="Arial" w:eastAsia="Arial" w:hAnsi="Arial"/>
          <w:sz w:val="17"/>
          <w:szCs w:val="17"/>
          <w:color w:val="auto"/>
        </w:rPr>
        <w:t>—Cumulative dividends of 6.0% per annum of the original issue price for each Preferred Shares series are payable when and</w:t>
      </w:r>
      <w:r>
        <w:rPr>
          <w:rFonts w:ascii="Arial" w:cs="Arial" w:eastAsia="Arial" w:hAnsi="Arial"/>
          <w:sz w:val="17"/>
          <w:szCs w:val="17"/>
          <w:i w:val="1"/>
          <w:iCs w:val="1"/>
          <w:color w:val="auto"/>
        </w:rPr>
        <w:t xml:space="preserve"> </w:t>
      </w:r>
      <w:r>
        <w:rPr>
          <w:rFonts w:ascii="Arial" w:cs="Arial" w:eastAsia="Arial" w:hAnsi="Arial"/>
          <w:sz w:val="17"/>
          <w:szCs w:val="17"/>
          <w:color w:val="auto"/>
        </w:rPr>
        <w:t>as declared by the Company’s Board of Directors, or Board of Directors, upon the occurrence of a liquidation event or upon a contingent mandatory conversion of the Preferred Shares in connection with a qualified initial public offering as described below. The Series A original issue price is $1.00, and the Series B and Series C original issue price is $1.4432.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As of March 31, 2020, cumulative dividends were $14.7 million. No dividends have been declared or paid since the issuance of convertible preferred shares through March 31, 2020.</w:t>
      </w:r>
    </w:p>
    <w:p>
      <w:pPr>
        <w:spacing w:after="0" w:line="130"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—In the event of liquidation, dissolution or winding up of the Company, merger or a reduction of capital through the sale or lease of all</w:t>
      </w:r>
      <w:r>
        <w:rPr>
          <w:rFonts w:ascii="Arial" w:cs="Arial" w:eastAsia="Arial" w:hAnsi="Arial"/>
          <w:sz w:val="17"/>
          <w:szCs w:val="17"/>
          <w:i w:val="1"/>
          <w:iCs w:val="1"/>
          <w:color w:val="auto"/>
        </w:rPr>
        <w:t xml:space="preserve"> </w:t>
      </w:r>
      <w:r>
        <w:rPr>
          <w:rFonts w:ascii="Arial" w:cs="Arial" w:eastAsia="Arial" w:hAnsi="Arial"/>
          <w:sz w:val="17"/>
          <w:szCs w:val="17"/>
          <w:color w:val="auto"/>
        </w:rPr>
        <w:t>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120" w:right="140"/>
        <w:spacing w:after="0"/>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—On any matter presented to the shareholders of the Company, each holder of outstanding Preferred Shares shall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cast the number of votes equal to the number of whole ordinary shares into which the Preferred Shares held by such holder are convertible. The holders of Preferred Shares shall vote together with the holders of ordinary shares as a single class. Additionally, the Company must receive approval of holders of at least two-third of the voting rights then held in aggregate by the holders of the Preferred Shares in issue on an as-converted basis in order to effect certain corporate actions. Four investors have contractual rights to elect four out of six board members.</w:t>
      </w:r>
    </w:p>
    <w:p>
      <w:pPr>
        <w:spacing w:after="0" w:line="13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i w:val="1"/>
          <w:iCs w:val="1"/>
          <w:color w:val="auto"/>
        </w:rPr>
        <w:t>Optional Conversion at Holders’ Option</w:t>
      </w:r>
      <w:r>
        <w:rPr>
          <w:rFonts w:ascii="Arial" w:cs="Arial" w:eastAsia="Arial" w:hAnsi="Arial"/>
          <w:sz w:val="17"/>
          <w:szCs w:val="17"/>
          <w:color w:val="auto"/>
        </w:rPr>
        <w:t>—Each share of Preferred Shares shall be convertible, at the option of the holder, at any time and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700"/>
        <w:spacing w:after="0" w:line="238" w:lineRule="auto"/>
        <w:rPr>
          <w:sz w:val="20"/>
          <w:szCs w:val="20"/>
          <w:color w:val="auto"/>
        </w:rPr>
      </w:pPr>
      <w:r>
        <w:rPr>
          <w:rFonts w:ascii="Arial" w:cs="Arial" w:eastAsia="Arial" w:hAnsi="Arial"/>
          <w:sz w:val="17"/>
          <w:szCs w:val="17"/>
          <w:color w:val="auto"/>
        </w:rPr>
        <w:t>holders shall also receive only declared but as yet unpaid dividends. Note only holders of Preferred Shares receive declared and unpaid dividends; preferred shareholders who chose to convert prior to the declaration of such dividends are not entitled to receive accumulated dividends.</w:t>
      </w:r>
    </w:p>
    <w:p>
      <w:pPr>
        <w:spacing w:after="0" w:line="129"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Contingent Mandatory Conversion</w:t>
      </w:r>
      <w:r>
        <w:rPr>
          <w:rFonts w:ascii="Arial" w:cs="Arial" w:eastAsia="Arial" w:hAnsi="Arial"/>
          <w:sz w:val="17"/>
          <w:szCs w:val="17"/>
          <w:color w:val="auto"/>
        </w:rPr>
        <w:t>—Upon the closing of the first underwritten public offering pursuant to an effective registration statement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Act of 1933, as amended, or pursuant to a corresponding securities issuance application process in any non-U.S. jurisdiction, covering the offer and sale of the Company’s ordinary shares in which the gross cash proceeds to the Company (before underwriting discounts, commissions and fees) are at least $50.0 million for each series of Preferred Shares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4"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i w:val="1"/>
          <w:iCs w:val="1"/>
          <w:color w:val="auto"/>
        </w:rPr>
        <w:t>Down-Round Antidilution Protection</w:t>
      </w:r>
      <w:r>
        <w:rPr>
          <w:rFonts w:ascii="Arial" w:cs="Arial" w:eastAsia="Arial" w:hAnsi="Arial"/>
          <w:sz w:val="17"/>
          <w:szCs w:val="17"/>
          <w:color w:val="auto"/>
        </w:rPr>
        <w:t>—In the event the Company issues its ordinary shares without consideration or for consideration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LICENSE AGREEMENT</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174"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49"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 specified aggregate amount in respect of a specified number of licensed products that successfully satisfy certain clinical and regulatory milestones. No milestone payments have been made through March 31, 2020.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in respect of each licensed product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52"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48"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F-51</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RELATED-PARTY TRANSACTIONS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39"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was also the Chief Executive Officer of Tollnine until April 2020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the Company’s customer, obtains control of promised goods or services, in an amount that reflects the consideration which the Company expects to receive in exchange for those goods or services. For the three months ended March 31, 2019 and March 31, 2020, the Company recognized related-party revenues of $1.0 million and $0.7 million, respectively, under the Tollnine Agreement.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Receivables due from Related-party</w:t>
      </w:r>
    </w:p>
    <w:p>
      <w:pPr>
        <w:spacing w:after="0" w:line="39" w:lineRule="exact"/>
        <w:rPr>
          <w:sz w:val="20"/>
          <w:szCs w:val="20"/>
          <w:color w:val="auto"/>
        </w:rPr>
      </w:pPr>
    </w:p>
    <w:p>
      <w:pPr>
        <w:ind w:left="120" w:right="780"/>
        <w:spacing w:after="0" w:line="243" w:lineRule="auto"/>
        <w:rPr>
          <w:sz w:val="20"/>
          <w:szCs w:val="20"/>
          <w:color w:val="auto"/>
        </w:rPr>
      </w:pPr>
      <w:r>
        <w:rPr>
          <w:rFonts w:ascii="Arial" w:cs="Arial" w:eastAsia="Arial" w:hAnsi="Arial"/>
          <w:sz w:val="17"/>
          <w:szCs w:val="17"/>
          <w:color w:val="auto"/>
        </w:rPr>
        <w:t>As of December 31, 2019 and March 31, 2020, the Company had outstanding related-party receivables from Tollnine of $0.5 million and $1.2 million, respectively.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NET LOSS PER SHARE ATTRIBUTABLE TO ORDINARY SHAREHOLDERS AND PRO FORMA NET LOSS PER SHARE</w:t>
      </w:r>
    </w:p>
    <w:p>
      <w:pPr>
        <w:spacing w:after="0" w:line="93" w:lineRule="exact"/>
        <w:rPr>
          <w:sz w:val="20"/>
          <w:szCs w:val="20"/>
          <w:color w:val="auto"/>
        </w:rPr>
      </w:pPr>
    </w:p>
    <w:p>
      <w:pPr>
        <w:jc w:val="both"/>
        <w:ind w:left="120" w:right="480"/>
        <w:spacing w:after="0" w:line="243" w:lineRule="auto"/>
        <w:rPr>
          <w:sz w:val="20"/>
          <w:szCs w:val="20"/>
          <w:color w:val="auto"/>
        </w:rPr>
      </w:pPr>
      <w:r>
        <w:rPr>
          <w:rFonts w:ascii="Arial" w:cs="Arial" w:eastAsia="Arial" w:hAnsi="Arial"/>
          <w:sz w:val="17"/>
          <w:szCs w:val="17"/>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8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14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688"/>
              <w:spacing w:after="0" w:line="189" w:lineRule="exact"/>
              <w:rPr>
                <w:sz w:val="20"/>
                <w:szCs w:val="20"/>
                <w:color w:val="auto"/>
              </w:rPr>
            </w:pPr>
            <w:r>
              <w:rPr>
                <w:rFonts w:ascii="Arial" w:cs="Arial" w:eastAsia="Arial" w:hAnsi="Arial"/>
                <w:sz w:val="17"/>
                <w:szCs w:val="17"/>
                <w:color w:val="auto"/>
              </w:rPr>
              <w:t>(4,238)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cumulative preferred dividends allocated to preferred shareholders</w:t>
            </w:r>
          </w:p>
        </w:tc>
        <w:tc>
          <w:tcPr>
            <w:tcW w:w="1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688"/>
              <w:spacing w:after="0" w:line="189" w:lineRule="exact"/>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688"/>
              <w:spacing w:after="0"/>
              <w:rPr>
                <w:sz w:val="20"/>
                <w:szCs w:val="20"/>
                <w:color w:val="auto"/>
              </w:rPr>
            </w:pPr>
            <w:r>
              <w:rPr>
                <w:rFonts w:ascii="Arial" w:cs="Arial" w:eastAsia="Arial" w:hAnsi="Arial"/>
                <w:sz w:val="17"/>
                <w:szCs w:val="17"/>
                <w:color w:val="auto"/>
              </w:rPr>
              <w:t>(5,143)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20" w:type="dxa"/>
            <w:vAlign w:val="bottom"/>
          </w:tcPr>
          <w:p>
            <w:pPr>
              <w:spacing w:after="0"/>
              <w:rPr>
                <w:sz w:val="16"/>
                <w:szCs w:val="16"/>
                <w:color w:val="auto"/>
              </w:rPr>
            </w:pPr>
          </w:p>
        </w:tc>
        <w:tc>
          <w:tcPr>
            <w:tcW w:w="1680" w:type="dxa"/>
            <w:vAlign w:val="bottom"/>
            <w:gridSpan w:val="2"/>
          </w:tcPr>
          <w:p>
            <w:pPr>
              <w:jc w:val="right"/>
              <w:ind w:right="748"/>
              <w:spacing w:after="0" w:line="189" w:lineRule="exact"/>
              <w:rPr>
                <w:sz w:val="20"/>
                <w:szCs w:val="20"/>
                <w:color w:val="auto"/>
              </w:rPr>
            </w:pPr>
            <w:r>
              <w:rPr>
                <w:rFonts w:ascii="Arial" w:cs="Arial" w:eastAsia="Arial" w:hAnsi="Arial"/>
                <w:sz w:val="17"/>
                <w:szCs w:val="17"/>
                <w:color w:val="auto"/>
                <w:w w:val="98"/>
              </w:rPr>
              <w:t>19,749,549</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8"/>
              </w:rPr>
              <w:t>20,684,025</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680" w:type="dxa"/>
            <w:vAlign w:val="bottom"/>
            <w:gridSpan w:val="2"/>
            <w:shd w:val="clear" w:color="auto" w:fill="CCEEFF"/>
          </w:tcPr>
          <w:p>
            <w:pPr>
              <w:jc w:val="right"/>
              <w:ind w:right="688"/>
              <w:spacing w:after="0" w:line="183" w:lineRule="exact"/>
              <w:rPr>
                <w:sz w:val="20"/>
                <w:szCs w:val="20"/>
                <w:color w:val="auto"/>
              </w:rPr>
            </w:pPr>
            <w:r>
              <w:rPr>
                <w:rFonts w:ascii="Arial" w:cs="Arial" w:eastAsia="Arial" w:hAnsi="Arial"/>
                <w:sz w:val="17"/>
                <w:szCs w:val="17"/>
                <w:color w:val="auto"/>
              </w:rPr>
              <w:t>(0.26)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20" w:right="460"/>
        <w:spacing w:after="0" w:line="238"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March 31, 2019 and March 31, 2020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660" w:type="dxa"/>
            <w:vAlign w:val="bottom"/>
            <w:gridSpan w:val="4"/>
          </w:tcPr>
          <w:p>
            <w:pPr>
              <w:ind w:left="90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4920" w:type="dxa"/>
            <w:vAlign w:val="bottom"/>
            <w:tcBorders>
              <w:bottom w:val="single" w:sz="8" w:color="CCEEFF"/>
            </w:tcBorders>
          </w:tcPr>
          <w:p>
            <w:pPr>
              <w:spacing w:after="0"/>
              <w:rPr>
                <w:sz w:val="13"/>
                <w:szCs w:val="13"/>
                <w:color w:val="auto"/>
              </w:rPr>
            </w:pPr>
          </w:p>
        </w:tc>
        <w:tc>
          <w:tcPr>
            <w:tcW w:w="344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96"/>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4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3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80" w:type="dxa"/>
            <w:vAlign w:val="bottom"/>
            <w:shd w:val="clear" w:color="auto" w:fill="CCEEFF"/>
          </w:tcPr>
          <w:p>
            <w:pPr>
              <w:spacing w:after="0"/>
              <w:rPr>
                <w:sz w:val="15"/>
                <w:szCs w:val="15"/>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344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6,690,729</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C convertible preferred shares</w:t>
            </w:r>
          </w:p>
        </w:tc>
        <w:tc>
          <w:tcPr>
            <w:tcW w:w="34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72,754,989</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Warrants to purchase Series B convertible preferred shares</w:t>
            </w:r>
          </w:p>
        </w:tc>
        <w:tc>
          <w:tcPr>
            <w:tcW w:w="344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403,348</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476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951,041</w:t>
            </w:r>
          </w:p>
        </w:tc>
        <w:tc>
          <w:tcPr>
            <w:tcW w:w="13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113,854</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344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6,080,869</w:t>
            </w:r>
          </w:p>
        </w:tc>
        <w:tc>
          <w:tcPr>
            <w:tcW w:w="13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21,063,923</w:t>
            </w:r>
          </w:p>
        </w:tc>
      </w:tr>
      <w:tr>
        <w:trPr>
          <w:trHeight w:val="27"/>
        </w:trPr>
        <w:tc>
          <w:tcPr>
            <w:tcW w:w="4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34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68,212,410</w:t>
            </w:r>
          </w:p>
        </w:tc>
        <w:tc>
          <w:tcPr>
            <w:tcW w:w="13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162,207,343</w:t>
            </w:r>
          </w:p>
        </w:tc>
      </w:tr>
      <w:tr>
        <w:trPr>
          <w:trHeight w:val="20"/>
        </w:trPr>
        <w:tc>
          <w:tcPr>
            <w:tcW w:w="49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4760" w:type="dxa"/>
            <w:vAlign w:val="bottom"/>
            <w:tcBorders>
              <w:bottom w:val="single" w:sz="8" w:color="auto"/>
            </w:tcBorders>
            <w:gridSpan w:val="3"/>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379"/>
        </w:trPr>
        <w:tc>
          <w:tcPr>
            <w:tcW w:w="4920" w:type="dxa"/>
            <w:vAlign w:val="bottom"/>
          </w:tcPr>
          <w:p>
            <w:pPr>
              <w:spacing w:after="0"/>
              <w:rPr>
                <w:sz w:val="24"/>
                <w:szCs w:val="24"/>
                <w:color w:val="auto"/>
              </w:rPr>
            </w:pPr>
          </w:p>
        </w:tc>
        <w:tc>
          <w:tcPr>
            <w:tcW w:w="4760" w:type="dxa"/>
            <w:vAlign w:val="bottom"/>
            <w:gridSpan w:val="3"/>
          </w:tcPr>
          <w:p>
            <w:pPr>
              <w:jc w:val="right"/>
              <w:ind w:right="4000"/>
              <w:spacing w:after="0"/>
              <w:rPr>
                <w:sz w:val="20"/>
                <w:szCs w:val="20"/>
                <w:color w:val="auto"/>
              </w:rPr>
            </w:pPr>
            <w:r>
              <w:rPr>
                <w:rFonts w:ascii="Arial" w:cs="Arial" w:eastAsia="Arial" w:hAnsi="Arial"/>
                <w:sz w:val="16"/>
                <w:szCs w:val="16"/>
                <w:color w:val="auto"/>
              </w:rPr>
              <w:t>F-52</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60" w:right="940" w:hanging="250"/>
        <w:spacing w:after="0" w:line="243" w:lineRule="auto"/>
        <w:rPr>
          <w:sz w:val="20"/>
          <w:szCs w:val="20"/>
          <w:color w:val="auto"/>
        </w:rPr>
      </w:pPr>
      <w:r>
        <w:rPr>
          <w:rFonts w:ascii="Arial" w:cs="Arial" w:eastAsia="Arial" w:hAnsi="Arial"/>
          <w:sz w:val="17"/>
          <w:szCs w:val="17"/>
          <w:color w:val="auto"/>
        </w:rPr>
        <w:t>Pro forma adjustment to reflect change in fair value of Series B convertible preferred shares warrant liability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 forma net loss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28" w:lineRule="exact"/>
        <w:rPr>
          <w:sz w:val="20"/>
          <w:szCs w:val="20"/>
          <w:color w:val="auto"/>
        </w:rPr>
      </w:pPr>
    </w:p>
    <w:p>
      <w:pPr>
        <w:ind w:left="360" w:right="1400" w:hanging="250"/>
        <w:spacing w:after="0" w:line="232" w:lineRule="auto"/>
        <w:rPr>
          <w:sz w:val="20"/>
          <w:szCs w:val="20"/>
          <w:color w:val="auto"/>
        </w:rPr>
      </w:pPr>
      <w:r>
        <w:rPr>
          <w:rFonts w:ascii="Arial" w:cs="Arial" w:eastAsia="Arial" w:hAnsi="Arial"/>
          <w:sz w:val="17"/>
          <w:szCs w:val="17"/>
          <w:color w:val="auto"/>
        </w:rPr>
        <w:t>Weighted-average ordinary shares used to compute net loss per share attributable to ordinary shareholders, basic and diluted</w:t>
      </w:r>
    </w:p>
    <w:p>
      <w:pPr>
        <w:ind w:left="360" w:right="1180" w:hanging="250"/>
        <w:spacing w:after="0" w:line="243" w:lineRule="auto"/>
        <w:rPr>
          <w:sz w:val="20"/>
          <w:szCs w:val="20"/>
          <w:color w:val="auto"/>
        </w:rPr>
      </w:pPr>
      <w:r>
        <w:rPr>
          <w:rFonts w:ascii="Arial" w:cs="Arial" w:eastAsia="Arial" w:hAnsi="Arial"/>
          <w:sz w:val="17"/>
          <w:szCs w:val="17"/>
          <w:color w:val="auto"/>
        </w:rPr>
        <w:t>Pro forma adjustment to reflect assumed conversion of convertible preferred shares and accrued dividends allocable to preferred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6995160" cy="2400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ind w:left="120" w:right="1000"/>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200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MARCH 31, 2020</w:t>
      </w:r>
    </w:p>
    <w:p>
      <w:pPr>
        <w:spacing w:after="0" w:line="4" w:lineRule="exact"/>
        <w:rPr>
          <w:sz w:val="20"/>
          <w:szCs w:val="20"/>
          <w:color w:val="auto"/>
        </w:rPr>
      </w:pPr>
    </w:p>
    <w:p>
      <w:pPr>
        <w:ind w:left="1220" w:hanging="1217"/>
        <w:spacing w:after="0"/>
        <w:tabs>
          <w:tab w:leader="none" w:pos="12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(5,454)</w:t>
      </w:r>
    </w:p>
    <w:p>
      <w:pPr>
        <w:spacing w:after="0" w:line="18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 w:lineRule="exact"/>
        <w:rPr>
          <w:sz w:val="20"/>
          <w:szCs w:val="20"/>
          <w:color w:val="auto"/>
        </w:rPr>
      </w:pPr>
    </w:p>
    <w:p>
      <w:pPr>
        <w:ind w:left="1220" w:hanging="1217"/>
        <w:spacing w:after="0"/>
        <w:tabs>
          <w:tab w:leader="none" w:pos="122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(5,368)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0801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1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20,684,025</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123,758,558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144,442,583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0801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8" w:lineRule="exact"/>
        <w:rPr>
          <w:sz w:val="20"/>
          <w:szCs w:val="20"/>
          <w:color w:val="auto"/>
        </w:rPr>
      </w:pPr>
    </w:p>
    <w:p>
      <w:pPr>
        <w:ind w:left="1320" w:hanging="1317"/>
        <w:spacing w:after="0"/>
        <w:tabs>
          <w:tab w:leader="none" w:pos="13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0801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10801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600" w:space="720"/>
            <w:col w:w="1760"/>
          </w:cols>
          <w:pgMar w:left="320" w:top="459" w:right="499" w:bottom="1440" w:gutter="0" w:footer="0" w:header="0"/>
          <w:type w:val="continuous"/>
        </w:sect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SUBSEQUENT EVENTS</w:t>
      </w:r>
    </w:p>
    <w:p>
      <w:pPr>
        <w:spacing w:after="0" w:line="80" w:lineRule="exact"/>
        <w:rPr>
          <w:sz w:val="20"/>
          <w:szCs w:val="20"/>
          <w:color w:val="auto"/>
        </w:rPr>
      </w:pPr>
    </w:p>
    <w:p>
      <w:pPr>
        <w:ind w:left="120" w:right="820"/>
        <w:spacing w:after="0" w:line="243" w:lineRule="auto"/>
        <w:rPr>
          <w:sz w:val="20"/>
          <w:szCs w:val="20"/>
          <w:color w:val="auto"/>
        </w:rPr>
      </w:pPr>
      <w:r>
        <w:rPr>
          <w:rFonts w:ascii="Arial" w:cs="Arial" w:eastAsia="Arial" w:hAnsi="Arial"/>
          <w:sz w:val="17"/>
          <w:szCs w:val="17"/>
          <w:color w:val="auto"/>
        </w:rPr>
        <w:t>The Company has evaluated subsequent events from the balance sheet date through June 12, 2020, the date at which the condensed consolidated financial statements were available to be issued.</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as they did in the Company immediately prior to the reorganization.</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080"/>
          </w:cols>
          <w:pgMar w:left="320" w:top="459" w:right="499" w:bottom="1440" w:gutter="0" w:footer="0" w:header="0"/>
          <w:type w:val="continuous"/>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6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259715</wp:posOffset>
            </wp:positionV>
            <wp:extent cx="2065655" cy="10801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06565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2099"/>
        <w:spacing w:after="0"/>
        <w:rPr>
          <w:sz w:val="20"/>
          <w:szCs w:val="20"/>
          <w:color w:val="auto"/>
        </w:rPr>
      </w:pPr>
      <w:r>
        <w:rPr>
          <w:rFonts w:ascii="Arial" w:cs="Arial" w:eastAsia="Arial" w:hAnsi="Arial"/>
          <w:sz w:val="36"/>
          <w:szCs w:val="36"/>
          <w:b w:val="1"/>
          <w:bCs w:val="1"/>
          <w:color w:val="auto"/>
        </w:rPr>
        <w:t>ALX Oncology Holdings Inc.</w:t>
      </w:r>
    </w:p>
    <w:p>
      <w:pPr>
        <w:spacing w:after="0" w:line="200" w:lineRule="exact"/>
        <w:rPr>
          <w:sz w:val="20"/>
          <w:szCs w:val="20"/>
          <w:color w:val="auto"/>
        </w:rPr>
      </w:pPr>
    </w:p>
    <w:p>
      <w:pPr>
        <w:spacing w:after="0" w:line="2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576580</wp:posOffset>
            </wp:positionV>
            <wp:extent cx="28632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174625</wp:posOffset>
            </wp:positionV>
            <wp:extent cx="286321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Suisse</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Piper Sandler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Cantor</w:t>
      </w:r>
    </w:p>
    <w:p>
      <w:pPr>
        <w:spacing w:after="0" w:line="22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554990</wp:posOffset>
            </wp:positionV>
            <wp:extent cx="6995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623570</wp:posOffset>
            </wp:positionV>
            <wp:extent cx="6995160"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3"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filing fee of the Financial Industry Regulatory Authority, Inc., or FINRA, and the Nasdaq Stock Market LLC, or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AMOUNT PAID OR</w:t>
            </w:r>
          </w:p>
        </w:tc>
      </w:tr>
      <w:tr>
        <w:trPr>
          <w:trHeight w:val="175"/>
        </w:trPr>
        <w:tc>
          <w:tcPr>
            <w:tcW w:w="9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TO BE PAID</w:t>
            </w:r>
          </w:p>
        </w:tc>
      </w:tr>
      <w:tr>
        <w:trPr>
          <w:trHeight w:val="183"/>
        </w:trPr>
        <w:tc>
          <w:tcPr>
            <w:tcW w:w="9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SEC Registration Fee</w:t>
            </w:r>
          </w:p>
        </w:tc>
        <w:tc>
          <w:tcPr>
            <w:tcW w:w="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Nasdaq listing fee</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Transfer agent and registrar fees</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9680" w:type="dxa"/>
            <w:vAlign w:val="bottom"/>
          </w:tcPr>
          <w:p>
            <w:pPr>
              <w:spacing w:after="0" w:line="189" w:lineRule="exact"/>
              <w:rPr>
                <w:sz w:val="20"/>
                <w:szCs w:val="20"/>
                <w:color w:val="auto"/>
              </w:rPr>
            </w:pPr>
            <w:r>
              <w:rPr>
                <w:rFonts w:ascii="Arial" w:cs="Arial" w:eastAsia="Arial" w:hAnsi="Arial"/>
                <w:sz w:val="17"/>
                <w:szCs w:val="17"/>
                <w:color w:val="auto"/>
              </w:rPr>
              <w:t>Miscellaneous expenses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20"/>
        </w:trPr>
        <w:tc>
          <w:tcPr>
            <w:tcW w:w="9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To be completed by amendment.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52"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0"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50" w:lineRule="exact"/>
        <w:rPr>
          <w:sz w:val="20"/>
          <w:szCs w:val="20"/>
          <w:color w:val="auto"/>
        </w:rPr>
      </w:pPr>
    </w:p>
    <w:p>
      <w:pPr>
        <w:ind w:left="120" w:right="420"/>
        <w:spacing w:after="0" w:line="238" w:lineRule="auto"/>
        <w:rPr>
          <w:sz w:val="20"/>
          <w:szCs w:val="20"/>
          <w:color w:val="auto"/>
        </w:rPr>
      </w:pPr>
      <w:r>
        <w:rPr>
          <w:rFonts w:ascii="Arial" w:cs="Arial" w:eastAsia="Arial" w:hAnsi="Arial"/>
          <w:sz w:val="17"/>
          <w:szCs w:val="17"/>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47"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3"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following list sets forth information regarding all unregistered securities sold by ALX Oncology Limited from January 1, 2017 to March 31, 2020, the period prior to our incorporation and the effectiveness of the reorganization, and all unregistered securities sold by us since our incorporation on April 1, 2020. For all other times, it includes transactions between us and related parties.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90" w:lineRule="exact"/>
        <w:rPr>
          <w:sz w:val="20"/>
          <w:szCs w:val="20"/>
          <w:color w:val="auto"/>
        </w:rPr>
      </w:pPr>
    </w:p>
    <w:p>
      <w:pPr>
        <w:ind w:left="540" w:right="740" w:hanging="424"/>
        <w:spacing w:after="0" w:line="243" w:lineRule="auto"/>
        <w:tabs>
          <w:tab w:leader="none" w:pos="5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From March 2017 to August 2017, ALX Oncology Limited received total proceeds of $25,000,000 from the issuance of convertible promissory notes to investors.</w:t>
      </w:r>
    </w:p>
    <w:p>
      <w:pPr>
        <w:spacing w:after="0" w:line="184" w:lineRule="exact"/>
        <w:rPr>
          <w:rFonts w:ascii="Arial" w:cs="Arial" w:eastAsia="Arial" w:hAnsi="Arial"/>
          <w:sz w:val="17"/>
          <w:szCs w:val="17"/>
          <w:color w:val="auto"/>
        </w:rPr>
      </w:pPr>
    </w:p>
    <w:p>
      <w:pPr>
        <w:ind w:left="540" w:right="260" w:hanging="424"/>
        <w:spacing w:after="0" w:line="243" w:lineRule="auto"/>
        <w:tabs>
          <w:tab w:leader="none" w:pos="5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September 2017, all of the convertible promissory notes were converted to an aggregate of 25,180,500 shares of Series A convertible preferred stock of ALX Oncology Limited at a conversion price of $1.00 per share.</w:t>
      </w:r>
    </w:p>
    <w:p>
      <w:pPr>
        <w:spacing w:after="0" w:line="184" w:lineRule="exact"/>
        <w:rPr>
          <w:rFonts w:ascii="Arial" w:cs="Arial" w:eastAsia="Arial" w:hAnsi="Arial"/>
          <w:sz w:val="17"/>
          <w:szCs w:val="17"/>
          <w:color w:val="auto"/>
        </w:rPr>
      </w:pPr>
    </w:p>
    <w:p>
      <w:pPr>
        <w:ind w:left="540" w:right="320" w:hanging="424"/>
        <w:spacing w:after="0" w:line="243" w:lineRule="auto"/>
        <w:tabs>
          <w:tab w:leader="none" w:pos="5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May 2019, ALX Oncology Limited issued and sold to investors an aggregate of 6,690,729 shares of its Series B convertible preferred stock at $1.4432 per share, for an aggregate consideration of approximately $9.6 million.</w:t>
      </w:r>
    </w:p>
    <w:p>
      <w:pPr>
        <w:spacing w:after="0" w:line="184" w:lineRule="exact"/>
        <w:rPr>
          <w:rFonts w:ascii="Arial" w:cs="Arial" w:eastAsia="Arial" w:hAnsi="Arial"/>
          <w:sz w:val="17"/>
          <w:szCs w:val="17"/>
          <w:color w:val="auto"/>
        </w:rPr>
      </w:pPr>
    </w:p>
    <w:p>
      <w:pPr>
        <w:ind w:left="540" w:right="220" w:hanging="424"/>
        <w:spacing w:after="0" w:line="243" w:lineRule="auto"/>
        <w:tabs>
          <w:tab w:leader="none" w:pos="5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December 2019, ALX Oncology Limited issued to certain lenders warrants to purchase an aggregate of 403,348 shares of its Series B convertible preferred stock at $1.4432 per share pursuant to a loan and security agreement.</w:t>
      </w:r>
    </w:p>
    <w:p>
      <w:pPr>
        <w:spacing w:after="0" w:line="184" w:lineRule="exact"/>
        <w:rPr>
          <w:rFonts w:ascii="Arial" w:cs="Arial" w:eastAsia="Arial" w:hAnsi="Arial"/>
          <w:sz w:val="17"/>
          <w:szCs w:val="17"/>
          <w:color w:val="auto"/>
        </w:rPr>
      </w:pPr>
    </w:p>
    <w:p>
      <w:pPr>
        <w:ind w:left="540" w:right="600" w:hanging="424"/>
        <w:spacing w:after="0" w:line="243" w:lineRule="auto"/>
        <w:tabs>
          <w:tab w:leader="none" w:pos="5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 February 2020, ALX Oncology Limited issued and sold to investors an aggregate of 72,754,989 shares of its Series C convertible preferred stock at $1.4432 per share for an aggregate consideration of approximately $105.0 million.</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40" w:right="140" w:hanging="424"/>
        <w:spacing w:after="0" w:line="243" w:lineRule="auto"/>
        <w:tabs>
          <w:tab w:leader="none" w:pos="5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granted to certain service providers stock options to purchase an aggregate of 21,465,623 shares of its common stock upon the exercise of options at exercise prices per share ranging from $0.15 to $0.62.</w:t>
      </w:r>
    </w:p>
    <w:p>
      <w:pPr>
        <w:spacing w:after="0" w:line="184" w:lineRule="exact"/>
        <w:rPr>
          <w:rFonts w:ascii="Arial" w:cs="Arial" w:eastAsia="Arial" w:hAnsi="Arial"/>
          <w:sz w:val="17"/>
          <w:szCs w:val="17"/>
          <w:color w:val="auto"/>
        </w:rPr>
      </w:pPr>
    </w:p>
    <w:p>
      <w:pPr>
        <w:ind w:left="540" w:right="100" w:hanging="424"/>
        <w:spacing w:after="0" w:line="238" w:lineRule="auto"/>
        <w:tabs>
          <w:tab w:leader="none" w:pos="5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issued and sold to certain service providers 99,731 shares of common stock upon the exercise of options at exercise prices per share ranging from $0.15 to $0.29, for an aggregate exercise price of approximately $19,491.69.</w:t>
      </w:r>
    </w:p>
    <w:p>
      <w:pPr>
        <w:spacing w:after="0" w:line="187" w:lineRule="exact"/>
        <w:rPr>
          <w:rFonts w:ascii="Arial" w:cs="Arial" w:eastAsia="Arial" w:hAnsi="Arial"/>
          <w:sz w:val="17"/>
          <w:szCs w:val="17"/>
          <w:color w:val="auto"/>
        </w:rPr>
      </w:pPr>
    </w:p>
    <w:p>
      <w:pPr>
        <w:ind w:left="540" w:right="20" w:hanging="424"/>
        <w:spacing w:after="0" w:line="233" w:lineRule="auto"/>
        <w:tabs>
          <w:tab w:leader="none" w:pos="5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On April 1, 2020, we incorporated ALX Oncology Holdings Inc. in Delaware, and we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 In connection with this reorganization, on April 1, 2020: (a) we issued and sold to the existing shareholders of ALX Oncology Limited an aggregate of 20,840,532 shares of our common stock at purchase prices per share ranging from $0.001 to $0.29, an aggregate of 61,180,500 shares of our Series A convertible preferred stock at a purchase price per share of $1.000, an aggregate of 6,690,729 shares of our Series B convertible preferred stock at a purchase price per share of $1.4432 and an aggregate of 72,754,989 shares of our Series C convertible preferred stock at a purchase price per share of $1.4432, in exchange for promissory notes with an aggregate principal amount of approximately $176.3 million; (b) we acquired 525,000,000 shares of common stock of ALX Oncology Limited in exchange for the promissory notes that were acquired in connection with the issuance and sale of our capital stock described in clause (a); and (c) we granted stock options to the holders of outstanding options to purchase common stock of ALX Oncology Limited to purchase an aggregate of 21,063,923 shares of our common stock upon the exercise of options at exercise prices per share ranging from $0.13 to $0.62.</w:t>
      </w:r>
    </w:p>
    <w:p>
      <w:pPr>
        <w:spacing w:after="0" w:line="192" w:lineRule="exact"/>
        <w:rPr>
          <w:rFonts w:ascii="Arial" w:cs="Arial" w:eastAsia="Arial" w:hAnsi="Arial"/>
          <w:sz w:val="17"/>
          <w:szCs w:val="17"/>
          <w:color w:val="auto"/>
        </w:rPr>
      </w:pPr>
    </w:p>
    <w:p>
      <w:pPr>
        <w:jc w:val="both"/>
        <w:ind w:left="540" w:right="80" w:hanging="424"/>
        <w:spacing w:after="0" w:line="236" w:lineRule="auto"/>
        <w:tabs>
          <w:tab w:leader="none" w:pos="5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 connection with the reorganization and to replace the warrants that were originally issued by ALX Oncology Limited, on April 1, 2020, we issued to certain lenders warrants to purchase an aggregate of 403,348 shares of our Series B convertible preferred stock with an exercise price of $1.4432 per share pursuant to the amended loan and security agreement that was originally entered into by ALX Oncology Limited in December 2019.</w:t>
      </w:r>
    </w:p>
    <w:p>
      <w:pPr>
        <w:spacing w:after="0" w:line="189" w:lineRule="exact"/>
        <w:rPr>
          <w:rFonts w:ascii="Arial" w:cs="Arial" w:eastAsia="Arial" w:hAnsi="Arial"/>
          <w:sz w:val="17"/>
          <w:szCs w:val="17"/>
          <w:color w:val="auto"/>
        </w:rPr>
      </w:pPr>
    </w:p>
    <w:p>
      <w:pPr>
        <w:ind w:left="540" w:right="320" w:hanging="424"/>
        <w:spacing w:after="0" w:line="243" w:lineRule="auto"/>
        <w:tabs>
          <w:tab w:leader="none" w:pos="5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Since April 2, 2020, we have granted options to purchase an aggregate of 4,150,000 shares of our common stock at exercise prices per share ranging from $0.73 to $0.85, to a total of 16 service providers under our 2020 Equity Incentive Plan.</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offers, sales and issuances of the securities described in Items 15(1), (2), (3), (4), (5) and (9) were exempt from registration under the Securities Act under Section 4(a)(2) of the Securities Act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50"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The offers, sales and issuances of the securities described in Items 15(6), (7) and (10) were exempt from registration under the Securities Act under Rule 701 in that the transactions were under compensatory benefit plans and contracts relating to compensation as provided under Rule 701. The recipients of such securities were the registrant’s employees, consultants or directors and received the securities under ALX Oncology Limited’s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offers, sales and issuances of the securities described in Items 15(8) were exempt from registration under the Securities Act under either</w:t>
      </w:r>
    </w:p>
    <w:p>
      <w:pPr>
        <w:ind w:left="120" w:right="20" w:hanging="4"/>
        <w:spacing w:after="0" w:line="238" w:lineRule="auto"/>
        <w:tabs>
          <w:tab w:leader="none" w:pos="37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Rule 701 in that the transactions were under compensatory benefit plans and 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2020 Equity Incentive Plan.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 Exhibits.</w:t>
      </w:r>
    </w:p>
    <w:p>
      <w:pPr>
        <w:spacing w:after="0" w:line="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See the Exhibit Index immediately preceding the signature page hereto for a list of exhibits filed as part of this registration statement on Form S-1, which Exhibit Index is incorporated herein by reference.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41"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the consolidated financial statements or notes thereto.</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93"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4"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undersigned hereby undertakes that:</w:t>
      </w:r>
    </w:p>
    <w:p>
      <w:pPr>
        <w:spacing w:after="0" w:line="196" w:lineRule="exact"/>
        <w:rPr>
          <w:sz w:val="20"/>
          <w:szCs w:val="20"/>
          <w:color w:val="auto"/>
        </w:rPr>
      </w:pPr>
    </w:p>
    <w:p>
      <w:pPr>
        <w:ind w:left="540" w:right="40" w:hanging="424"/>
        <w:spacing w:after="0" w:line="232" w:lineRule="auto"/>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right="620"/>
        <w:spacing w:after="0" w:line="243" w:lineRule="auto"/>
        <w:rPr>
          <w:rFonts w:ascii="Arial" w:cs="Arial" w:eastAsia="Arial" w:hAnsi="Arial"/>
          <w:sz w:val="17"/>
          <w:szCs w:val="17"/>
          <w:color w:val="auto"/>
        </w:rPr>
      </w:pPr>
      <w:r>
        <w:rPr>
          <w:rFonts w:ascii="Arial" w:cs="Arial" w:eastAsia="Arial" w:hAnsi="Arial"/>
          <w:sz w:val="17"/>
          <w:szCs w:val="17"/>
          <w:color w:val="auto"/>
        </w:rPr>
        <w:t>(4) or 497(h) under the Securities Act of 1933 shall be deemed to be part of this registration statement as of the time it was declared effective.</w:t>
      </w:r>
    </w:p>
    <w:p>
      <w:pPr>
        <w:spacing w:after="0" w:line="184" w:lineRule="exact"/>
        <w:rPr>
          <w:rFonts w:ascii="Arial" w:cs="Arial" w:eastAsia="Arial" w:hAnsi="Arial"/>
          <w:sz w:val="17"/>
          <w:szCs w:val="17"/>
          <w:color w:val="auto"/>
        </w:rPr>
      </w:pPr>
    </w:p>
    <w:p>
      <w:pPr>
        <w:ind w:left="540" w:hanging="424"/>
        <w:spacing w:after="0" w:line="238" w:lineRule="auto"/>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720" w:type="dxa"/>
            <w:vAlign w:val="bottom"/>
          </w:tcPr>
          <w:p>
            <w:pPr>
              <w:ind w:left="3620"/>
              <w:spacing w:after="0"/>
              <w:rPr>
                <w:sz w:val="20"/>
                <w:szCs w:val="20"/>
                <w:color w:val="auto"/>
              </w:rPr>
            </w:pPr>
            <w:r>
              <w:rPr>
                <w:rFonts w:ascii="Arial" w:cs="Arial" w:eastAsia="Arial" w:hAnsi="Arial"/>
                <w:sz w:val="18"/>
                <w:szCs w:val="18"/>
                <w:b w:val="1"/>
                <w:bCs w:val="1"/>
                <w:color w:val="auto"/>
              </w:rPr>
              <w:t>EXHIBIT INDEX</w:t>
            </w:r>
          </w:p>
        </w:tc>
        <w:tc>
          <w:tcPr>
            <w:tcW w:w="13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3"/>
        </w:trPr>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7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385"/>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5"/>
                <w:szCs w:val="15"/>
                <w:color w:val="auto"/>
              </w:rPr>
            </w:pPr>
          </w:p>
        </w:tc>
        <w:tc>
          <w:tcPr>
            <w:tcW w:w="6720" w:type="dxa"/>
            <w:vAlign w:val="bottom"/>
            <w:tcBorders>
              <w:bottom w:val="single" w:sz="8" w:color="auto"/>
            </w:tcBorders>
          </w:tcPr>
          <w:p>
            <w:pPr>
              <w:ind w:left="4400"/>
              <w:spacing w:after="0"/>
              <w:rPr>
                <w:sz w:val="20"/>
                <w:szCs w:val="20"/>
                <w:color w:val="auto"/>
              </w:rPr>
            </w:pPr>
            <w:r>
              <w:rPr>
                <w:rFonts w:ascii="Arial" w:cs="Arial" w:eastAsia="Arial" w:hAnsi="Arial"/>
                <w:sz w:val="14"/>
                <w:szCs w:val="14"/>
                <w:b w:val="1"/>
                <w:bCs w:val="1"/>
                <w:color w:val="auto"/>
              </w:rPr>
              <w:t>DESCRIPTION</w:t>
            </w:r>
          </w:p>
        </w:tc>
        <w:tc>
          <w:tcPr>
            <w:tcW w:w="1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Form of Underwriting Agreement.</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17"/>
                <w:szCs w:val="17"/>
                <w:color w:val="auto"/>
              </w:rPr>
              <w:t>Amended and Restated Certificate of Incorporation of the Registrant, as currently in effect.</w:t>
            </w:r>
          </w:p>
        </w:tc>
        <w:tc>
          <w:tcPr>
            <w:tcW w:w="17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7"/>
                <w:szCs w:val="17"/>
                <w:color w:val="auto"/>
              </w:rPr>
              <w:t>Form of Amended and Restated Certificate of Incorporation of the Registrant, to be in effect upon the completion of this offering.</w:t>
            </w: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Bylaws of the Registrant, as currently in effect.</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7"/>
                <w:szCs w:val="17"/>
                <w:color w:val="auto"/>
              </w:rPr>
              <w:t>Form of Amended and Restated Bylaws of the Registrant, to be in effect upon the completion of this offering.</w:t>
            </w: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7"/>
                <w:szCs w:val="17"/>
                <w:color w:val="auto"/>
              </w:rPr>
              <w:t>Amended and Restated Investors’ Rights Agreement among the Registrant and certain of its stockholders, dated April 1, 2020.</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Specimen common stock certificate of the Registrant.</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Form of Amended and Restated Warrant to Purchase Stock.</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Opinion of Wilson Sonsini Goodrich &amp; Rosati, Professional Corporation.</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17"/>
                <w:szCs w:val="17"/>
                <w:color w:val="auto"/>
              </w:rPr>
              <w:t>Form of Indemnification Agreement between the Registrant and each of its directors and executive officers.</w:t>
            </w:r>
          </w:p>
        </w:tc>
        <w:tc>
          <w:tcPr>
            <w:tcW w:w="1700" w:type="dxa"/>
            <w:vAlign w:val="bottom"/>
          </w:tcPr>
          <w:p>
            <w:pPr>
              <w:spacing w:after="0"/>
              <w:rPr>
                <w:sz w:val="24"/>
                <w:szCs w:val="24"/>
                <w:color w:val="auto"/>
              </w:rPr>
            </w:pP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7"/>
                <w:szCs w:val="17"/>
                <w:color w:val="auto"/>
              </w:rPr>
              <w:t>Amended and Restated 2020 Equity Incentive Plan and forms of agreements thereunder, to be in effect upon the completion of</w:t>
            </w:r>
          </w:p>
        </w:tc>
      </w:tr>
      <w:tr>
        <w:trPr>
          <w:trHeight w:val="205"/>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this offering.</w:t>
            </w:r>
          </w:p>
        </w:tc>
        <w:tc>
          <w:tcPr>
            <w:tcW w:w="13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5"/>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Confirmatory Offer Letter between the Registrant and Jaume Pons, Ph.D. effective as of</w:t>
            </w:r>
          </w:p>
        </w:tc>
        <w:tc>
          <w:tcPr>
            <w:tcW w:w="1380" w:type="dxa"/>
            <w:vAlign w:val="bottom"/>
          </w:tcPr>
          <w:p>
            <w:pPr>
              <w:jc w:val="right"/>
              <w:ind w:right="235"/>
              <w:spacing w:after="0"/>
              <w:rPr>
                <w:sz w:val="20"/>
                <w:szCs w:val="20"/>
                <w:color w:val="auto"/>
              </w:rPr>
            </w:pPr>
            <w:r>
              <w:rPr>
                <w:rFonts w:ascii="Arial" w:cs="Arial" w:eastAsia="Arial" w:hAnsi="Arial"/>
                <w:sz w:val="17"/>
                <w:szCs w:val="17"/>
                <w:color w:val="auto"/>
              </w:rPr>
              <w:t>, 2020.</w:t>
            </w: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Confirmatory Offer Letter between the Registrant and Nathan Caffo, effective as of</w:t>
            </w:r>
          </w:p>
        </w:tc>
        <w:tc>
          <w:tcPr>
            <w:tcW w:w="1380" w:type="dxa"/>
            <w:vAlign w:val="bottom"/>
          </w:tcPr>
          <w:p>
            <w:pPr>
              <w:jc w:val="right"/>
              <w:ind w:right="655"/>
              <w:spacing w:after="0"/>
              <w:rPr>
                <w:sz w:val="20"/>
                <w:szCs w:val="20"/>
                <w:color w:val="auto"/>
              </w:rPr>
            </w:pPr>
            <w:r>
              <w:rPr>
                <w:rFonts w:ascii="Arial" w:cs="Arial" w:eastAsia="Arial" w:hAnsi="Arial"/>
                <w:sz w:val="17"/>
                <w:szCs w:val="17"/>
                <w:color w:val="auto"/>
              </w:rPr>
              <w:t>, 2020.</w:t>
            </w:r>
          </w:p>
        </w:tc>
        <w:tc>
          <w:tcPr>
            <w:tcW w:w="17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Confirmatory Offer Letter between the Registrant and Peter García, effective as of</w:t>
            </w:r>
          </w:p>
        </w:tc>
        <w:tc>
          <w:tcPr>
            <w:tcW w:w="1380" w:type="dxa"/>
            <w:vAlign w:val="bottom"/>
          </w:tcPr>
          <w:p>
            <w:pPr>
              <w:jc w:val="right"/>
              <w:ind w:right="695"/>
              <w:spacing w:after="0"/>
              <w:rPr>
                <w:sz w:val="20"/>
                <w:szCs w:val="20"/>
                <w:color w:val="auto"/>
              </w:rPr>
            </w:pPr>
            <w:r>
              <w:rPr>
                <w:rFonts w:ascii="Arial" w:cs="Arial" w:eastAsia="Arial" w:hAnsi="Arial"/>
                <w:sz w:val="17"/>
                <w:szCs w:val="17"/>
                <w:color w:val="auto"/>
              </w:rPr>
              <w:t>, 2020.</w:t>
            </w: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Confirmatory Offer Letter between the Registrant and Steffen Pietzke, effective as of</w:t>
            </w:r>
          </w:p>
        </w:tc>
        <w:tc>
          <w:tcPr>
            <w:tcW w:w="1380" w:type="dxa"/>
            <w:vAlign w:val="bottom"/>
          </w:tcPr>
          <w:p>
            <w:pPr>
              <w:jc w:val="right"/>
              <w:ind w:right="515"/>
              <w:spacing w:after="0"/>
              <w:rPr>
                <w:sz w:val="20"/>
                <w:szCs w:val="20"/>
                <w:color w:val="auto"/>
              </w:rPr>
            </w:pPr>
            <w:r>
              <w:rPr>
                <w:rFonts w:ascii="Arial" w:cs="Arial" w:eastAsia="Arial" w:hAnsi="Arial"/>
                <w:sz w:val="17"/>
                <w:szCs w:val="17"/>
                <w:color w:val="auto"/>
              </w:rPr>
              <w:t>, 2020.</w:t>
            </w: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17"/>
                <w:szCs w:val="17"/>
                <w:color w:val="auto"/>
              </w:rPr>
              <w:t>Confirmatory Offer Letter between the Registrant and Sophia Randolph, M.D., Ph.D., effective as of</w:t>
            </w:r>
          </w:p>
        </w:tc>
        <w:tc>
          <w:tcPr>
            <w:tcW w:w="1700" w:type="dxa"/>
            <w:vAlign w:val="bottom"/>
          </w:tcPr>
          <w:p>
            <w:pPr>
              <w:jc w:val="right"/>
              <w:ind w:right="1075"/>
              <w:spacing w:after="0"/>
              <w:rPr>
                <w:sz w:val="20"/>
                <w:szCs w:val="20"/>
                <w:color w:val="auto"/>
              </w:rPr>
            </w:pPr>
            <w:r>
              <w:rPr>
                <w:rFonts w:ascii="Arial" w:cs="Arial" w:eastAsia="Arial" w:hAnsi="Arial"/>
                <w:sz w:val="17"/>
                <w:szCs w:val="17"/>
                <w:color w:val="auto"/>
                <w:w w:val="99"/>
              </w:rPr>
              <w:t>, 2020.</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Confirmatory Offer Letter between the Registrant and Hong Wan, Ph.D., effective as of</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 2020.</w:t>
            </w: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Executive Incentive Compensation Plan.</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w w:val="99"/>
              </w:rPr>
              <w:t>10.10+*</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Outside Director Compensation Policy.</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w w:val="99"/>
              </w:rPr>
              <w:t>10.11+*</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Change in Control and Severance Policy.</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7"/>
                <w:szCs w:val="17"/>
                <w:color w:val="auto"/>
              </w:rPr>
              <w:t>Exclusive (Equity) Agreement between the Registrant and The Board of Trustees of the Leland Stanford Junior University,</w:t>
            </w:r>
          </w:p>
        </w:tc>
      </w:tr>
      <w:tr>
        <w:trPr>
          <w:trHeight w:val="205"/>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effective as of March 24, 2015, as amended on April 24, 2015 and May 15, 2015.</w:t>
            </w:r>
          </w:p>
        </w:tc>
        <w:tc>
          <w:tcPr>
            <w:tcW w:w="13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1"/>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7"/>
                <w:szCs w:val="17"/>
                <w:color w:val="auto"/>
              </w:rPr>
              <w:t>Loan and Security Agreement, dated as of December 20, 2019, among the Registrant, certain of its affiliates, Silicon Valley Bank</w:t>
            </w:r>
          </w:p>
        </w:tc>
      </w:tr>
      <w:tr>
        <w:trPr>
          <w:trHeight w:val="189"/>
        </w:trPr>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0" w:type="dxa"/>
            <w:vAlign w:val="bottom"/>
            <w:gridSpan w:val="3"/>
          </w:tcPr>
          <w:p>
            <w:pPr>
              <w:spacing w:after="0" w:line="189" w:lineRule="exact"/>
              <w:rPr>
                <w:sz w:val="20"/>
                <w:szCs w:val="20"/>
                <w:color w:val="auto"/>
              </w:rPr>
            </w:pPr>
            <w:r>
              <w:rPr>
                <w:rFonts w:ascii="Arial" w:cs="Arial" w:eastAsia="Arial" w:hAnsi="Arial"/>
                <w:sz w:val="17"/>
                <w:szCs w:val="17"/>
                <w:color w:val="auto"/>
              </w:rPr>
              <w:t>and WestRiver Innovation Lending Fund VIII, L.P., as amended by the Joinder and First Amendment to Loan and Security</w:t>
            </w:r>
          </w:p>
        </w:tc>
      </w:tr>
      <w:tr>
        <w:trPr>
          <w:trHeight w:val="205"/>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Agreement on May 21, 2020.</w:t>
            </w:r>
          </w:p>
        </w:tc>
        <w:tc>
          <w:tcPr>
            <w:tcW w:w="13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1"/>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9800" w:type="dxa"/>
            <w:vAlign w:val="bottom"/>
            <w:gridSpan w:val="3"/>
          </w:tcPr>
          <w:p>
            <w:pPr>
              <w:spacing w:after="0"/>
              <w:rPr>
                <w:sz w:val="20"/>
                <w:szCs w:val="20"/>
                <w:color w:val="auto"/>
              </w:rPr>
            </w:pPr>
            <w:r>
              <w:rPr>
                <w:rFonts w:ascii="Arial" w:cs="Arial" w:eastAsia="Arial" w:hAnsi="Arial"/>
                <w:sz w:val="17"/>
                <w:szCs w:val="17"/>
                <w:color w:val="auto"/>
              </w:rPr>
              <w:t>Conformed Copy of Amended and Restated Research and Development Services Agreement, dated as of June 18, 2018,</w:t>
            </w:r>
          </w:p>
        </w:tc>
      </w:tr>
      <w:tr>
        <w:trPr>
          <w:trHeight w:val="205"/>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Arial" w:cs="Arial" w:eastAsia="Arial" w:hAnsi="Arial"/>
                <w:sz w:val="17"/>
                <w:szCs w:val="17"/>
                <w:color w:val="auto"/>
              </w:rPr>
              <w:t>between ALX Oncology Inc. and Tollnine, Inc., incorporating Amendment No. 1, dated as of May 3, 2019.</w:t>
            </w:r>
          </w:p>
        </w:tc>
        <w:tc>
          <w:tcPr>
            <w:tcW w:w="1700" w:type="dxa"/>
            <w:vAlign w:val="bottom"/>
          </w:tcPr>
          <w:p>
            <w:pPr>
              <w:spacing w:after="0"/>
              <w:rPr>
                <w:sz w:val="17"/>
                <w:szCs w:val="17"/>
                <w:color w:val="auto"/>
              </w:rPr>
            </w:pPr>
          </w:p>
        </w:tc>
      </w:tr>
      <w:tr>
        <w:trPr>
          <w:trHeight w:val="315"/>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List of subsidiaries of the Registrant.</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Consent of Independent Registered Public Accounting Firm.</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8100" w:type="dxa"/>
            <w:vAlign w:val="bottom"/>
            <w:gridSpan w:val="2"/>
          </w:tcPr>
          <w:p>
            <w:pPr>
              <w:spacing w:after="0"/>
              <w:rPr>
                <w:sz w:val="20"/>
                <w:szCs w:val="20"/>
                <w:color w:val="auto"/>
              </w:rPr>
            </w:pPr>
            <w:r>
              <w:rPr>
                <w:rFonts w:ascii="Arial" w:cs="Arial" w:eastAsia="Arial" w:hAnsi="Arial"/>
                <w:sz w:val="17"/>
                <w:szCs w:val="17"/>
                <w:color w:val="auto"/>
              </w:rPr>
              <w:t>Consent of Wilson Sonsini Goodrich &amp; Rosati, Professional Corporation (included in Exhibit 5.1).</w:t>
            </w:r>
          </w:p>
        </w:tc>
        <w:tc>
          <w:tcPr>
            <w:tcW w:w="17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Power of Attorney (see page II-6 to this Form S-1).</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380" w:right="8900" w:firstLine="4"/>
        <w:spacing w:after="0" w:line="241" w:lineRule="auto"/>
        <w:tabs>
          <w:tab w:leader="none" w:pos="556"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To be filed by amendment. ^ Previously submitted.</w:t>
      </w:r>
    </w:p>
    <w:p>
      <w:pPr>
        <w:ind w:left="360"/>
        <w:spacing w:after="0"/>
        <w:rPr>
          <w:rFonts w:ascii="Arial" w:cs="Arial" w:eastAsia="Arial" w:hAnsi="Arial"/>
          <w:sz w:val="14"/>
          <w:szCs w:val="14"/>
          <w:color w:val="auto"/>
        </w:rPr>
      </w:pPr>
      <w:r>
        <w:rPr>
          <w:rFonts w:ascii="Arial" w:cs="Arial" w:eastAsia="Arial" w:hAnsi="Arial"/>
          <w:sz w:val="14"/>
          <w:szCs w:val="14"/>
          <w:color w:val="auto"/>
        </w:rPr>
        <w:t>+  Indicated management contract or compensatory plan.</w:t>
      </w:r>
    </w:p>
    <w:p>
      <w:pPr>
        <w:spacing w:after="0" w:line="1" w:lineRule="exact"/>
        <w:rPr>
          <w:rFonts w:ascii="Arial" w:cs="Arial" w:eastAsia="Arial" w:hAnsi="Arial"/>
          <w:sz w:val="14"/>
          <w:szCs w:val="14"/>
          <w:color w:val="auto"/>
        </w:rPr>
      </w:pPr>
    </w:p>
    <w:p>
      <w:pPr>
        <w:ind w:left="540" w:right="260" w:hanging="188"/>
        <w:spacing w:after="0" w:line="258" w:lineRule="auto"/>
        <w:rPr>
          <w:rFonts w:ascii="Arial" w:cs="Arial" w:eastAsia="Arial" w:hAnsi="Arial"/>
          <w:sz w:val="14"/>
          <w:szCs w:val="14"/>
          <w:color w:val="auto"/>
        </w:rPr>
      </w:pPr>
      <w:r>
        <w:rPr>
          <w:rFonts w:ascii="Arial" w:cs="Arial" w:eastAsia="Arial" w:hAnsi="Arial"/>
          <w:sz w:val="14"/>
          <w:szCs w:val="14"/>
          <w:color w:val="auto"/>
        </w:rPr>
        <w:t># Portions of this exhibit (indicated by asterisks) have been omitted pursuant to a request for confidential treatment and this exhibit has been filed separately with the SEC.</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w:t>
      </w:r>
    </w:p>
    <w:p>
      <w:pPr>
        <w:ind w:left="120"/>
        <w:spacing w:after="0"/>
        <w:tabs>
          <w:tab w:leader="none" w:pos="9040" w:val="left"/>
        </w:tabs>
        <w:rPr>
          <w:sz w:val="20"/>
          <w:szCs w:val="20"/>
          <w:color w:val="auto"/>
        </w:rPr>
      </w:pPr>
      <w:r>
        <w:rPr>
          <w:rFonts w:ascii="Arial" w:cs="Arial" w:eastAsia="Arial" w:hAnsi="Arial"/>
          <w:sz w:val="17"/>
          <w:szCs w:val="17"/>
          <w:color w:val="auto"/>
        </w:rPr>
        <w:t>on its behalf by the undersigned, thereunto duly authorized, in the City of Burlingame, State of California, on</w:t>
      </w:r>
      <w:r>
        <w:rPr>
          <w:sz w:val="20"/>
          <w:szCs w:val="20"/>
          <w:color w:val="auto"/>
        </w:rPr>
        <w:tab/>
      </w:r>
      <w:r>
        <w:rPr>
          <w:rFonts w:ascii="Arial" w:cs="Arial" w:eastAsia="Arial" w:hAnsi="Arial"/>
          <w:sz w:val="17"/>
          <w:szCs w:val="17"/>
          <w:color w:val="auto"/>
        </w:rPr>
        <w:t>.</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ALX ONCOLOGY HOLDINGS INC.</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0</wp:posOffset>
            </wp:positionV>
            <wp:extent cx="259715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7040"/>
        <w:spacing w:after="0"/>
        <w:rPr>
          <w:sz w:val="20"/>
          <w:szCs w:val="20"/>
          <w:color w:val="auto"/>
        </w:rPr>
      </w:pPr>
      <w:r>
        <w:rPr>
          <w:rFonts w:ascii="Arial" w:cs="Arial" w:eastAsia="Arial" w:hAnsi="Arial"/>
          <w:sz w:val="17"/>
          <w:szCs w:val="17"/>
          <w:color w:val="auto"/>
        </w:rPr>
        <w:t>Jaume Pons, Ph.D.</w:t>
      </w:r>
    </w:p>
    <w:p>
      <w:pPr>
        <w:ind w:left="704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33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Jaume Pons, Ph.D., and Peter Garcia as his or her true and lawful attorneys-in-fact and agents, with full power of substitution and substitution, for him or her and in his or her name, place and stead, in any and all capacities (including his or her capacity as a director and/or officer of ALX Oncology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4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8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7"/>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President, Chief Executive Officer and 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900" w:type="dxa"/>
            <w:vAlign w:val="bottom"/>
            <w:gridSpan w:val="2"/>
            <w:vMerge w:val="restart"/>
          </w:tcPr>
          <w:p>
            <w:pPr>
              <w:jc w:val="center"/>
              <w:ind w:right="200"/>
              <w:spacing w:after="0"/>
              <w:rPr>
                <w:sz w:val="20"/>
                <w:szCs w:val="20"/>
                <w:color w:val="auto"/>
              </w:rPr>
            </w:pPr>
            <w:r>
              <w:rPr>
                <w:rFonts w:ascii="Arial" w:cs="Arial" w:eastAsia="Arial" w:hAnsi="Arial"/>
                <w:sz w:val="17"/>
                <w:szCs w:val="17"/>
                <w:i w:val="1"/>
                <w:iCs w:val="1"/>
                <w:color w:val="auto"/>
              </w:rPr>
              <w:t>(Principal Executive Officer)</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Jaume Pons, Ph.D.</w:t>
            </w:r>
          </w:p>
        </w:tc>
        <w:tc>
          <w:tcPr>
            <w:tcW w:w="100" w:type="dxa"/>
            <w:vAlign w:val="bottom"/>
            <w:vMerge w:val="continue"/>
          </w:tcPr>
          <w:p>
            <w:pPr>
              <w:spacing w:after="0"/>
              <w:rPr>
                <w:sz w:val="17"/>
                <w:szCs w:val="17"/>
                <w:color w:val="auto"/>
              </w:rPr>
            </w:pPr>
          </w:p>
        </w:tc>
        <w:tc>
          <w:tcPr>
            <w:tcW w:w="490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Chief Financial Officer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900" w:type="dxa"/>
            <w:vAlign w:val="bottom"/>
            <w:gridSpan w:val="2"/>
            <w:vMerge w:val="restart"/>
          </w:tcPr>
          <w:p>
            <w:pPr>
              <w:jc w:val="center"/>
              <w:ind w:righ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Peter Garcia</w:t>
            </w:r>
          </w:p>
        </w:tc>
        <w:tc>
          <w:tcPr>
            <w:tcW w:w="100" w:type="dxa"/>
            <w:vAlign w:val="bottom"/>
            <w:vMerge w:val="continue"/>
          </w:tcPr>
          <w:p>
            <w:pPr>
              <w:spacing w:after="0"/>
              <w:rPr>
                <w:sz w:val="17"/>
                <w:szCs w:val="17"/>
                <w:color w:val="auto"/>
              </w:rPr>
            </w:pPr>
          </w:p>
        </w:tc>
        <w:tc>
          <w:tcPr>
            <w:tcW w:w="490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Vice President, Finance &amp; Chief Accounting Officer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900" w:type="dxa"/>
            <w:vAlign w:val="bottom"/>
            <w:gridSpan w:val="2"/>
            <w:vMerge w:val="restart"/>
          </w:tcPr>
          <w:p>
            <w:pPr>
              <w:jc w:val="center"/>
              <w:ind w:right="200"/>
              <w:spacing w:after="0"/>
              <w:rPr>
                <w:sz w:val="20"/>
                <w:szCs w:val="20"/>
                <w:color w:val="auto"/>
              </w:rPr>
            </w:pPr>
            <w:r>
              <w:rPr>
                <w:rFonts w:ascii="Arial" w:cs="Arial" w:eastAsia="Arial" w:hAnsi="Arial"/>
                <w:sz w:val="17"/>
                <w:szCs w:val="17"/>
                <w:i w:val="1"/>
                <w:iCs w:val="1"/>
                <w:color w:val="auto"/>
              </w:rPr>
              <w:t>(Principal Accounting Officer)</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Steffen Pietzke</w:t>
            </w:r>
          </w:p>
        </w:tc>
        <w:tc>
          <w:tcPr>
            <w:tcW w:w="100" w:type="dxa"/>
            <w:vAlign w:val="bottom"/>
            <w:vMerge w:val="continue"/>
          </w:tcPr>
          <w:p>
            <w:pPr>
              <w:spacing w:after="0"/>
              <w:rPr>
                <w:sz w:val="17"/>
                <w:szCs w:val="17"/>
                <w:color w:val="auto"/>
              </w:rPr>
            </w:pPr>
          </w:p>
        </w:tc>
        <w:tc>
          <w:tcPr>
            <w:tcW w:w="490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00"/>
              <w:spacing w:after="0"/>
              <w:rPr>
                <w:sz w:val="20"/>
                <w:szCs w:val="20"/>
                <w:color w:val="auto"/>
              </w:rPr>
            </w:pPr>
            <w:r>
              <w:rPr>
                <w:rFonts w:ascii="Arial" w:cs="Arial" w:eastAsia="Arial" w:hAnsi="Arial"/>
                <w:sz w:val="17"/>
                <w:szCs w:val="17"/>
                <w:color w:val="auto"/>
              </w:rPr>
              <w:t>Executive Chairman of the Board of Directors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Corey Goodman, Ph.D.</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Rekha Hemrajani</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Jason Lettmann</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Jack Nielsen</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Graham Walmsley, M.D., Ph.D.</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140"/>
          </w:cols>
          <w:pgMar w:left="320" w:top="459" w:right="439" w:bottom="1440" w:gutter="0" w:footer="0" w:header="0"/>
        </w:sectPr>
      </w:pPr>
    </w:p>
    <w:bookmarkStart w:id="226" w:name="page227"/>
    <w:bookmarkEnd w:id="226"/>
    <w:p>
      <w:pPr>
        <w:ind w:left="1018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388"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AMENDED AND RESTATED WARRANT TO PURCHASE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ALX Oncology Holdings Inc., a Delaware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Type/Series of Stock: </w:t>
      </w:r>
      <w:r>
        <w:rPr>
          <w:rFonts w:ascii="Arial" w:cs="Arial" w:eastAsia="Arial" w:hAnsi="Arial"/>
          <w:sz w:val="18"/>
          <w:szCs w:val="18"/>
          <w:color w:val="auto"/>
        </w:rPr>
        <w:t>Series B Preferred Stock, $0.001 par value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 See also Section 5.1(b).</w:t>
      </w:r>
    </w:p>
    <w:p>
      <w:pPr>
        <w:spacing w:after="0" w:line="131" w:lineRule="exact"/>
        <w:rPr>
          <w:sz w:val="20"/>
          <w:szCs w:val="20"/>
          <w:color w:val="auto"/>
        </w:rPr>
      </w:pPr>
    </w:p>
    <w:p>
      <w:pPr>
        <w:ind w:left="1180" w:right="80" w:hanging="1187"/>
        <w:spacing w:after="0" w:line="258" w:lineRule="auto"/>
        <w:rPr>
          <w:sz w:val="20"/>
          <w:szCs w:val="20"/>
          <w:color w:val="auto"/>
        </w:rPr>
      </w:pPr>
      <w:r>
        <w:rPr>
          <w:rFonts w:ascii="Arial" w:cs="Arial" w:eastAsia="Arial" w:hAnsi="Arial"/>
          <w:sz w:val="18"/>
          <w:szCs w:val="18"/>
          <w:b w:val="1"/>
          <w:bCs w:val="1"/>
          <w:color w:val="auto"/>
        </w:rPr>
        <w:t>Credit Facility:</w:t>
      </w:r>
      <w:r>
        <w:rPr>
          <w:rFonts w:ascii="Arial" w:cs="Arial" w:eastAsia="Arial" w:hAnsi="Arial"/>
          <w:sz w:val="18"/>
          <w:szCs w:val="18"/>
          <w:color w:val="auto"/>
        </w:rPr>
        <w:t>This Amended and Restated Warrant to Purchase Stock (as amended and in effect from time to time, this “</w:t>
      </w:r>
      <w:r>
        <w:rPr>
          <w:rFonts w:ascii="Arial" w:cs="Arial" w:eastAsia="Arial" w:hAnsi="Arial"/>
          <w:sz w:val="18"/>
          <w:szCs w:val="18"/>
          <w:b w:val="1"/>
          <w:bCs w:val="1"/>
          <w:u w:val="single" w:color="auto"/>
          <w:color w:val="auto"/>
        </w:rPr>
        <w:t>Warrant</w:t>
      </w:r>
      <w:r>
        <w:rPr>
          <w:rFonts w:ascii="Arial" w:cs="Arial" w:eastAsia="Arial" w:hAnsi="Arial"/>
          <w:sz w:val="18"/>
          <w:szCs w:val="18"/>
          <w:color w:val="auto"/>
        </w:rPr>
        <w:t>”) is issued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that certain Joinder and First Amendment, of even date herewith, to that certain Loan and Security Agreement dated December 20, 2019, among Silicon Valley Bank (“</w:t>
      </w:r>
      <w:r>
        <w:rPr>
          <w:rFonts w:ascii="Arial" w:cs="Arial" w:eastAsia="Arial" w:hAnsi="Arial"/>
          <w:sz w:val="18"/>
          <w:szCs w:val="18"/>
          <w:b w:val="1"/>
          <w:bCs w:val="1"/>
          <w:u w:val="single" w:color="auto"/>
          <w:color w:val="auto"/>
        </w:rPr>
        <w:t>Bank</w:t>
      </w:r>
      <w:r>
        <w:rPr>
          <w:rFonts w:ascii="Arial" w:cs="Arial" w:eastAsia="Arial" w:hAnsi="Arial"/>
          <w:sz w:val="18"/>
          <w:szCs w:val="18"/>
          <w:color w:val="auto"/>
        </w:rPr>
        <w:t>”), WestRiver Innovation Lending Fund VIII, L.P. (“</w:t>
      </w:r>
      <w:r>
        <w:rPr>
          <w:rFonts w:ascii="Arial" w:cs="Arial" w:eastAsia="Arial" w:hAnsi="Arial"/>
          <w:sz w:val="18"/>
          <w:szCs w:val="18"/>
          <w:b w:val="1"/>
          <w:bCs w:val="1"/>
          <w:u w:val="single" w:color="auto"/>
          <w:color w:val="auto"/>
        </w:rPr>
        <w:t>WRG</w:t>
      </w:r>
      <w:r>
        <w:rPr>
          <w:rFonts w:ascii="Arial" w:cs="Arial" w:eastAsia="Arial" w:hAnsi="Arial"/>
          <w:sz w:val="18"/>
          <w:szCs w:val="18"/>
          <w:color w:val="auto"/>
        </w:rPr>
        <w:t>”), Alexo Therapeutics International, Sirpant Therapeutics and the Company (collectively, and as may be further amended and/or modified and in effect from time to time, the “</w:t>
      </w:r>
      <w:r>
        <w:rPr>
          <w:rFonts w:ascii="Arial" w:cs="Arial" w:eastAsia="Arial" w:hAnsi="Arial"/>
          <w:sz w:val="18"/>
          <w:szCs w:val="18"/>
          <w:b w:val="1"/>
          <w:bCs w:val="1"/>
          <w:u w:val="single" w:color="auto"/>
          <w:color w:val="auto"/>
        </w:rPr>
        <w:t>Loan Agreement</w:t>
      </w:r>
      <w:r>
        <w:rPr>
          <w:rFonts w:ascii="Arial" w:cs="Arial" w:eastAsia="Arial" w:hAnsi="Arial"/>
          <w:sz w:val="18"/>
          <w:szCs w:val="18"/>
          <w:color w:val="auto"/>
        </w:rPr>
        <w:t>”).</w:t>
      </w:r>
    </w:p>
    <w:p>
      <w:pPr>
        <w:spacing w:after="0" w:line="187" w:lineRule="exact"/>
        <w:rPr>
          <w:sz w:val="20"/>
          <w:szCs w:val="20"/>
          <w:color w:val="auto"/>
        </w:rPr>
      </w:pPr>
    </w:p>
    <w:p>
      <w:pPr>
        <w:ind w:left="440"/>
        <w:spacing w:after="0"/>
        <w:tabs>
          <w:tab w:leader="none" w:pos="6700" w:val="left"/>
        </w:tabs>
        <w:rPr>
          <w:sz w:val="20"/>
          <w:szCs w:val="20"/>
          <w:color w:val="auto"/>
        </w:rPr>
      </w:pPr>
      <w:r>
        <w:rPr>
          <w:rFonts w:ascii="Arial" w:cs="Arial" w:eastAsia="Arial" w:hAnsi="Arial"/>
          <w:sz w:val="18"/>
          <w:szCs w:val="18"/>
          <w:color w:val="auto"/>
        </w:rPr>
        <w:t>THIS WARRANT CERTIFIES THAT, for good and valuable consideration,</w:t>
      </w:r>
      <w:r>
        <w:rPr>
          <w:sz w:val="20"/>
          <w:szCs w:val="20"/>
          <w:color w:val="auto"/>
        </w:rPr>
        <w:tab/>
      </w:r>
      <w:r>
        <w:rPr>
          <w:rFonts w:ascii="Arial" w:cs="Arial" w:eastAsia="Arial" w:hAnsi="Arial"/>
          <w:sz w:val="16"/>
          <w:szCs w:val="16"/>
          <w:color w:val="auto"/>
        </w:rPr>
        <w:t>(together with any successor or permitted assignee or</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transferee of this Warrant or of any shares issued upon exercise hereof, “</w:t>
      </w:r>
      <w:r>
        <w:rPr>
          <w:rFonts w:ascii="Arial" w:cs="Arial" w:eastAsia="Arial" w:hAnsi="Arial"/>
          <w:sz w:val="18"/>
          <w:szCs w:val="18"/>
          <w:b w:val="1"/>
          <w:bCs w:val="1"/>
          <w:u w:val="single" w:color="auto"/>
          <w:color w:val="auto"/>
        </w:rPr>
        <w:t>Holder</w:t>
      </w:r>
      <w:r>
        <w:rPr>
          <w:rFonts w:ascii="Arial" w:cs="Arial" w:eastAsia="Arial" w:hAnsi="Arial"/>
          <w:sz w:val="18"/>
          <w:szCs w:val="18"/>
          <w:color w:val="auto"/>
        </w:rPr>
        <w:t>”) is entitled to purchase up to the above-stated number of fully paid and non-assessable shares (the “</w:t>
      </w:r>
      <w:r>
        <w:rPr>
          <w:rFonts w:ascii="Arial" w:cs="Arial" w:eastAsia="Arial" w:hAnsi="Arial"/>
          <w:sz w:val="18"/>
          <w:szCs w:val="18"/>
          <w:b w:val="1"/>
          <w:bCs w:val="1"/>
          <w:u w:val="single" w:color="auto"/>
          <w:color w:val="auto"/>
        </w:rPr>
        <w:t>Shares</w:t>
      </w:r>
      <w:r>
        <w:rPr>
          <w:rFonts w:ascii="Arial" w:cs="Arial" w:eastAsia="Arial" w:hAnsi="Arial"/>
          <w:sz w:val="18"/>
          <w:szCs w:val="18"/>
          <w:color w:val="auto"/>
        </w:rPr>
        <w:t>”) of the above-stated Type/Series of Stock (the “</w:t>
      </w:r>
      <w:r>
        <w:rPr>
          <w:rFonts w:ascii="Arial" w:cs="Arial" w:eastAsia="Arial" w:hAnsi="Arial"/>
          <w:sz w:val="18"/>
          <w:szCs w:val="18"/>
          <w:b w:val="1"/>
          <w:bCs w:val="1"/>
          <w:u w:val="single" w:color="auto"/>
          <w:color w:val="auto"/>
        </w:rPr>
        <w:t>Class</w:t>
      </w:r>
      <w:r>
        <w:rPr>
          <w:rFonts w:ascii="Arial" w:cs="Arial" w:eastAsia="Arial" w:hAnsi="Arial"/>
          <w:sz w:val="18"/>
          <w:szCs w:val="18"/>
          <w:color w:val="auto"/>
        </w:rPr>
        <w:t>”) of the above-named company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at the above-stated Warrant Price, all as set forth above and as adjusted pursuant to Section 2 of this Warrant, subject to the provisions and upon the terms and conditions set forth in this Warrant.</w:t>
      </w:r>
    </w:p>
    <w:p>
      <w:pPr>
        <w:spacing w:after="0" w:line="193" w:lineRule="exact"/>
        <w:rPr>
          <w:sz w:val="20"/>
          <w:szCs w:val="20"/>
          <w:color w:val="auto"/>
        </w:rPr>
      </w:pPr>
    </w:p>
    <w:p>
      <w:pPr>
        <w:ind w:left="1340" w:hanging="353"/>
        <w:spacing w:after="0"/>
        <w:tabs>
          <w:tab w:leader="none" w:pos="134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Recitals; Termination of Prior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428"/>
        <w:spacing w:after="0" w:line="291" w:lineRule="auto"/>
        <w:tabs>
          <w:tab w:leader="none" w:pos="1822" w:val="left"/>
        </w:tabs>
        <w:numPr>
          <w:ilvl w:val="1"/>
          <w:numId w:val="142"/>
        </w:numPr>
        <w:rPr>
          <w:rFonts w:ascii="Arial" w:cs="Arial" w:eastAsia="Arial" w:hAnsi="Arial"/>
          <w:sz w:val="16"/>
          <w:szCs w:val="16"/>
          <w:color w:val="auto"/>
        </w:rPr>
      </w:pPr>
      <w:r>
        <w:rPr>
          <w:rFonts w:ascii="Arial" w:cs="Arial" w:eastAsia="Arial" w:hAnsi="Arial"/>
          <w:sz w:val="16"/>
          <w:szCs w:val="16"/>
          <w:color w:val="auto"/>
        </w:rPr>
        <w:t>Reference is made to (i) that certain Warrant Instrument, dated December 20, 2019, executed by ALX Oncology Limited, an Ireland registered company (the “</w:t>
      </w:r>
      <w:r>
        <w:rPr>
          <w:rFonts w:ascii="Arial" w:cs="Arial" w:eastAsia="Arial" w:hAnsi="Arial"/>
          <w:sz w:val="16"/>
          <w:szCs w:val="16"/>
          <w:b w:val="1"/>
          <w:bCs w:val="1"/>
          <w:u w:val="single" w:color="auto"/>
          <w:color w:val="auto"/>
        </w:rPr>
        <w:t>Original Issuer</w:t>
      </w:r>
      <w:r>
        <w:rPr>
          <w:rFonts w:ascii="Arial" w:cs="Arial" w:eastAsia="Arial" w:hAnsi="Arial"/>
          <w:sz w:val="16"/>
          <w:szCs w:val="16"/>
          <w:color w:val="auto"/>
        </w:rPr>
        <w:t>”), in favor of each of Bank and WRG (as amended, the “</w:t>
      </w:r>
      <w:r>
        <w:rPr>
          <w:rFonts w:ascii="Arial" w:cs="Arial" w:eastAsia="Arial" w:hAnsi="Arial"/>
          <w:sz w:val="16"/>
          <w:szCs w:val="16"/>
          <w:b w:val="1"/>
          <w:bCs w:val="1"/>
          <w:u w:val="single" w:color="auto"/>
          <w:color w:val="auto"/>
        </w:rPr>
        <w:t>Warrant Instrument</w:t>
      </w:r>
      <w:r>
        <w:rPr>
          <w:rFonts w:ascii="Arial" w:cs="Arial" w:eastAsia="Arial" w:hAnsi="Arial"/>
          <w:sz w:val="16"/>
          <w:szCs w:val="16"/>
          <w:color w:val="auto"/>
        </w:rPr>
        <w:t>”), and (ii) that certain</w:t>
      </w:r>
    </w:p>
    <w:p>
      <w:pPr>
        <w:ind w:right="120"/>
        <w:spacing w:after="0" w:line="255" w:lineRule="auto"/>
        <w:rPr>
          <w:sz w:val="20"/>
          <w:szCs w:val="20"/>
          <w:color w:val="auto"/>
        </w:rPr>
      </w:pPr>
      <w:r>
        <w:rPr>
          <w:rFonts w:ascii="Arial" w:cs="Arial" w:eastAsia="Arial" w:hAnsi="Arial"/>
          <w:sz w:val="18"/>
          <w:szCs w:val="18"/>
          <w:color w:val="auto"/>
        </w:rPr>
        <w:t>Certificate issued by the Original Issuer to pursuant to the Warrant Instrument dated December 20, 2019 evidencing the right to subscribe for and purchase up to Series B Preferred Shares of the Original Issuer (the “</w:t>
      </w:r>
      <w:r>
        <w:rPr>
          <w:rFonts w:ascii="Arial" w:cs="Arial" w:eastAsia="Arial" w:hAnsi="Arial"/>
          <w:sz w:val="18"/>
          <w:szCs w:val="18"/>
          <w:b w:val="1"/>
          <w:bCs w:val="1"/>
          <w:u w:val="single" w:color="auto"/>
          <w:color w:val="auto"/>
        </w:rPr>
        <w:t>Certificate</w:t>
      </w:r>
      <w:r>
        <w:rPr>
          <w:rFonts w:ascii="Arial" w:cs="Arial" w:eastAsia="Arial" w:hAnsi="Arial"/>
          <w:sz w:val="18"/>
          <w:szCs w:val="18"/>
          <w:color w:val="auto"/>
        </w:rPr>
        <w:t>” and, together with the Warrant Instrument, the “</w:t>
      </w:r>
      <w:r>
        <w:rPr>
          <w:rFonts w:ascii="Arial" w:cs="Arial" w:eastAsia="Arial" w:hAnsi="Arial"/>
          <w:sz w:val="18"/>
          <w:szCs w:val="18"/>
          <w:b w:val="1"/>
          <w:bCs w:val="1"/>
          <w:u w:val="single" w:color="auto"/>
          <w:color w:val="auto"/>
        </w:rPr>
        <w:t>Original</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Warrant</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227" w:name="page228"/>
    <w:bookmarkEnd w:id="227"/>
    <w:p>
      <w:pPr>
        <w:ind w:left="1420"/>
        <w:spacing w:after="0"/>
        <w:tabs>
          <w:tab w:leader="none" w:pos="1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w:t>
      </w:r>
      <w:r>
        <w:rPr>
          <w:sz w:val="20"/>
          <w:szCs w:val="20"/>
          <w:color w:val="auto"/>
        </w:rPr>
        <w:tab/>
      </w:r>
      <w:r>
        <w:rPr>
          <w:rFonts w:ascii="Arial" w:cs="Arial" w:eastAsia="Arial" w:hAnsi="Arial"/>
          <w:sz w:val="16"/>
          <w:szCs w:val="16"/>
          <w:color w:val="auto"/>
        </w:rPr>
        <w:t>This Warrant is issued in exchange for and replacement of, and amends and restates in its entirety, the Original Warrant to the</w:t>
      </w:r>
    </w:p>
    <w:p>
      <w:pPr>
        <w:sectPr>
          <w:pgSz w:w="11900" w:h="16838" w:orient="portrait"/>
          <w:cols w:equalWidth="0" w:num="1">
            <w:col w:w="11000"/>
          </w:cols>
          <w:pgMar w:left="440" w:top="274" w:right="459" w:bottom="1440" w:gutter="0" w:footer="0" w:header="0"/>
        </w:sectPr>
      </w:pPr>
    </w:p>
    <w:p>
      <w:pPr>
        <w:spacing w:after="0" w:line="23"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full extent of Original Warrant and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580"/>
        <w:spacing w:after="0" w:line="323" w:lineRule="auto"/>
        <w:rPr>
          <w:sz w:val="20"/>
          <w:szCs w:val="20"/>
          <w:color w:val="auto"/>
        </w:rPr>
      </w:pPr>
      <w:r>
        <w:rPr>
          <w:rFonts w:ascii="Arial" w:cs="Arial" w:eastAsia="Arial" w:hAnsi="Arial"/>
          <w:sz w:val="16"/>
          <w:szCs w:val="16"/>
          <w:color w:val="auto"/>
        </w:rPr>
        <w:t>’s right and interest therein and thereto. Effective upon execution and delivery of this Warrant by the parties hereto, the ’s entire right and interest therein and thereto shall automatically terminate and be of no further force or effect.</w:t>
      </w:r>
    </w:p>
    <w:p>
      <w:pPr>
        <w:spacing w:after="0" w:line="200" w:lineRule="exact"/>
        <w:rPr>
          <w:sz w:val="20"/>
          <w:szCs w:val="20"/>
          <w:color w:val="auto"/>
        </w:rPr>
      </w:pPr>
    </w:p>
    <w:p>
      <w:pPr>
        <w:sectPr>
          <w:pgSz w:w="11900" w:h="16838" w:orient="portrait"/>
          <w:cols w:equalWidth="0" w:num="2">
            <w:col w:w="1520" w:space="360"/>
            <w:col w:w="9120"/>
          </w:cols>
          <w:pgMar w:left="440" w:top="274" w:right="459" w:bottom="1440" w:gutter="0" w:footer="0" w:header="0"/>
          <w:type w:val="continuous"/>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Holder may exercise this Warrant in whole or in part at any time and from time to time prior to the expiration or earlier termination hereof by delivering to the Company the original of this Warrant together with a duly executed Notice of Exercise in substantially the form attached hereto as </w:t>
      </w:r>
      <w:r>
        <w:rPr>
          <w:rFonts w:ascii="Arial" w:cs="Arial" w:eastAsia="Arial" w:hAnsi="Arial"/>
          <w:sz w:val="17"/>
          <w:szCs w:val="17"/>
          <w:u w:val="single" w:color="auto"/>
          <w:color w:val="auto"/>
        </w:rPr>
        <w:t>Appendix 1</w:t>
      </w:r>
      <w:r>
        <w:rPr>
          <w:rFonts w:ascii="Arial" w:cs="Arial" w:eastAsia="Arial" w:hAnsi="Arial"/>
          <w:sz w:val="17"/>
          <w:szCs w:val="17"/>
          <w:color w:val="auto"/>
        </w:rPr>
        <w:t xml:space="preserve">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 Notwithstanding any contrary provision herein, if this Warrant was originally executed and/or delivered electronically, in no event shall Holder be required to surrender or deliver an ink-signed paper copy of this Warrant in connection with its exercise hereof or of any rights hereunder, be required for any exercise of a Holder’s rights hereunder, nor shall Holder be required to surrender or deliver a paper or other physical copy of this Warrant in connection with any exercise hereof.</w:t>
      </w:r>
    </w:p>
    <w:p>
      <w:pPr>
        <w:spacing w:after="0" w:line="178"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9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X = Y(A-B)/A</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X = the number of Shares to be issued to the Holder;</w:t>
      </w:r>
    </w:p>
    <w:p>
      <w:pPr>
        <w:spacing w:after="0" w:line="117" w:lineRule="exact"/>
        <w:rPr>
          <w:sz w:val="20"/>
          <w:szCs w:val="20"/>
          <w:color w:val="auto"/>
        </w:rPr>
      </w:pPr>
    </w:p>
    <w:p>
      <w:pPr>
        <w:ind w:left="2040" w:right="500" w:hanging="377"/>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pacing w:after="0" w:line="62" w:lineRule="exact"/>
        <w:rPr>
          <w:sz w:val="20"/>
          <w:szCs w:val="20"/>
          <w:color w:val="auto"/>
        </w:rPr>
      </w:pPr>
    </w:p>
    <w:p>
      <w:pPr>
        <w:ind w:left="1660" w:right="2800"/>
        <w:spacing w:after="0" w:line="402" w:lineRule="auto"/>
        <w:rPr>
          <w:sz w:val="20"/>
          <w:szCs w:val="20"/>
          <w:color w:val="auto"/>
        </w:rPr>
      </w:pPr>
      <w:r>
        <w:rPr>
          <w:rFonts w:ascii="Arial" w:cs="Arial" w:eastAsia="Arial" w:hAnsi="Arial"/>
          <w:sz w:val="18"/>
          <w:szCs w:val="18"/>
          <w:color w:val="auto"/>
        </w:rPr>
        <w:t>A = the fair market value (as determined pursuant to Section 1.3 below) of one Share; and B = the Warrant Price.</w:t>
      </w:r>
    </w:p>
    <w:p>
      <w:pPr>
        <w:spacing w:after="0" w:line="63"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Fair Market Value</w:t>
      </w:r>
      <w:r>
        <w:rPr>
          <w:rFonts w:ascii="Arial" w:cs="Arial" w:eastAsia="Arial" w:hAnsi="Arial"/>
          <w:sz w:val="18"/>
          <w:szCs w:val="18"/>
          <w:color w:val="auto"/>
        </w:rPr>
        <w:t>. If the Company’s common stock is then traded or quoted on a nationally recognized securities exchange, inter-dealer quotation system or over-the-counter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type w:val="continuous"/>
        </w:sectPr>
      </w:pPr>
    </w:p>
    <w:bookmarkStart w:id="228" w:name="page229"/>
    <w:bookmarkEnd w:id="228"/>
    <w:p>
      <w:pPr>
        <w:ind w:left="4"/>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market (a “</w:t>
      </w:r>
      <w:r>
        <w:rPr>
          <w:rFonts w:ascii="Arial" w:cs="Arial" w:eastAsia="Arial" w:hAnsi="Arial"/>
          <w:sz w:val="16"/>
          <w:szCs w:val="16"/>
          <w:b w:val="1"/>
          <w:bCs w:val="1"/>
          <w:u w:val="single" w:color="auto"/>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5" w:lineRule="exact"/>
        <w:rPr>
          <w:sz w:val="20"/>
          <w:szCs w:val="20"/>
          <w:color w:val="auto"/>
        </w:rPr>
      </w:pPr>
    </w:p>
    <w:p>
      <w:pPr>
        <w:ind w:left="4" w:right="120" w:firstLine="991"/>
        <w:spacing w:after="0" w:line="279"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(or, in the case of uncertificated securities, provide notice of book entry) representing the Shares issued to Holder upon such exercise and, if this Warrant has not been fully exercised and has not expired, a new warrant of like tenor representing the Shares not so acquired (or surrendered in payment of the aggregate Warrant Price).</w:t>
      </w:r>
    </w:p>
    <w:p>
      <w:pPr>
        <w:spacing w:after="0" w:line="171"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Replacement of Warrant</w:t>
      </w:r>
      <w:r>
        <w:rPr>
          <w:rFonts w:ascii="Arial" w:cs="Arial" w:eastAsia="Arial" w:hAnsi="Arial"/>
          <w:sz w:val="16"/>
          <w:szCs w:val="16"/>
          <w:color w:val="auto"/>
        </w:rPr>
        <w:t>.</w:t>
      </w:r>
    </w:p>
    <w:p>
      <w:pPr>
        <w:spacing w:after="0" w:line="225" w:lineRule="exact"/>
        <w:rPr>
          <w:sz w:val="20"/>
          <w:szCs w:val="20"/>
          <w:color w:val="auto"/>
        </w:rPr>
      </w:pPr>
    </w:p>
    <w:p>
      <w:pPr>
        <w:ind w:left="4" w:firstLine="1428"/>
        <w:spacing w:after="0" w:line="257" w:lineRule="auto"/>
        <w:tabs>
          <w:tab w:leader="none" w:pos="181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Paper Original Warrant</w:t>
      </w:r>
      <w:r>
        <w:rPr>
          <w:rFonts w:ascii="Arial" w:cs="Arial" w:eastAsia="Arial" w:hAnsi="Arial"/>
          <w:sz w:val="18"/>
          <w:szCs w:val="18"/>
          <w:color w:val="auto"/>
        </w:rPr>
        <w:t>. To the extent that the original of this Warrant is a paper original,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rFonts w:ascii="Arial" w:cs="Arial" w:eastAsia="Arial" w:hAnsi="Arial"/>
          <w:sz w:val="18"/>
          <w:szCs w:val="18"/>
          <w:color w:val="auto"/>
        </w:rPr>
      </w:pPr>
    </w:p>
    <w:p>
      <w:pPr>
        <w:ind w:left="4" w:right="20" w:firstLine="1428"/>
        <w:spacing w:after="0" w:line="257" w:lineRule="auto"/>
        <w:tabs>
          <w:tab w:leader="none" w:pos="182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Electronic Original Warrant</w:t>
      </w:r>
      <w:r>
        <w:rPr>
          <w:rFonts w:ascii="Arial" w:cs="Arial" w:eastAsia="Arial" w:hAnsi="Arial"/>
          <w:sz w:val="18"/>
          <w:szCs w:val="18"/>
          <w:color w:val="auto"/>
        </w:rPr>
        <w:t>. To the extent that the original of this Warrant is an electronic original, if at any time this Warrant is rejected by any person (including, but not limited to, paying or escrow agents) or any such person fails to comply with the terms of this Warrant based on this Warrant being presented to such person as an electronic record or a printout hereof, or any signature hereto being in electronic form, the Company shall, promptly upon Holder’s request and without indemnity, execute and deliver to Holder, in lieu of electronic original versions of this Warrant, a new warrant of like tenor and amount in paper form with original ink signatures.</w:t>
      </w:r>
    </w:p>
    <w:p>
      <w:pPr>
        <w:spacing w:after="0" w:line="188"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u w:val="single" w:color="auto"/>
          <w:color w:val="auto"/>
        </w:rPr>
        <w:t>Treatment of Warrant Upon Acquisition of Company</w:t>
      </w:r>
      <w:r>
        <w:rPr>
          <w:rFonts w:ascii="Arial" w:cs="Arial" w:eastAsia="Arial" w:hAnsi="Arial"/>
          <w:sz w:val="16"/>
          <w:szCs w:val="16"/>
          <w:color w:val="auto"/>
        </w:rPr>
        <w:t>.</w:t>
      </w:r>
    </w:p>
    <w:p>
      <w:pPr>
        <w:spacing w:after="0" w:line="221" w:lineRule="exact"/>
        <w:rPr>
          <w:sz w:val="20"/>
          <w:szCs w:val="20"/>
          <w:color w:val="auto"/>
        </w:rPr>
      </w:pPr>
    </w:p>
    <w:p>
      <w:pPr>
        <w:ind w:left="1804" w:hanging="372"/>
        <w:spacing w:after="0"/>
        <w:tabs>
          <w:tab w:leader="none" w:pos="1804"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means any transaction or series of related transactions involving:</w:t>
      </w:r>
    </w:p>
    <w:p>
      <w:pPr>
        <w:spacing w:after="0" w:line="50" w:lineRule="exact"/>
        <w:rPr>
          <w:rFonts w:ascii="Arial" w:cs="Arial" w:eastAsia="Arial" w:hAnsi="Arial"/>
          <w:sz w:val="16"/>
          <w:szCs w:val="16"/>
          <w:color w:val="auto"/>
        </w:rPr>
      </w:pPr>
    </w:p>
    <w:p>
      <w:pPr>
        <w:ind w:left="4" w:right="200" w:hanging="4"/>
        <w:spacing w:after="0" w:line="273" w:lineRule="auto"/>
        <w:tabs>
          <w:tab w:leader="none" w:pos="219"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229" w:name="page230"/>
    <w:bookmarkEnd w:id="22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outstanding voting power immediately after such merger, consolidation or reorganization (or, if such Company stockholders beneficially own a majority of the outstanding voting power of the surviving or successor entity as of immediately after such merger, consolidation or reorganization, such surviving or successor entity is not the Company); or (iii) any sale or other transfer by the stockholders of the Company of shares representing at least a majority of the Company’s then-total outstanding combined voting power.</w:t>
      </w:r>
    </w:p>
    <w:p>
      <w:pPr>
        <w:spacing w:after="0" w:line="187" w:lineRule="exact"/>
        <w:rPr>
          <w:sz w:val="20"/>
          <w:szCs w:val="20"/>
          <w:color w:val="auto"/>
        </w:rPr>
      </w:pPr>
    </w:p>
    <w:p>
      <w:pPr>
        <w:ind w:right="40" w:firstLine="1428"/>
        <w:spacing w:after="0" w:line="288" w:lineRule="auto"/>
        <w:tabs>
          <w:tab w:leader="none" w:pos="1822"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b w:val="1"/>
          <w:bCs w:val="1"/>
          <w:u w:val="single" w:color="auto"/>
          <w:color w:val="auto"/>
        </w:rPr>
        <w:t>Cash/Public</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Acquisition</w:t>
      </w:r>
      <w:r>
        <w:rPr>
          <w:rFonts w:ascii="Arial" w:cs="Arial" w:eastAsia="Arial" w:hAnsi="Arial"/>
          <w:sz w:val="16"/>
          <w:szCs w:val="16"/>
          <w:color w:val="auto"/>
        </w:rPr>
        <w:t>”), and the fair market value of one Share as determined in accordance with Section 1.3 above would be greater than the Warrant Price in</w:t>
      </w:r>
      <w:r>
        <w:rPr>
          <w:rFonts w:ascii="Arial" w:cs="Arial" w:eastAsia="Arial" w:hAnsi="Arial"/>
          <w:sz w:val="16"/>
          <w:szCs w:val="16"/>
          <w:b w:val="1"/>
          <w:bCs w:val="1"/>
          <w:color w:val="auto"/>
        </w:rPr>
        <w:t xml:space="preserve"> </w:t>
      </w:r>
      <w:r>
        <w:rPr>
          <w:rFonts w:ascii="Arial" w:cs="Arial" w:eastAsia="Arial" w:hAnsi="Arial"/>
          <w:sz w:val="16"/>
          <w:szCs w:val="16"/>
          <w:color w:val="auto"/>
        </w:rPr>
        <w:t>effect on such date immediately prior to such Cash/Public Acquisition, and Holder has not exercised this Warrant pursuant to Section 1.1 above as to all Shares, then this Warrant shall automatically be deemed to be Cashless Exercised pursuant to Section 1.2 above as to all Shares effective immediately prior to and contingent upon the consummation of a Cash/Public Acquisition. In connection with such Cashless Exercise, Holder shall be deemed to have restated each of the representations and warranties in Section 4 of the Warrant as of the date thereof and the Company shall promptly notify the Holder of the number of Shares (or such other securities) issued upon exercise. In the event of a Cash/Public Acquisition where the fair market value of one Share as determined in accordance with Section 1.3 above would be less than the Warrant Price in effect immediately prior to such Cash/Public Acquisition, then this Warrant will expire immediately prior to the consummation of such Cash/Public Acquisition.</w:t>
      </w:r>
    </w:p>
    <w:p>
      <w:pPr>
        <w:spacing w:after="0" w:line="168" w:lineRule="exact"/>
        <w:rPr>
          <w:rFonts w:ascii="Arial" w:cs="Arial" w:eastAsia="Arial" w:hAnsi="Arial"/>
          <w:sz w:val="16"/>
          <w:szCs w:val="16"/>
          <w:color w:val="auto"/>
        </w:rPr>
      </w:pPr>
    </w:p>
    <w:p>
      <w:pPr>
        <w:ind w:right="80" w:firstLine="1428"/>
        <w:spacing w:after="0" w:line="279" w:lineRule="auto"/>
        <w:tabs>
          <w:tab w:leader="none" w:pos="181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20" w:firstLine="1428"/>
        <w:spacing w:after="0" w:line="291" w:lineRule="auto"/>
        <w:tabs>
          <w:tab w:leader="none" w:pos="181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u w:val="single" w:color="auto"/>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Act</w:t>
      </w:r>
      <w:r>
        <w:rPr>
          <w:rFonts w:ascii="Arial" w:cs="Arial" w:eastAsia="Arial" w:hAnsi="Arial"/>
          <w:sz w:val="16"/>
          <w:szCs w:val="16"/>
          <w:color w:val="auto"/>
        </w:rPr>
        <w:t>”), and is then current in its filing of all required reports and other information under the Act and the Exchange Act; (ii) the class and series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this Warrant in full on or prior to the closing of such Acquisition, except to the extent that any such restriction (x) arises solely under federal or state securities laws, rules or regulations, and (y) does not extend beyond six (6) months from the closing of such Acquisition.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30" w:name="page231"/>
    <w:bookmarkEnd w:id="23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ADJUSTMENTS TO THE SHARES AND WARRANT PRICE</w:t>
      </w: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w:t>
      </w:r>
    </w:p>
    <w:p>
      <w:pPr>
        <w:spacing w:after="0" w:line="23"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right="100" w:firstLine="991"/>
        <w:spacing w:after="0" w:line="25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Conversion of Preferred Stock</w:t>
      </w:r>
      <w:r>
        <w:rPr>
          <w:rFonts w:ascii="Arial" w:cs="Arial" w:eastAsia="Arial" w:hAnsi="Arial"/>
          <w:sz w:val="18"/>
          <w:szCs w:val="18"/>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as amended and in effect from time to time (the “</w:t>
      </w:r>
      <w:r>
        <w:rPr>
          <w:rFonts w:ascii="Arial" w:cs="Arial" w:eastAsia="Arial" w:hAnsi="Arial"/>
          <w:sz w:val="18"/>
          <w:szCs w:val="18"/>
          <w:b w:val="1"/>
          <w:bCs w:val="1"/>
          <w:u w:val="single" w:color="auto"/>
          <w:color w:val="auto"/>
        </w:rPr>
        <w:t>COI</w:t>
      </w:r>
      <w:r>
        <w:rPr>
          <w:rFonts w:ascii="Arial" w:cs="Arial" w:eastAsia="Arial" w:hAnsi="Arial"/>
          <w:sz w:val="18"/>
          <w:szCs w:val="18"/>
          <w:color w:val="auto"/>
        </w:rPr>
        <w:t>”), including, without limitation, in connection with the Company’s initial, underwritten public offering and sale of its common stock pursuant to an effective registration statement under the Act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96"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anti-dilution adjustment from time to time in the manner set forth in the COI as if the Shares were issued and outstanding on and as of the date of any such required adjustment.</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231" w:name="page232"/>
    <w:bookmarkEnd w:id="231"/>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4"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88"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Pay to Play Adjustments</w:t>
      </w:r>
      <w:r>
        <w:rPr>
          <w:rFonts w:ascii="Arial" w:cs="Arial" w:eastAsia="Arial" w:hAnsi="Arial"/>
          <w:sz w:val="17"/>
          <w:szCs w:val="17"/>
          <w:color w:val="auto"/>
        </w:rPr>
        <w:t>. Notwithstanding the definition of Class herein, if Pay to Play Provisions are at any time during the term of this Warrant applied to the outstanding shares of the Class, then from and after such application, “Class” shall mean that class and series of the Company’s securities that a holder of outstanding shares of the Class as of immediately prior to such application would have received or retained had such holder participated in the manner necessary to receive or retain the class and series of the Company’s securities having the relative rights, powers, privileges and preferences more favorable to the holder. As used herein, “</w:t>
      </w:r>
      <w:r>
        <w:rPr>
          <w:rFonts w:ascii="Arial" w:cs="Arial" w:eastAsia="Arial" w:hAnsi="Arial"/>
          <w:sz w:val="17"/>
          <w:szCs w:val="17"/>
          <w:b w:val="1"/>
          <w:bCs w:val="1"/>
          <w:u w:val="single" w:color="auto"/>
          <w:color w:val="auto"/>
        </w:rPr>
        <w:t>Pay to Play Provisions</w:t>
      </w:r>
      <w:r>
        <w:rPr>
          <w:rFonts w:ascii="Arial" w:cs="Arial" w:eastAsia="Arial" w:hAnsi="Arial"/>
          <w:sz w:val="17"/>
          <w:szCs w:val="17"/>
          <w:color w:val="auto"/>
        </w:rPr>
        <w:t>” means provisions set forth in the COI or elsewhere that require holders of the outstanding shares of the Class to participate in a subsequent round of equity financing of the Company or lose all or a portion of the benefit of anti-dilution protection or any other right, power, privilege or preference applicable to such shares or have such shares automatically convert to common stock or another class or series of Company capital stock.</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r>
        <w:rPr>
          <w:rFonts w:ascii="Arial" w:cs="Arial" w:eastAsia="Arial" w:hAnsi="Arial"/>
          <w:sz w:val="18"/>
          <w:szCs w:val="18"/>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117" w:lineRule="exact"/>
        <w:rPr>
          <w:sz w:val="20"/>
          <w:szCs w:val="20"/>
          <w:color w:val="auto"/>
        </w:rPr>
      </w:pPr>
    </w:p>
    <w:p>
      <w:pPr>
        <w:ind w:left="1800" w:hanging="372"/>
        <w:spacing w:after="0"/>
        <w:tabs>
          <w:tab w:leader="none" w:pos="18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428"/>
        <w:spacing w:after="0" w:line="296" w:lineRule="auto"/>
        <w:tabs>
          <w:tab w:leader="none" w:pos="181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61" w:lineRule="exact"/>
        <w:rPr>
          <w:rFonts w:ascii="Arial" w:cs="Arial" w:eastAsia="Arial" w:hAnsi="Arial"/>
          <w:sz w:val="16"/>
          <w:szCs w:val="16"/>
          <w:color w:val="auto"/>
        </w:rPr>
      </w:pPr>
    </w:p>
    <w:p>
      <w:pPr>
        <w:ind w:left="1800" w:hanging="372"/>
        <w:spacing w:after="0"/>
        <w:tabs>
          <w:tab w:leader="none" w:pos="180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 If the Company proposes at any time 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32" w:name="page233"/>
    <w:bookmarkEnd w:id="232"/>
    <w:p>
      <w:pPr>
        <w:ind w:right="440" w:firstLine="1428"/>
        <w:spacing w:after="0" w:line="277" w:lineRule="auto"/>
        <w:tabs>
          <w:tab w:leader="none" w:pos="1812"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160" w:firstLine="1428"/>
        <w:spacing w:after="0" w:line="277" w:lineRule="auto"/>
        <w:tabs>
          <w:tab w:leader="none" w:pos="182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offer for subscription or sale pro rata to all holders of the outstanding shares of the Class any additional shares of any class or series of the Company’s stock (other than pursuant to contractual pre-emptive or first refusal rights);</w:t>
      </w:r>
    </w:p>
    <w:p>
      <w:pPr>
        <w:spacing w:after="0" w:line="170" w:lineRule="exact"/>
        <w:rPr>
          <w:rFonts w:ascii="Arial" w:cs="Arial" w:eastAsia="Arial" w:hAnsi="Arial"/>
          <w:sz w:val="18"/>
          <w:szCs w:val="18"/>
          <w:color w:val="auto"/>
        </w:rPr>
      </w:pPr>
    </w:p>
    <w:p>
      <w:pPr>
        <w:ind w:left="1800" w:hanging="372"/>
        <w:spacing w:after="0"/>
        <w:tabs>
          <w:tab w:leader="none" w:pos="18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Class;</w:t>
      </w:r>
    </w:p>
    <w:p>
      <w:pPr>
        <w:spacing w:after="0" w:line="210" w:lineRule="exact"/>
        <w:rPr>
          <w:rFonts w:ascii="Arial" w:cs="Arial" w:eastAsia="Arial" w:hAnsi="Arial"/>
          <w:sz w:val="16"/>
          <w:szCs w:val="16"/>
          <w:color w:val="auto"/>
        </w:rPr>
      </w:pPr>
    </w:p>
    <w:p>
      <w:pPr>
        <w:ind w:left="1820" w:hanging="392"/>
        <w:spacing w:after="0"/>
        <w:tabs>
          <w:tab w:leader="none" w:pos="18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800" w:hanging="372"/>
        <w:spacing w:after="0"/>
        <w:tabs>
          <w:tab w:leader="none" w:pos="18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117" w:lineRule="exact"/>
        <w:rPr>
          <w:sz w:val="20"/>
          <w:szCs w:val="20"/>
          <w:color w:val="auto"/>
        </w:rPr>
      </w:pPr>
    </w:p>
    <w:p>
      <w:pPr>
        <w:ind w:left="980" w:firstLine="408"/>
        <w:spacing w:after="0" w:line="311" w:lineRule="auto"/>
        <w:tabs>
          <w:tab w:leader="none" w:pos="181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case of the matters referred to in (a) and (b) above, at least seven (7) Business Days prior written notice of the earlier to occur of the effective date thereof or the date on which a record will be taken for such dividend, distribution, or subscription rights (and specifying the date on which the holders of outstanding shares of the Class will be entitled thereto) or for determining rights to vote, if any;</w:t>
      </w:r>
    </w:p>
    <w:p>
      <w:pPr>
        <w:spacing w:after="0" w:line="40" w:lineRule="exact"/>
        <w:rPr>
          <w:rFonts w:ascii="Arial" w:cs="Arial" w:eastAsia="Arial" w:hAnsi="Arial"/>
          <w:sz w:val="16"/>
          <w:szCs w:val="16"/>
          <w:color w:val="auto"/>
        </w:rPr>
      </w:pPr>
    </w:p>
    <w:p>
      <w:pPr>
        <w:jc w:val="both"/>
        <w:ind w:left="980" w:right="80" w:firstLine="408"/>
        <w:spacing w:after="0" w:line="301" w:lineRule="auto"/>
        <w:tabs>
          <w:tab w:leader="none" w:pos="181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 such reasonable information as Holder may reasonably require regarding the treatment of this Warrant in connection with such event giving rise to the notice); and</w:t>
      </w:r>
    </w:p>
    <w:p>
      <w:pPr>
        <w:spacing w:after="0" w:line="49" w:lineRule="exact"/>
        <w:rPr>
          <w:rFonts w:ascii="Arial" w:cs="Arial" w:eastAsia="Arial" w:hAnsi="Arial"/>
          <w:sz w:val="16"/>
          <w:szCs w:val="16"/>
          <w:color w:val="auto"/>
        </w:rPr>
      </w:pPr>
    </w:p>
    <w:p>
      <w:pPr>
        <w:ind w:left="980" w:right="280" w:firstLine="408"/>
        <w:spacing w:after="0" w:line="277" w:lineRule="auto"/>
        <w:tabs>
          <w:tab w:leader="none" w:pos="181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publicly file its registration statement in connection therewith.</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will also provide information requested by Holder from time to time, within a reasonable time following each such request, that is reasonably necessary to enable Holder to comply with Holder’s accounting or reporting requirements. Prior to the IPO, such information may include, but shall not be limited to, the Company’s then-current summary capitalization table, the price per share for which the Company most recently prior thereto sold or issued shares of its convertible preferred stock to investors for cash in a bona fide equity financing of the Company, and the most recently received valuation of the Company’s common stock conducted for purposes of the Company’s compliance with Section 409A of the Internal Revenue Code of 1986, as amended (or the corresponding section of any successor statute) and approved by the Company’s Board of Directors. Holder agrees to treat and hold all information provided by the Company pursuant to this Warrant in confidence in accordance with the provisions of Section 12.9 of the Loan Agreement (regardless of whether the Loan Agreement shall then be in effect).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33" w:name="page234"/>
    <w:bookmarkEnd w:id="233"/>
    <w:p>
      <w:pPr>
        <w:ind w:left="2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 </w:t>
      </w:r>
      <w:r>
        <w:rPr>
          <w:rFonts w:ascii="Arial" w:cs="Arial" w:eastAsia="Arial" w:hAnsi="Arial"/>
          <w:sz w:val="18"/>
          <w:szCs w:val="18"/>
          <w:u w:val="single" w:color="auto"/>
          <w:color w:val="auto"/>
        </w:rPr>
        <w:t>REPRESENTATIONS AND COVENANTS OF THE HOLDER</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and agrees with, the Company as follows:</w:t>
      </w:r>
    </w:p>
    <w:p>
      <w:pPr>
        <w:spacing w:after="0" w:line="225" w:lineRule="exact"/>
        <w:rPr>
          <w:sz w:val="20"/>
          <w:szCs w:val="20"/>
          <w:color w:val="auto"/>
        </w:rPr>
      </w:pPr>
    </w:p>
    <w:p>
      <w:pPr>
        <w:ind w:right="220" w:firstLine="99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6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92"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2.11 of the Company’s Investors’ Rights Agreement, as amended and in effect from time to time.</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Stockholder Rights</w:t>
      </w:r>
      <w:r>
        <w:rPr>
          <w:rFonts w:ascii="Arial" w:cs="Arial" w:eastAsia="Arial" w:hAnsi="Arial"/>
          <w:sz w:val="18"/>
          <w:szCs w:val="18"/>
          <w:color w:val="auto"/>
        </w:rPr>
        <w:t>. Without limiting any provision of this Warrant, Holder agrees that as a Holder of this Warrant it will not have any rights (including, but not limited to, voting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34" w:name="page235"/>
    <w:bookmarkEnd w:id="234"/>
    <w:p>
      <w:pPr>
        <w:jc w:val="both"/>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as a stockholder of the Company with respect to the Shares issuable hereunder (or the securities issuable on conversion of such Shares, if any) unless and until the exercise of this Warrant and then only with respect to the Shares issued on such exercise (or the securities issued on conversion of such Shares, if any).</w:t>
      </w:r>
    </w:p>
    <w:p>
      <w:pPr>
        <w:spacing w:after="0" w:line="400"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Automatic Cashless Exercise Upon Expiration</w:t>
      </w:r>
      <w:r>
        <w:rPr>
          <w:rFonts w:ascii="Arial" w:cs="Arial" w:eastAsia="Arial" w:hAnsi="Arial"/>
          <w:sz w:val="16"/>
          <w:szCs w:val="16"/>
          <w:color w:val="auto"/>
        </w:rPr>
        <w:t>.</w:t>
      </w:r>
    </w:p>
    <w:p>
      <w:pPr>
        <w:spacing w:after="0" w:line="225" w:lineRule="exact"/>
        <w:rPr>
          <w:sz w:val="20"/>
          <w:szCs w:val="20"/>
          <w:color w:val="auto"/>
        </w:rPr>
      </w:pPr>
    </w:p>
    <w:p>
      <w:pPr>
        <w:ind w:right="140" w:firstLine="1428"/>
        <w:spacing w:after="0" w:line="277" w:lineRule="auto"/>
        <w:tabs>
          <w:tab w:leader="none" w:pos="181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Pacific time, on the Expiration Date and shall be void thereafter.</w:t>
      </w:r>
    </w:p>
    <w:p>
      <w:pPr>
        <w:spacing w:after="0" w:line="170" w:lineRule="exact"/>
        <w:rPr>
          <w:rFonts w:ascii="Arial" w:cs="Arial" w:eastAsia="Arial" w:hAnsi="Arial"/>
          <w:sz w:val="18"/>
          <w:szCs w:val="18"/>
          <w:color w:val="auto"/>
        </w:rPr>
      </w:pPr>
    </w:p>
    <w:p>
      <w:pPr>
        <w:ind w:right="80" w:firstLine="1428"/>
        <w:spacing w:after="0" w:line="296" w:lineRule="auto"/>
        <w:tabs>
          <w:tab w:leader="none" w:pos="1822"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Automatic Cashless Exercise upon Expiration</w:t>
      </w:r>
      <w:r>
        <w:rPr>
          <w:rFonts w:ascii="Arial" w:cs="Arial" w:eastAsia="Arial" w:hAnsi="Arial"/>
          <w:sz w:val="16"/>
          <w:szCs w:val="16"/>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following Holder’s written request therefor, deliver a certificate (or evidence of book entry) representing the Shares (or such other securities) issued upon such exercise to Holder.</w:t>
      </w:r>
    </w:p>
    <w:p>
      <w:pPr>
        <w:spacing w:after="0" w:line="161"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Each certificate evidencing Shares (and each certificate evidencing securities issued upon conversion of any Shares, if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shall be imprinted with a legend in substantially the following form:</w:t>
      </w:r>
    </w:p>
    <w:p>
      <w:pPr>
        <w:spacing w:after="0" w:line="103" w:lineRule="exact"/>
        <w:rPr>
          <w:sz w:val="20"/>
          <w:szCs w:val="20"/>
          <w:color w:val="auto"/>
        </w:rPr>
      </w:pPr>
    </w:p>
    <w:p>
      <w:pPr>
        <w:ind w:left="980" w:right="100"/>
        <w:spacing w:after="0" w:line="274"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OR THE SECURITIES LAWS OF ANY STATE AND, EXCEPT AS SET FORTH IN THAT CERTAIN</w:t>
      </w:r>
    </w:p>
    <w:p>
      <w:pPr>
        <w:ind w:left="980" w:right="80"/>
        <w:spacing w:after="0" w:line="273" w:lineRule="auto"/>
        <w:rPr>
          <w:sz w:val="20"/>
          <w:szCs w:val="20"/>
          <w:color w:val="auto"/>
        </w:rPr>
      </w:pPr>
      <w:r>
        <w:rPr>
          <w:rFonts w:ascii="Arial" w:cs="Arial" w:eastAsia="Arial" w:hAnsi="Arial"/>
          <w:sz w:val="17"/>
          <w:szCs w:val="17"/>
          <w:color w:val="auto"/>
        </w:rPr>
        <w:t>AMENDED AND RESTATED WARRANT TO PURCHASE STOCK ISSUED BY THE ISSUER TO DATED MAY 21, 2020,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17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Compliance with Securities Laws on Transfer</w:t>
      </w:r>
      <w:r>
        <w:rPr>
          <w:rFonts w:ascii="Arial" w:cs="Arial" w:eastAsia="Arial" w:hAnsi="Arial"/>
          <w:sz w:val="18"/>
          <w:szCs w:val="18"/>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such affiliate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35" w:name="page236"/>
    <w:bookmarkEnd w:id="235"/>
    <w:p>
      <w:pPr>
        <w:ind w:left="4" w:right="40" w:firstLine="99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Subject to the provisions of Section 5.3 and upon providing the Company with written notice, Holder may transfer all or part of this Warrant or the Shares issued upon exercise of this Warrant (or the securities issued upon conversion of the Shares, if any) to any transferee, provided, however, in connection with any such transfer, Holder will give the Company notice of the portion of the Warrant and/or Shares (and/or securities issued upon conversion of the Shares, if any) being transferred with the name, address and taxpayer identification number of the transferee and Holder will surrender this Warrant to the Company for reissuance to the transferee(s) (and Holder if applicable); and provided further, that any transferee shall make substantially the representations and warranties set forth in Section 4 above and shall agree in writing with the Company to be bound by all of the terms and conditions of this Warrant.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68" w:lineRule="exact"/>
        <w:rPr>
          <w:sz w:val="20"/>
          <w:szCs w:val="20"/>
          <w:color w:val="auto"/>
        </w:rPr>
      </w:pPr>
    </w:p>
    <w:p>
      <w:pPr>
        <w:jc w:val="both"/>
        <w:ind w:left="4" w:right="40" w:firstLine="99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w:t>
      </w:r>
      <w:r>
        <w:rPr>
          <w:rFonts w:ascii="Arial" w:cs="Arial" w:eastAsia="Arial" w:hAnsi="Arial"/>
          <w:sz w:val="13"/>
          <w:szCs w:val="13"/>
          <w:color w:val="auto"/>
        </w:rPr>
        <w:t>rd</w:t>
      </w:r>
      <w:r>
        <w:rPr>
          <w:rFonts w:ascii="Arial" w:cs="Arial" w:eastAsia="Arial" w:hAnsi="Arial"/>
          <w:sz w:val="16"/>
          <w:szCs w:val="16"/>
          <w:color w:val="auto"/>
        </w:rPr>
        <w:t>) Business Day after being mailed by first-class registered or certified mail, postage prepaid,</w:t>
      </w:r>
    </w:p>
    <w:p>
      <w:pPr>
        <w:ind w:left="4" w:hanging="4"/>
        <w:spacing w:after="0" w:line="295" w:lineRule="auto"/>
        <w:tabs>
          <w:tab w:leader="none" w:pos="31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265430</wp:posOffset>
            </wp:positionV>
            <wp:extent cx="18173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419735</wp:posOffset>
            </wp:positionV>
            <wp:extent cx="181737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817370" cy="889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574040</wp:posOffset>
            </wp:positionV>
            <wp:extent cx="18173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Burlingame, CA 94010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With a copy (which shall not constitute notice) to:</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Kenneth A. Clark, Esq.</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Palo Alto, CA 94304</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36" w:name="page237"/>
    <w:bookmarkEnd w:id="236"/>
    <w:p>
      <w:pPr>
        <w:jc w:val="both"/>
        <w:ind w:right="4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party against which enforcement of such change, waiver, discharge or termination is sought.</w:t>
      </w:r>
    </w:p>
    <w:p>
      <w:pPr>
        <w:spacing w:after="0" w:line="184" w:lineRule="exact"/>
        <w:rPr>
          <w:sz w:val="20"/>
          <w:szCs w:val="20"/>
          <w:color w:val="auto"/>
        </w:rPr>
      </w:pPr>
    </w:p>
    <w:p>
      <w:pPr>
        <w:ind w:right="520" w:firstLine="991"/>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Counterparts; Electronic Signatures; Status as Certificated Security</w:t>
      </w:r>
      <w:r>
        <w:rPr>
          <w:rFonts w:ascii="Arial" w:cs="Arial" w:eastAsia="Arial" w:hAnsi="Arial"/>
          <w:sz w:val="17"/>
          <w:szCs w:val="17"/>
          <w:color w:val="auto"/>
        </w:rPr>
        <w:t>. This Warrant may be executed by one or more of the parties hereto in any number of separate counterparts, all of which together shall constitute one and the same instrument. The Company, Holder and any other party hereto may execute this Warrant by electronic means and each party hereto recognizes and accepts the use of electronic signatures, including any Electronic Signature as defined in the Electronic Transactions Law (2003 Revision) of the Cayman Islands (the “</w:t>
      </w:r>
      <w:r>
        <w:rPr>
          <w:rFonts w:ascii="Arial" w:cs="Arial" w:eastAsia="Arial" w:hAnsi="Arial"/>
          <w:sz w:val="17"/>
          <w:szCs w:val="17"/>
          <w:b w:val="1"/>
          <w:bCs w:val="1"/>
          <w:u w:val="single" w:color="auto"/>
          <w:color w:val="auto"/>
        </w:rPr>
        <w:t>Cayman Islands Electronic Signature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Law</w:t>
      </w:r>
      <w:r>
        <w:rPr>
          <w:rFonts w:ascii="Arial" w:cs="Arial" w:eastAsia="Arial" w:hAnsi="Arial"/>
          <w:sz w:val="17"/>
          <w:szCs w:val="17"/>
          <w:color w:val="auto"/>
        </w:rPr>
        <w:t>”), and the keeping of records in electronic form, including any Electronic Record, as defined in Cayman Islands Electronic Signature Law, by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party hereto in connection with the execution and storage hereof. To the extent that this Warrant or any agreement subject to the terms hereof or any amendment hereto is executed, recorded or delivered electronically, it shall be binding to the same extent as though it had been executed on paper with an original ink signature, as provided under applicable law, including, without limitation, any state law based on the Uniform Electronic Transactions Act or the Cayman Islands Electronic Signature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sections 8 and 19(3) of the Cayman Islands Electronic Signature Law shall not apply to this Warrant or the execution or delivery hereof. The fact that this Warrant is executed, signed, stored or delivered electronically shall not prevent the transfer by any Holder of this Warrant pursuant to Section 5.4 or the enforcement of the terms hereof. To the extent that the original of this Warrant is an electronic original, this Warrant, and any copies hereof, shall NOT be deemed to be a “certificated security” within the meaning of section 8102(a)(4) of the California Commercial Code. Physical possession of the original of this Warrant or any paper copy thereof shall confer no special status to the bearer thereof.</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left="980"/>
        <w:spacing w:after="0"/>
        <w:tabs>
          <w:tab w:leader="none" w:pos="1460" w:val="left"/>
          <w:tab w:leader="none" w:pos="90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Business Day</w:t>
      </w:r>
      <w:r>
        <w:rPr>
          <w:rFonts w:ascii="Arial" w:cs="Arial" w:eastAsia="Arial" w:hAnsi="Arial"/>
          <w:sz w:val="18"/>
          <w:szCs w:val="18"/>
          <w:color w:val="auto"/>
        </w:rPr>
        <w:t>” is any day that is not a Saturday, Sunday or a day on which</w:t>
      </w:r>
      <w:r>
        <w:rPr>
          <w:sz w:val="20"/>
          <w:szCs w:val="20"/>
          <w:color w:val="auto"/>
        </w:rPr>
        <w:tab/>
      </w:r>
      <w:r>
        <w:rPr>
          <w:rFonts w:ascii="Arial" w:cs="Arial" w:eastAsia="Arial" w:hAnsi="Arial"/>
          <w:sz w:val="16"/>
          <w:szCs w:val="16"/>
          <w:color w:val="auto"/>
        </w:rPr>
        <w:t>is closed.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GOVERNING LAW, VENUE, JURY TRIAL WAIVER,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JUDICIAL REFERENCE</w:t>
      </w:r>
      <w:r>
        <w:rPr>
          <w:rFonts w:ascii="Arial" w:cs="Arial" w:eastAsia="Arial" w:hAnsi="Arial"/>
          <w:sz w:val="18"/>
          <w:szCs w:val="18"/>
          <w:color w:val="auto"/>
        </w:rPr>
        <w:t>.</w:t>
      </w:r>
    </w:p>
    <w:p>
      <w:pPr>
        <w:spacing w:after="0" w:line="211"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37" w:name="page238"/>
    <w:bookmarkEnd w:id="237"/>
    <w:p>
      <w:pPr>
        <w:ind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6.2 </w:t>
      </w:r>
      <w:r>
        <w:rPr>
          <w:rFonts w:ascii="Arial" w:cs="Arial" w:eastAsia="Arial" w:hAnsi="Arial"/>
          <w:sz w:val="16"/>
          <w:szCs w:val="16"/>
          <w:u w:val="single" w:color="auto"/>
          <w:color w:val="auto"/>
        </w:rPr>
        <w:t>Jurisdiction and Venue</w:t>
      </w:r>
      <w:r>
        <w:rPr>
          <w:rFonts w:ascii="Arial" w:cs="Arial" w:eastAsia="Arial" w:hAnsi="Arial"/>
          <w:sz w:val="16"/>
          <w:szCs w:val="16"/>
          <w:color w:val="auto"/>
        </w:rPr>
        <w:t>. The Company and Holder each submit to the exclusive jurisdiction of the State and Federal courts in Santa Clara County, California; provided, however, that nothing in this Warrant shall be deemed to operate to preclude Holder from bringing suit or taking other legal action in any other jurisdiction to enforce a judgment or other court order in favor of Holder. The Company expressly submits and consents in advance to such jurisdiction in any action or suit commenced in any such court, and the Company hereby waives any objection that it may have based upon lack of personal jurisdiction, improper venue, or forum non conveniens and hereby consents to the granting of such legal or equitable relief as is deemed appropriate by such court. The Company hereby waives personal service of the summons, complaints, and other process issued in such action or suit and agrees that service of such summons, complaints, and other process may be made in accordance with Section 7.5 of this Warrant.</w:t>
      </w:r>
    </w:p>
    <w:p>
      <w:pPr>
        <w:spacing w:after="0" w:line="162"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Jury Trial Waiver</w:t>
      </w:r>
      <w:r>
        <w:rPr>
          <w:rFonts w:ascii="Arial" w:cs="Arial" w:eastAsia="Arial" w:hAnsi="Arial"/>
          <w:sz w:val="18"/>
          <w:szCs w:val="18"/>
          <w:color w:val="auto"/>
        </w:rPr>
        <w:t xml:space="preserve">. </w:t>
      </w:r>
      <w:r>
        <w:rPr>
          <w:rFonts w:ascii="Arial" w:cs="Arial" w:eastAsia="Arial" w:hAnsi="Arial"/>
          <w:sz w:val="18"/>
          <w:szCs w:val="18"/>
          <w:b w:val="1"/>
          <w:bCs w:val="1"/>
          <w:color w:val="auto"/>
        </w:rPr>
        <w:t>TO THE FULLEST EXTENT PERMITTED BY APPLICABLE LAW, THE COMPANY AND HOLDER</w:t>
      </w:r>
      <w:r>
        <w:rPr>
          <w:rFonts w:ascii="Arial" w:cs="Arial" w:eastAsia="Arial" w:hAnsi="Arial"/>
          <w:sz w:val="18"/>
          <w:szCs w:val="18"/>
          <w:color w:val="auto"/>
        </w:rPr>
        <w:t xml:space="preserve"> </w:t>
      </w:r>
      <w:r>
        <w:rPr>
          <w:rFonts w:ascii="Arial" w:cs="Arial" w:eastAsia="Arial" w:hAnsi="Arial"/>
          <w:sz w:val="18"/>
          <w:szCs w:val="18"/>
          <w:b w:val="1"/>
          <w:bCs w:val="1"/>
          <w:color w:val="auto"/>
        </w:rPr>
        <w:t>EACH WAIVE THEIR RIGHT TO A JURY TRIAL OF ANY CLAIM OR CAUSE OF ACTION ARISING OUT OF OR BASED UPON THIS WARRANT, THE LOAN AGREEMENT OR ANY CONTEMPLATED TRANSACTION, INCLUDING CONTRACT, TORT, BREACH OF DUTY AND ALL OTHER CLAIMS. THIS WAIVER IS A MATERIAL INDUCEMENT FOR THE PARTIES’ AGREEMENT TO THIS WARRANT. EACH PARTY HAS REVIEWED THIS WAIVER WITH ITS COUNSEL</w:t>
      </w:r>
      <w:r>
        <w:rPr>
          <w:rFonts w:ascii="Arial" w:cs="Arial" w:eastAsia="Arial" w:hAnsi="Arial"/>
          <w:sz w:val="18"/>
          <w:szCs w:val="18"/>
          <w:color w:val="auto"/>
        </w:rPr>
        <w:t>.</w:t>
      </w:r>
    </w:p>
    <w:p>
      <w:pPr>
        <w:spacing w:after="0" w:line="183"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Judicial Reference</w:t>
      </w:r>
      <w:r>
        <w:rPr>
          <w:rFonts w:ascii="Arial" w:cs="Arial" w:eastAsia="Arial" w:hAnsi="Arial"/>
          <w:sz w:val="16"/>
          <w:szCs w:val="16"/>
          <w:color w:val="auto"/>
        </w:rPr>
        <w:t xml:space="preserve">. </w:t>
      </w:r>
      <w:r>
        <w:rPr>
          <w:rFonts w:ascii="Arial" w:cs="Arial" w:eastAsia="Arial" w:hAnsi="Arial"/>
          <w:sz w:val="16"/>
          <w:szCs w:val="16"/>
          <w:b w:val="1"/>
          <w:bCs w:val="1"/>
          <w:color w:val="auto"/>
        </w:rPr>
        <w:t>WITHOUT INTENDING IN ANY WAY TO LIMIT THE PARTIES’ AGREEMENT TO WAIVE THEIR</w:t>
      </w:r>
      <w:r>
        <w:rPr>
          <w:rFonts w:ascii="Arial" w:cs="Arial" w:eastAsia="Arial" w:hAnsi="Arial"/>
          <w:sz w:val="16"/>
          <w:szCs w:val="16"/>
          <w:color w:val="auto"/>
        </w:rPr>
        <w:t xml:space="preserve"> </w:t>
      </w:r>
      <w:r>
        <w:rPr>
          <w:rFonts w:ascii="Arial" w:cs="Arial" w:eastAsia="Arial" w:hAnsi="Arial"/>
          <w:sz w:val="16"/>
          <w:szCs w:val="16"/>
          <w:b w:val="1"/>
          <w:bCs w:val="1"/>
          <w:color w:val="auto"/>
        </w:rPr>
        <w:t>RESPECTIVE RIGHT TO A TRIAL BY JURY</w:t>
      </w:r>
      <w:r>
        <w:rPr>
          <w:rFonts w:ascii="Arial" w:cs="Arial" w:eastAsia="Arial" w:hAnsi="Arial"/>
          <w:sz w:val="16"/>
          <w:szCs w:val="16"/>
          <w:color w:val="auto"/>
        </w:rPr>
        <w:t>, if the waiver of the right to a trial by jury in Section 6.3 above is not enforceable, the parties agree</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Section 6.4 shall limit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38" w:name="page239"/>
    <w:bookmarkEnd w:id="238"/>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 of any party at any time to exercise self-help remedies or obtain provisional remedies. The private judge shall also determine all issues relating to the applicability, interpretation, and enforceability of this Section 6.4.</w:t>
      </w:r>
    </w:p>
    <w:p>
      <w:pPr>
        <w:spacing w:after="0" w:line="170"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This Section 6 shall survive the termination of this Warrant.</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[Remainder of page left blank intentionally]</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follows]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40"/>
          </w:cols>
          <w:pgMar w:left="440" w:top="274" w:right="619" w:bottom="1440" w:gutter="0" w:footer="0" w:header="0"/>
        </w:sectPr>
      </w:pPr>
    </w:p>
    <w:bookmarkStart w:id="239" w:name="page240"/>
    <w:bookmarkEnd w:id="239"/>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Amended and Restated Warrant to Purchase Stock to be executed as a Deed by their duly authorized representatives effective as of the Issue Date written above.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86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“ORIGINAL ISSUER”</w:t>
            </w:r>
          </w:p>
        </w:tc>
        <w:tc>
          <w:tcPr>
            <w:tcW w:w="0" w:type="dxa"/>
            <w:vAlign w:val="bottom"/>
          </w:tcPr>
          <w:p>
            <w:pPr>
              <w:spacing w:after="0"/>
              <w:rPr>
                <w:sz w:val="1"/>
                <w:szCs w:val="1"/>
                <w:color w:val="auto"/>
              </w:rPr>
            </w:pPr>
          </w:p>
        </w:tc>
      </w:tr>
      <w:tr>
        <w:trPr>
          <w:trHeight w:val="23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ALX ONCOLOGY HOLDINGS INC.</w:t>
            </w:r>
          </w:p>
        </w:tc>
        <w:tc>
          <w:tcPr>
            <w:tcW w:w="860" w:type="dxa"/>
            <w:vAlign w:val="bottom"/>
          </w:tcPr>
          <w:p>
            <w:pPr>
              <w:spacing w:after="0"/>
              <w:rPr>
                <w:sz w:val="20"/>
                <w:szCs w:val="20"/>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(solely with respect to Paragraph A above)</w:t>
            </w:r>
          </w:p>
        </w:tc>
        <w:tc>
          <w:tcPr>
            <w:tcW w:w="0" w:type="dxa"/>
            <w:vAlign w:val="bottom"/>
          </w:tcPr>
          <w:p>
            <w:pPr>
              <w:spacing w:after="0"/>
              <w:rPr>
                <w:sz w:val="1"/>
                <w:szCs w:val="1"/>
                <w:color w:val="auto"/>
              </w:rPr>
            </w:pPr>
          </w:p>
        </w:tc>
      </w:tr>
      <w:tr>
        <w:trPr>
          <w:trHeight w:val="121"/>
        </w:trPr>
        <w:tc>
          <w:tcPr>
            <w:tcW w:w="376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6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SIGNED AND DELIVERED </w:t>
            </w:r>
            <w:r>
              <w:rPr>
                <w:rFonts w:ascii="Arial" w:cs="Arial" w:eastAsia="Arial" w:hAnsi="Arial"/>
                <w:sz w:val="18"/>
                <w:szCs w:val="18"/>
                <w:color w:val="auto"/>
              </w:rPr>
              <w:t>for an on behalf of and as the deed of ALX</w:t>
            </w: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line="203" w:lineRule="exact"/>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6400" w:type="dxa"/>
            <w:vAlign w:val="bottom"/>
            <w:gridSpan w:val="3"/>
          </w:tcPr>
          <w:p>
            <w:pPr>
              <w:spacing w:after="0" w:line="203" w:lineRule="exact"/>
              <w:rPr>
                <w:sz w:val="20"/>
                <w:szCs w:val="20"/>
                <w:color w:val="auto"/>
              </w:rPr>
            </w:pPr>
            <w:r>
              <w:rPr>
                <w:rFonts w:ascii="Arial" w:cs="Arial" w:eastAsia="Arial" w:hAnsi="Arial"/>
                <w:sz w:val="18"/>
                <w:szCs w:val="18"/>
                <w:color w:val="auto"/>
              </w:rPr>
              <w:t>ONCOLOGY LIMITED by its lawfully appointed attorney</w:t>
            </w:r>
          </w:p>
        </w:tc>
        <w:tc>
          <w:tcPr>
            <w:tcW w:w="0" w:type="dxa"/>
            <w:vAlign w:val="bottom"/>
          </w:tcPr>
          <w:p>
            <w:pPr>
              <w:spacing w:after="0"/>
              <w:rPr>
                <w:sz w:val="1"/>
                <w:szCs w:val="1"/>
                <w:color w:val="auto"/>
              </w:rPr>
            </w:pPr>
          </w:p>
        </w:tc>
      </w:tr>
      <w:tr>
        <w:trPr>
          <w:trHeight w:val="217"/>
        </w:trPr>
        <w:tc>
          <w:tcPr>
            <w:tcW w:w="3760" w:type="dxa"/>
            <w:vAlign w:val="bottom"/>
            <w:gridSpan w:val="2"/>
          </w:tcPr>
          <w:p>
            <w:pPr>
              <w:spacing w:after="0"/>
              <w:rPr>
                <w:sz w:val="20"/>
                <w:szCs w:val="20"/>
                <w:color w:val="auto"/>
              </w:rPr>
            </w:pPr>
            <w:r>
              <w:rPr>
                <w:rFonts w:ascii="Arial" w:cs="Arial" w:eastAsia="Arial" w:hAnsi="Arial"/>
                <w:sz w:val="18"/>
                <w:szCs w:val="18"/>
                <w:color w:val="auto"/>
              </w:rPr>
              <w:t>Name:</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0" w:type="dxa"/>
            <w:vAlign w:val="bottom"/>
          </w:tcPr>
          <w:p>
            <w:pPr>
              <w:ind w:left="40"/>
              <w:spacing w:after="0"/>
              <w:rPr>
                <w:sz w:val="20"/>
                <w:szCs w:val="20"/>
                <w:color w:val="auto"/>
              </w:rPr>
            </w:pPr>
            <w:r>
              <w:rPr>
                <w:rFonts w:ascii="Arial" w:cs="Arial" w:eastAsia="Arial" w:hAnsi="Arial"/>
                <w:sz w:val="18"/>
                <w:szCs w:val="18"/>
                <w:color w:val="auto"/>
              </w:rPr>
              <w:t>in the presence of:</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Borders>
              <w:top w:val="single" w:sz="8" w:color="auto"/>
            </w:tcBorders>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0" w:type="dxa"/>
            <w:vAlign w:val="bottom"/>
            <w:gridSpan w:val="2"/>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(Signature of Witness)</w:t>
            </w: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(Name of Witness)</w:t>
            </w: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(Address of Witness)</w:t>
            </w: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0" w:type="dxa"/>
            <w:vAlign w:val="bottom"/>
            <w:tcBorders>
              <w:bottom w:val="single" w:sz="8" w:color="auto"/>
            </w:tcBorders>
            <w:gridSpan w:val="2"/>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“HOLDER”</w:t>
            </w:r>
          </w:p>
        </w:tc>
        <w:tc>
          <w:tcPr>
            <w:tcW w:w="86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(Occupation of Witness)</w:t>
            </w:r>
          </w:p>
        </w:tc>
        <w:tc>
          <w:tcPr>
            <w:tcW w:w="0" w:type="dxa"/>
            <w:vAlign w:val="bottom"/>
          </w:tcPr>
          <w:p>
            <w:pPr>
              <w:spacing w:after="0"/>
              <w:rPr>
                <w:sz w:val="1"/>
                <w:szCs w:val="1"/>
                <w:color w:val="auto"/>
              </w:rPr>
            </w:pPr>
          </w:p>
        </w:tc>
      </w:tr>
      <w:tr>
        <w:trPr>
          <w:trHeight w:val="215"/>
        </w:trPr>
        <w:tc>
          <w:tcPr>
            <w:tcW w:w="376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760" w:type="dxa"/>
            <w:vAlign w:val="bottom"/>
            <w:gridSpan w:val="2"/>
          </w:tcPr>
          <w:p>
            <w:pPr>
              <w:spacing w:after="0"/>
              <w:rPr>
                <w:sz w:val="20"/>
                <w:szCs w:val="20"/>
                <w:color w:val="auto"/>
              </w:rPr>
            </w:pPr>
            <w:r>
              <w:rPr>
                <w:rFonts w:ascii="Arial" w:cs="Arial" w:eastAsia="Arial" w:hAnsi="Arial"/>
                <w:sz w:val="18"/>
                <w:szCs w:val="18"/>
                <w:color w:val="auto"/>
              </w:rPr>
              <w:t>Name:</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19"/>
                <w:szCs w:val="19"/>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(Print)</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60" w:type="dxa"/>
            <w:vAlign w:val="bottom"/>
            <w:gridSpan w:val="3"/>
          </w:tcPr>
          <w:p>
            <w:pPr>
              <w:jc w:val="right"/>
              <w:ind w:right="1330"/>
              <w:spacing w:after="0"/>
              <w:rPr>
                <w:sz w:val="20"/>
                <w:szCs w:val="20"/>
                <w:color w:val="auto"/>
              </w:rPr>
            </w:pPr>
            <w:r>
              <w:rPr>
                <w:rFonts w:ascii="Arial" w:cs="Arial" w:eastAsia="Arial" w:hAnsi="Arial"/>
                <w:sz w:val="18"/>
                <w:szCs w:val="18"/>
                <w:color w:val="auto"/>
              </w:rPr>
              <w:t>14</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80" w:type="dxa"/>
            <w:vAlign w:val="bottom"/>
          </w:tcPr>
          <w:p>
            <w:pPr>
              <w:ind w:left="1640"/>
              <w:spacing w:after="0"/>
              <w:rPr>
                <w:sz w:val="20"/>
                <w:szCs w:val="20"/>
                <w:color w:val="auto"/>
              </w:rPr>
            </w:pPr>
            <w:r>
              <w:rPr>
                <w:rFonts w:ascii="Arial" w:cs="Arial" w:eastAsia="Arial" w:hAnsi="Arial"/>
                <w:sz w:val="18"/>
                <w:szCs w:val="18"/>
                <w:b w:val="1"/>
                <w:bCs w:val="1"/>
                <w:color w:val="auto"/>
                <w:w w:val="91"/>
              </w:rPr>
              <w:t>Exhibit 4.3</w:t>
            </w:r>
          </w:p>
        </w:tc>
      </w:tr>
      <w:tr>
        <w:trPr>
          <w:trHeight w:val="43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jc w:val="center"/>
              <w:ind w:left="330"/>
              <w:spacing w:after="0"/>
              <w:rPr>
                <w:sz w:val="20"/>
                <w:szCs w:val="20"/>
                <w:color w:val="auto"/>
              </w:rPr>
            </w:pPr>
            <w:r>
              <w:rPr>
                <w:rFonts w:ascii="Arial" w:cs="Arial" w:eastAsia="Arial" w:hAnsi="Arial"/>
                <w:sz w:val="18"/>
                <w:szCs w:val="18"/>
                <w:color w:val="auto"/>
                <w:w w:val="96"/>
              </w:rPr>
              <w:t>APPENDIX 1</w:t>
            </w: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91"/>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gridSpan w:val="3"/>
          </w:tcPr>
          <w:p>
            <w:pPr>
              <w:jc w:val="center"/>
              <w:ind w:right="2120"/>
              <w:spacing w:after="0"/>
              <w:rPr>
                <w:sz w:val="20"/>
                <w:szCs w:val="20"/>
                <w:color w:val="auto"/>
              </w:rPr>
            </w:pPr>
            <w:r>
              <w:rPr>
                <w:rFonts w:ascii="Arial" w:cs="Arial" w:eastAsia="Arial" w:hAnsi="Arial"/>
                <w:sz w:val="18"/>
                <w:szCs w:val="18"/>
                <w:color w:val="auto"/>
                <w:w w:val="94"/>
              </w:rPr>
              <w:t>NOTICE OF EXERCISE</w:t>
            </w:r>
          </w:p>
        </w:tc>
        <w:tc>
          <w:tcPr>
            <w:tcW w:w="24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34"/>
        </w:trPr>
        <w:tc>
          <w:tcPr>
            <w:tcW w:w="660" w:type="dxa"/>
            <w:vAlign w:val="bottom"/>
          </w:tcPr>
          <w:p>
            <w:pPr>
              <w:ind w:left="440"/>
              <w:spacing w:after="0"/>
              <w:rPr>
                <w:sz w:val="20"/>
                <w:szCs w:val="20"/>
                <w:color w:val="auto"/>
              </w:rPr>
            </w:pPr>
            <w:r>
              <w:rPr>
                <w:rFonts w:ascii="Arial" w:cs="Arial" w:eastAsia="Arial" w:hAnsi="Arial"/>
                <w:sz w:val="18"/>
                <w:szCs w:val="18"/>
                <w:color w:val="auto"/>
              </w:rPr>
              <w:t>1.</w:t>
            </w:r>
          </w:p>
        </w:tc>
        <w:tc>
          <w:tcPr>
            <w:tcW w:w="5360" w:type="dxa"/>
            <w:vAlign w:val="bottom"/>
            <w:gridSpan w:val="6"/>
          </w:tcPr>
          <w:p>
            <w:pPr>
              <w:ind w:left="80"/>
              <w:spacing w:after="0"/>
              <w:rPr>
                <w:sz w:val="20"/>
                <w:szCs w:val="20"/>
                <w:color w:val="auto"/>
              </w:rPr>
            </w:pPr>
            <w:r>
              <w:rPr>
                <w:rFonts w:ascii="Arial" w:cs="Arial" w:eastAsia="Arial" w:hAnsi="Arial"/>
                <w:sz w:val="18"/>
                <w:szCs w:val="18"/>
                <w:color w:val="auto"/>
              </w:rPr>
              <w:t>The undersigned Holder hereby exercises its right to purchase</w:t>
            </w:r>
          </w:p>
        </w:tc>
        <w:tc>
          <w:tcPr>
            <w:tcW w:w="2520" w:type="dxa"/>
            <w:vAlign w:val="bottom"/>
            <w:gridSpan w:val="2"/>
          </w:tcPr>
          <w:p>
            <w:pPr>
              <w:spacing w:after="0"/>
              <w:rPr>
                <w:sz w:val="20"/>
                <w:szCs w:val="20"/>
                <w:color w:val="auto"/>
              </w:rPr>
            </w:pPr>
            <w:r>
              <w:rPr>
                <w:rFonts w:ascii="Arial" w:cs="Arial" w:eastAsia="Arial" w:hAnsi="Arial"/>
                <w:sz w:val="18"/>
                <w:szCs w:val="18"/>
                <w:color w:val="auto"/>
              </w:rPr>
              <w:t>shares of the Common/Series</w:t>
            </w:r>
          </w:p>
        </w:tc>
        <w:tc>
          <w:tcPr>
            <w:tcW w:w="2480" w:type="dxa"/>
            <w:vAlign w:val="bottom"/>
          </w:tcPr>
          <w:p>
            <w:pPr>
              <w:ind w:left="400"/>
              <w:spacing w:after="0"/>
              <w:rPr>
                <w:sz w:val="20"/>
                <w:szCs w:val="20"/>
                <w:color w:val="auto"/>
              </w:rPr>
            </w:pPr>
            <w:r>
              <w:rPr>
                <w:rFonts w:ascii="Arial" w:cs="Arial" w:eastAsia="Arial" w:hAnsi="Arial"/>
                <w:sz w:val="18"/>
                <w:szCs w:val="18"/>
                <w:color w:val="auto"/>
                <w:w w:val="94"/>
              </w:rPr>
              <w:t>Preferred [circle one] Stock</w:t>
            </w:r>
          </w:p>
        </w:tc>
      </w:tr>
      <w:tr>
        <w:trPr>
          <w:trHeight w:val="194"/>
        </w:trPr>
        <w:tc>
          <w:tcPr>
            <w:tcW w:w="660" w:type="dxa"/>
            <w:vAlign w:val="bottom"/>
          </w:tcPr>
          <w:p>
            <w:pPr>
              <w:spacing w:after="0" w:line="194" w:lineRule="exact"/>
              <w:rPr>
                <w:sz w:val="20"/>
                <w:szCs w:val="20"/>
                <w:color w:val="auto"/>
              </w:rPr>
            </w:pPr>
            <w:r>
              <w:rPr>
                <w:rFonts w:ascii="Arial" w:cs="Arial" w:eastAsia="Arial" w:hAnsi="Arial"/>
                <w:sz w:val="18"/>
                <w:szCs w:val="18"/>
                <w:color w:val="auto"/>
              </w:rPr>
              <w:t>of</w:t>
            </w:r>
          </w:p>
        </w:tc>
        <w:tc>
          <w:tcPr>
            <w:tcW w:w="440" w:type="dxa"/>
            <w:vAlign w:val="bottom"/>
          </w:tcPr>
          <w:p>
            <w:pPr>
              <w:spacing w:after="0"/>
              <w:rPr>
                <w:sz w:val="16"/>
                <w:szCs w:val="16"/>
                <w:color w:val="auto"/>
              </w:rPr>
            </w:pPr>
          </w:p>
        </w:tc>
        <w:tc>
          <w:tcPr>
            <w:tcW w:w="9920" w:type="dxa"/>
            <w:vAlign w:val="bottom"/>
            <w:gridSpan w:val="8"/>
          </w:tcPr>
          <w:p>
            <w:pPr>
              <w:ind w:left="220"/>
              <w:spacing w:after="0" w:line="194" w:lineRule="exact"/>
              <w:rPr>
                <w:sz w:val="20"/>
                <w:szCs w:val="20"/>
                <w:color w:val="auto"/>
              </w:rPr>
            </w:pPr>
            <w:r>
              <w:rPr>
                <w:rFonts w:ascii="Arial" w:cs="Arial" w:eastAsia="Arial" w:hAnsi="Arial"/>
                <w:sz w:val="18"/>
                <w:szCs w:val="18"/>
                <w:color w:val="auto"/>
                <w:w w:val="89"/>
              </w:rPr>
              <w:t>(the “</w:t>
            </w:r>
            <w:r>
              <w:rPr>
                <w:rFonts w:ascii="Arial" w:cs="Arial" w:eastAsia="Arial" w:hAnsi="Arial"/>
                <w:sz w:val="18"/>
                <w:szCs w:val="18"/>
                <w:b w:val="1"/>
                <w:bCs w:val="1"/>
                <w:color w:val="auto"/>
                <w:w w:val="89"/>
              </w:rPr>
              <w:t>Company</w:t>
            </w:r>
            <w:r>
              <w:rPr>
                <w:rFonts w:ascii="Arial" w:cs="Arial" w:eastAsia="Arial" w:hAnsi="Arial"/>
                <w:sz w:val="18"/>
                <w:szCs w:val="18"/>
                <w:color w:val="auto"/>
                <w:w w:val="89"/>
              </w:rPr>
              <w:t>”) in accordance with the attached Warrant To Purchase Stock, and tenders payment of the aggregate Warrant Price for</w:t>
            </w:r>
          </w:p>
        </w:tc>
      </w:tr>
      <w:tr>
        <w:trPr>
          <w:trHeight w:val="237"/>
        </w:trPr>
        <w:tc>
          <w:tcPr>
            <w:tcW w:w="1720" w:type="dxa"/>
            <w:vAlign w:val="bottom"/>
            <w:gridSpan w:val="3"/>
          </w:tcPr>
          <w:p>
            <w:pPr>
              <w:spacing w:after="0"/>
              <w:rPr>
                <w:sz w:val="20"/>
                <w:szCs w:val="20"/>
                <w:color w:val="auto"/>
              </w:rPr>
            </w:pPr>
            <w:r>
              <w:rPr>
                <w:rFonts w:ascii="Arial" w:cs="Arial" w:eastAsia="Arial" w:hAnsi="Arial"/>
                <w:sz w:val="18"/>
                <w:szCs w:val="18"/>
                <w:color w:val="auto"/>
                <w:w w:val="91"/>
              </w:rPr>
              <w:t>such shares as follows:</w:t>
            </w:r>
          </w:p>
        </w:tc>
        <w:tc>
          <w:tcPr>
            <w:tcW w:w="74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38"/>
        </w:trPr>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320" w:type="dxa"/>
            <w:vAlign w:val="bottom"/>
            <w:gridSpan w:val="3"/>
          </w:tcPr>
          <w:p>
            <w:pPr>
              <w:ind w:left="240"/>
              <w:spacing w:after="0"/>
              <w:rPr>
                <w:sz w:val="20"/>
                <w:szCs w:val="20"/>
                <w:color w:val="auto"/>
              </w:rPr>
            </w:pPr>
            <w:r>
              <w:rPr>
                <w:rFonts w:ascii="Arial" w:cs="Arial" w:eastAsia="Arial" w:hAnsi="Arial"/>
                <w:sz w:val="18"/>
                <w:szCs w:val="18"/>
                <w:color w:val="auto"/>
              </w:rPr>
              <w:t>check in the amount of $</w:t>
            </w:r>
          </w:p>
        </w:tc>
        <w:tc>
          <w:tcPr>
            <w:tcW w:w="5120" w:type="dxa"/>
            <w:vAlign w:val="bottom"/>
            <w:gridSpan w:val="4"/>
          </w:tcPr>
          <w:p>
            <w:pPr>
              <w:ind w:left="280"/>
              <w:spacing w:after="0"/>
              <w:rPr>
                <w:sz w:val="20"/>
                <w:szCs w:val="20"/>
                <w:color w:val="auto"/>
              </w:rPr>
            </w:pPr>
            <w:r>
              <w:rPr>
                <w:rFonts w:ascii="Arial" w:cs="Arial" w:eastAsia="Arial" w:hAnsi="Arial"/>
                <w:sz w:val="18"/>
                <w:szCs w:val="18"/>
                <w:color w:val="auto"/>
              </w:rPr>
              <w:t>payable to order of the Company enclosed herewith</w:t>
            </w:r>
          </w:p>
        </w:tc>
        <w:tc>
          <w:tcPr>
            <w:tcW w:w="2480" w:type="dxa"/>
            <w:vAlign w:val="bottom"/>
          </w:tcPr>
          <w:p>
            <w:pPr>
              <w:spacing w:after="0"/>
              <w:rPr>
                <w:sz w:val="24"/>
                <w:szCs w:val="24"/>
                <w:color w:val="auto"/>
              </w:rPr>
            </w:pPr>
          </w:p>
        </w:tc>
      </w:tr>
    </w:tbl>
    <w:p>
      <w:pPr>
        <w:spacing w:after="0" w:line="94" w:lineRule="exact"/>
        <w:rPr>
          <w:sz w:val="20"/>
          <w:szCs w:val="20"/>
          <w:color w:val="auto"/>
        </w:rPr>
      </w:pPr>
    </w:p>
    <w:p>
      <w:pPr>
        <w:ind w:left="820" w:hanging="379"/>
        <w:spacing w:after="0"/>
        <w:tabs>
          <w:tab w:leader="none" w:pos="8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Wire transfer of immediately available funds to the Company’s account</w:t>
      </w:r>
    </w:p>
    <w:p>
      <w:pPr>
        <w:spacing w:after="0" w:line="117" w:lineRule="exact"/>
        <w:rPr>
          <w:sz w:val="20"/>
          <w:szCs w:val="20"/>
          <w:color w:val="auto"/>
        </w:rPr>
      </w:pPr>
    </w:p>
    <w:p>
      <w:pPr>
        <w:ind w:left="820" w:hanging="379"/>
        <w:spacing w:after="0"/>
        <w:tabs>
          <w:tab w:leader="none" w:pos="8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Cashless Exercise pursuant to Section 1.2 of the Warrant</w:t>
      </w:r>
    </w:p>
    <w:p>
      <w:pPr>
        <w:spacing w:after="0" w:line="117" w:lineRule="exact"/>
        <w:rPr>
          <w:sz w:val="20"/>
          <w:szCs w:val="20"/>
          <w:color w:val="auto"/>
        </w:rPr>
      </w:pPr>
    </w:p>
    <w:p>
      <w:pPr>
        <w:ind w:left="820" w:hanging="379"/>
        <w:spacing w:after="0"/>
        <w:tabs>
          <w:tab w:leader="none" w:pos="8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-10160</wp:posOffset>
            </wp:positionV>
            <wp:extent cx="43129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12920" cy="8890"/>
                    </a:xfrm>
                    <a:prstGeom prst="rect">
                      <a:avLst/>
                    </a:prstGeom>
                    <a:noFill/>
                  </pic:spPr>
                </pic:pic>
              </a:graphicData>
            </a:graphic>
          </wp:anchor>
        </w:drawing>
      </w:r>
    </w:p>
    <w:p>
      <w:pPr>
        <w:spacing w:after="0" w:line="205" w:lineRule="exact"/>
        <w:rPr>
          <w:sz w:val="20"/>
          <w:szCs w:val="20"/>
          <w:color w:val="auto"/>
        </w:rPr>
      </w:pPr>
    </w:p>
    <w:p>
      <w:pPr>
        <w:jc w:val="center"/>
        <w:ind w:left="3420" w:right="3640" w:hanging="2984"/>
        <w:spacing w:after="0" w:line="813" w:lineRule="auto"/>
        <w:tabs>
          <w:tab w:leader="none" w:pos="75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 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-452120</wp:posOffset>
            </wp:positionV>
            <wp:extent cx="25114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-160655</wp:posOffset>
            </wp:positionV>
            <wp:extent cx="25114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11425" cy="8255"/>
                    </a:xfrm>
                    <a:prstGeom prst="rect">
                      <a:avLst/>
                    </a:prstGeom>
                    <a:noFill/>
                  </pic:spPr>
                </pic:pic>
              </a:graphicData>
            </a:graphic>
          </wp:anchor>
        </w:drawing>
        <w:drawing>
          <wp:anchor simplePos="0" relativeHeight="251657728" behindDoc="1" locked="0" layoutInCell="0" allowOverlap="1">
            <wp:simplePos x="0" y="0"/>
            <wp:positionH relativeFrom="column">
              <wp:posOffset>1266190</wp:posOffset>
            </wp:positionH>
            <wp:positionV relativeFrom="paragraph">
              <wp:posOffset>-6350</wp:posOffset>
            </wp:positionV>
            <wp:extent cx="251142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ind w:left="362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180" w:firstLine="436"/>
        <w:spacing w:after="0" w:line="277" w:lineRule="auto"/>
        <w:tabs>
          <w:tab w:leader="none" w:pos="7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151765</wp:posOffset>
            </wp:positionV>
            <wp:extent cx="27946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14605</wp:posOffset>
            </wp:positionV>
            <wp:extent cx="24003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[OMITTED]</w:t>
      </w:r>
    </w:p>
    <w:p>
      <w:pPr>
        <w:sectPr>
          <w:pgSz w:w="11900" w:h="16838" w:orient="portrait"/>
          <w:cols w:equalWidth="0" w:num="1">
            <w:col w:w="9019"/>
          </w:cols>
          <w:pgMar w:left="1440" w:top="274" w:right="1440" w:bottom="1440" w:gutter="0" w:footer="0" w:header="0"/>
        </w:sectPr>
      </w:pPr>
    </w:p>
    <w:bookmarkStart w:id="242" w:name="page243"/>
    <w:bookmarkEnd w:id="242"/>
    <w:p>
      <w:pPr>
        <w:ind w:left="10004"/>
        <w:spacing w:after="0"/>
        <w:rPr>
          <w:sz w:val="20"/>
          <w:szCs w:val="20"/>
          <w:color w:val="auto"/>
        </w:rPr>
      </w:pPr>
      <w:r>
        <w:rPr>
          <w:rFonts w:ascii="Arial" w:cs="Arial" w:eastAsia="Arial" w:hAnsi="Arial"/>
          <w:sz w:val="16"/>
          <w:szCs w:val="16"/>
          <w:b w:val="1"/>
          <w:bCs w:val="1"/>
          <w:color w:val="auto"/>
        </w:rPr>
        <w:t>Exhibit 10.12</w:t>
      </w:r>
    </w:p>
    <w:p>
      <w:pPr>
        <w:spacing w:after="0" w:line="252" w:lineRule="exact"/>
        <w:rPr>
          <w:sz w:val="20"/>
          <w:szCs w:val="20"/>
          <w:color w:val="auto"/>
        </w:rPr>
      </w:pPr>
    </w:p>
    <w:p>
      <w:pPr>
        <w:jc w:val="center"/>
        <w:ind w:left="440" w:right="100"/>
        <w:spacing w:after="0" w:line="263" w:lineRule="auto"/>
        <w:rPr>
          <w:sz w:val="20"/>
          <w:szCs w:val="20"/>
          <w:color w:val="auto"/>
        </w:rPr>
      </w:pPr>
      <w:r>
        <w:rPr>
          <w:rFonts w:ascii="Arial" w:cs="Arial" w:eastAsia="Arial" w:hAnsi="Arial"/>
          <w:sz w:val="18"/>
          <w:szCs w:val="18"/>
          <w:color w:val="auto"/>
        </w:rPr>
        <w:t>SPECIFIC TERMS IN THIS EXHIBIT HAVE BEEN REDACTED BECAUSE CONFIDENTIAL TREATMENT FOR THOSE TERMS HAS BEEN REQUESTED. THE REDACTED MATERIAL HAS BEEN SEPARATELY FILED WITH THE SECURITIES AND EXCHANGE COMMISSION, AND THE TERMS HAVE BEEN MARKED AT THE APPROPRIATE PLACE WITH THREE ASTERISKS [***].</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EXCLUSIVE (EQUITY) AGREEMENT</w:t>
      </w:r>
    </w:p>
    <w:p>
      <w:pPr>
        <w:spacing w:after="0" w:line="229" w:lineRule="exact"/>
        <w:rPr>
          <w:sz w:val="20"/>
          <w:szCs w:val="20"/>
          <w:color w:val="auto"/>
        </w:rPr>
      </w:pPr>
    </w:p>
    <w:p>
      <w:pPr>
        <w:ind w:left="444" w:right="260"/>
        <w:spacing w:after="0" w:line="311" w:lineRule="auto"/>
        <w:rPr>
          <w:sz w:val="20"/>
          <w:szCs w:val="20"/>
          <w:color w:val="auto"/>
        </w:rPr>
      </w:pPr>
      <w:r>
        <w:rPr>
          <w:rFonts w:ascii="Arial" w:cs="Arial" w:eastAsia="Arial" w:hAnsi="Arial"/>
          <w:sz w:val="16"/>
          <w:szCs w:val="16"/>
          <w:color w:val="auto"/>
        </w:rPr>
        <w:t>This Exclusive (Equity) Agreement (“Agreement”) between THE BOARD OF TRUSTEES OF THE LELAND STANFORD JUNIOR UNIVERSITY (“Stanford”), an institution of higher education having powers under the laws of the State of California, and Alexo Therapeutics International, (“Alexo”), a Cayman Islands exempted company is effective on the 24th day of March, 2015 (“Effective Date”).</w:t>
      </w:r>
    </w:p>
    <w:p>
      <w:pPr>
        <w:spacing w:after="0" w:line="293" w:lineRule="exact"/>
        <w:rPr>
          <w:sz w:val="20"/>
          <w:szCs w:val="20"/>
          <w:color w:val="auto"/>
        </w:rPr>
      </w:pPr>
    </w:p>
    <w:p>
      <w:pPr>
        <w:ind w:left="424" w:hanging="424"/>
        <w:spacing w:after="0"/>
        <w:tabs>
          <w:tab w:leader="none" w:pos="42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w:t>
      </w:r>
    </w:p>
    <w:p>
      <w:pPr>
        <w:spacing w:after="0" w:line="121" w:lineRule="exact"/>
        <w:rPr>
          <w:rFonts w:ascii="Arial" w:cs="Arial" w:eastAsia="Arial" w:hAnsi="Arial"/>
          <w:sz w:val="18"/>
          <w:szCs w:val="18"/>
          <w:b w:val="1"/>
          <w:bCs w:val="1"/>
          <w:color w:val="auto"/>
        </w:rPr>
      </w:pPr>
    </w:p>
    <w:p>
      <w:pPr>
        <w:ind w:left="444" w:right="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Stanford has an assignment of an invention that are [***] useful in treating diseases such as cancer. It is entitled ***] was invented in the laboratory of Drs. Chris Garcia and Irving Weissman, and is described in [***]. The invention was made in the course of research supported by the Howard Hughes Medical Institute (“HHMI”), the National Institutes of Health (NIH), and Ludwig Center at Stanford. HHMI has assigned its rights in such invention to Stanford and Stanford has the authority to license the entire interest in the invention subject to the reservation of rights to HHMI specified in this Agreement. In addition, Stanford is nonexclusively licensing a number of inventions in order to provide freedom to operate should claims be issued to such applications that would be necessary to practice the Licensed Patents. These include [***] Stanford wants to have the inventions perfected and marketed as soon as possible so that resulting products may be available for public use and benefit.</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4" w:lineRule="exact"/>
        <w:rPr>
          <w:rFonts w:ascii="Arial" w:cs="Arial" w:eastAsia="Arial" w:hAnsi="Arial"/>
          <w:sz w:val="18"/>
          <w:szCs w:val="18"/>
          <w:b w:val="1"/>
          <w:bCs w:val="1"/>
          <w:color w:val="auto"/>
        </w:rPr>
      </w:pPr>
    </w:p>
    <w:p>
      <w:pPr>
        <w:ind w:left="964" w:right="40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 “Exclusive” means that, subject to Articles 3 and 5, Stanford will not grant further licenses under the Licensed Patents in the Licensed Field of Use in the Licensed Territory.</w:t>
      </w:r>
    </w:p>
    <w:p>
      <w:pPr>
        <w:spacing w:after="0" w:line="197"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2.2    “FDA” means the United States Food and Drug Administration, or any successor thereto.</w:t>
      </w:r>
    </w:p>
    <w:p>
      <w:pPr>
        <w:spacing w:after="0" w:line="252" w:lineRule="exact"/>
        <w:rPr>
          <w:rFonts w:ascii="Arial" w:cs="Arial" w:eastAsia="Arial" w:hAnsi="Arial"/>
          <w:sz w:val="18"/>
          <w:szCs w:val="18"/>
          <w:b w:val="1"/>
          <w:bCs w:val="1"/>
          <w:color w:val="auto"/>
        </w:rPr>
      </w:pPr>
    </w:p>
    <w:p>
      <w:pPr>
        <w:ind w:left="964" w:right="180" w:hanging="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2.3 “FD&amp;C Act” means the United States Federal Food, Drug and Cosmetic Act of 1938 and applicable regulations promulgated thereunder, as amended from time to time.</w:t>
      </w:r>
    </w:p>
    <w:p>
      <w:pPr>
        <w:spacing w:after="0" w:line="197" w:lineRule="exact"/>
        <w:rPr>
          <w:sz w:val="20"/>
          <w:szCs w:val="20"/>
          <w:color w:val="auto"/>
        </w:rPr>
      </w:pPr>
    </w:p>
    <w:p>
      <w:pPr>
        <w:ind w:left="964" w:right="80" w:hanging="539"/>
        <w:spacing w:after="0" w:line="311" w:lineRule="auto"/>
        <w:tabs>
          <w:tab w:leader="none" w:pos="94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“First Commercial Sale” of Licensed Product(s) means any transfer for value in an arms-length transaction to an independent third party distributor, agent or end user in a country after obtaining all approvals or authorizations from applicable regulatory authorities required for the manufacture, importation, marketing, promotion, pricing, reimbursement and sale of the Licensed Product(s) in such country.</w:t>
      </w:r>
    </w:p>
    <w:p>
      <w:pPr>
        <w:spacing w:after="0" w:line="81" w:lineRule="exact"/>
        <w:rPr>
          <w:sz w:val="20"/>
          <w:szCs w:val="20"/>
          <w:color w:val="auto"/>
        </w:rPr>
      </w:pPr>
    </w:p>
    <w:p>
      <w:pPr>
        <w:ind w:left="424" w:right="280" w:hanging="424"/>
        <w:spacing w:after="0" w:line="277" w:lineRule="auto"/>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4"/>
          </w:cols>
          <w:pgMar w:left="436" w:top="121" w:right="439" w:bottom="1440" w:gutter="0" w:footer="0" w:header="0"/>
        </w:sectPr>
      </w:pPr>
    </w:p>
    <w:bookmarkStart w:id="243" w:name="page244"/>
    <w:bookmarkEnd w:id="243"/>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2.5</w:t>
      </w:r>
      <w:r>
        <w:rPr>
          <w:sz w:val="20"/>
          <w:szCs w:val="20"/>
          <w:color w:val="auto"/>
        </w:rPr>
        <w:tab/>
      </w:r>
      <w:r>
        <w:rPr>
          <w:rFonts w:ascii="Arial" w:cs="Arial" w:eastAsia="Arial" w:hAnsi="Arial"/>
          <w:sz w:val="16"/>
          <w:szCs w:val="16"/>
          <w:color w:val="auto"/>
        </w:rPr>
        <w:t>“Fully Diluted Basis” means the total number of shares of Alexo’s issued and outstanding common stock, assuming:</w:t>
      </w:r>
    </w:p>
    <w:p>
      <w:pPr>
        <w:spacing w:after="0" w:line="117" w:lineRule="exact"/>
        <w:rPr>
          <w:sz w:val="20"/>
          <w:szCs w:val="20"/>
          <w:color w:val="auto"/>
        </w:rPr>
      </w:pPr>
    </w:p>
    <w:p>
      <w:pPr>
        <w:ind w:left="1284" w:hanging="293"/>
        <w:spacing w:after="0"/>
        <w:tabs>
          <w:tab w:leader="none" w:pos="128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conversion of all issued and outstanding securities convertible into common stock;</w:t>
      </w:r>
    </w:p>
    <w:p>
      <w:pPr>
        <w:spacing w:after="0" w:line="117" w:lineRule="exact"/>
        <w:rPr>
          <w:rFonts w:ascii="Arial" w:cs="Arial" w:eastAsia="Arial" w:hAnsi="Arial"/>
          <w:sz w:val="18"/>
          <w:szCs w:val="18"/>
          <w:color w:val="auto"/>
        </w:rPr>
      </w:pPr>
    </w:p>
    <w:p>
      <w:pPr>
        <w:ind w:left="1264"/>
        <w:spacing w:after="0"/>
        <w:rPr>
          <w:rFonts w:ascii="Arial" w:cs="Arial" w:eastAsia="Arial" w:hAnsi="Arial"/>
          <w:sz w:val="18"/>
          <w:szCs w:val="18"/>
          <w:color w:val="auto"/>
        </w:rPr>
      </w:pPr>
      <w:r>
        <w:rPr>
          <w:rFonts w:ascii="Arial" w:cs="Arial" w:eastAsia="Arial" w:hAnsi="Arial"/>
          <w:sz w:val="18"/>
          <w:szCs w:val="18"/>
          <w:color w:val="auto"/>
        </w:rPr>
        <w:t>the exercise of all issued and outstanding warrants or options, regardless of whether then exercisable; and</w:t>
      </w:r>
    </w:p>
    <w:p>
      <w:pPr>
        <w:spacing w:after="0" w:line="117" w:lineRule="exact"/>
        <w:rPr>
          <w:rFonts w:ascii="Arial" w:cs="Arial" w:eastAsia="Arial" w:hAnsi="Arial"/>
          <w:sz w:val="18"/>
          <w:szCs w:val="18"/>
          <w:color w:val="auto"/>
        </w:rPr>
      </w:pPr>
    </w:p>
    <w:p>
      <w:pPr>
        <w:ind w:left="1284" w:hanging="293"/>
        <w:spacing w:after="0"/>
        <w:tabs>
          <w:tab w:leader="none" w:pos="128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issuance, grant, and exercise of all securities reserved for issuance pursuant to any Alexo stock or stock option plan then in effect.</w:t>
      </w:r>
    </w:p>
    <w:p>
      <w:pPr>
        <w:spacing w:after="0" w:line="275" w:lineRule="exact"/>
        <w:rPr>
          <w:sz w:val="20"/>
          <w:szCs w:val="20"/>
          <w:color w:val="auto"/>
        </w:rPr>
      </w:pPr>
    </w:p>
    <w:p>
      <w:pPr>
        <w:ind w:left="964" w:right="380" w:hanging="539"/>
        <w:spacing w:after="0" w:line="277" w:lineRule="auto"/>
        <w:tabs>
          <w:tab w:leader="none" w:pos="944"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“Human Efficacy Proof-of-Concept Clinical Trial” means a Phase I Expansion Clinical Trial or Phase II Clinical Trial designed to test some measure of efficacy of the drug in question.</w:t>
      </w:r>
    </w:p>
    <w:p>
      <w:pPr>
        <w:spacing w:after="0" w:line="19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“HHMI Indemnitees” means HHMI and its trustees, officers, employees, and agents.</w:t>
      </w:r>
    </w:p>
    <w:p>
      <w:pPr>
        <w:spacing w:after="0" w:line="252" w:lineRule="exact"/>
        <w:rPr>
          <w:sz w:val="20"/>
          <w:szCs w:val="20"/>
          <w:color w:val="auto"/>
        </w:rPr>
      </w:pPr>
    </w:p>
    <w:p>
      <w:pPr>
        <w:ind w:left="964" w:right="240" w:hanging="539"/>
        <w:spacing w:after="0" w:line="311" w:lineRule="auto"/>
        <w:tabs>
          <w:tab w:leader="none" w:pos="94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“IND” means an investigational new drug application, as defined in the FD&amp;C Act, or any equivalent document filed with the FDA and necessary for beginning clinical trials of any product in humans or any application or other documentation filed with any Regulatory Authority of a country other than the United States prior to beginning clinical trials of any product in humans in that country.</w:t>
      </w:r>
    </w:p>
    <w:p>
      <w:pPr>
        <w:spacing w:after="0" w:line="17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“Licensed Field of Use” means:</w:t>
      </w:r>
    </w:p>
    <w:p>
      <w:pPr>
        <w:spacing w:after="0" w:line="113" w:lineRule="exact"/>
        <w:rPr>
          <w:sz w:val="20"/>
          <w:szCs w:val="20"/>
          <w:color w:val="auto"/>
        </w:rPr>
      </w:pPr>
    </w:p>
    <w:p>
      <w:pPr>
        <w:ind w:left="1244" w:hanging="253"/>
        <w:spacing w:after="0"/>
        <w:tabs>
          <w:tab w:leader="none" w:pos="12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SIRP</w:t>
      </w:r>
      <w:r>
        <w:rPr>
          <w:rFonts w:ascii="Arial" w:cs="Arial" w:eastAsia="Arial" w:hAnsi="Arial"/>
          <w:sz w:val="18"/>
          <w:szCs w:val="18"/>
          <w:b w:val="1"/>
          <w:bCs w:val="1"/>
          <w:color w:val="auto"/>
        </w:rPr>
        <w:t>α</w:t>
      </w:r>
      <w:r>
        <w:rPr>
          <w:rFonts w:ascii="Arial" w:cs="Arial" w:eastAsia="Arial" w:hAnsi="Arial"/>
          <w:sz w:val="18"/>
          <w:szCs w:val="18"/>
          <w:color w:val="auto"/>
        </w:rPr>
        <w:t xml:space="preserve"> Component for use (a) [***] or (b) [***].</w:t>
      </w:r>
    </w:p>
    <w:p>
      <w:pPr>
        <w:spacing w:after="0" w:line="121" w:lineRule="exact"/>
        <w:rPr>
          <w:rFonts w:ascii="Arial" w:cs="Arial" w:eastAsia="Arial" w:hAnsi="Arial"/>
          <w:sz w:val="18"/>
          <w:szCs w:val="18"/>
          <w:color w:val="auto"/>
        </w:rPr>
      </w:pPr>
    </w:p>
    <w:p>
      <w:pPr>
        <w:ind w:left="1244" w:hanging="253"/>
        <w:spacing w:after="0"/>
        <w:tabs>
          <w:tab w:leader="none" w:pos="12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Licensed Field of Use specifically excludes [***].</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SIRPα Component [***].</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SIRPα Component [***].</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 containing SIRPα or any [***].</w:t>
      </w:r>
    </w:p>
    <w:p>
      <w:pPr>
        <w:spacing w:after="0" w:line="117" w:lineRule="exact"/>
        <w:rPr>
          <w:rFonts w:ascii="Arial" w:cs="Arial" w:eastAsia="Arial" w:hAnsi="Arial"/>
          <w:sz w:val="18"/>
          <w:szCs w:val="18"/>
          <w:color w:val="auto"/>
        </w:rPr>
      </w:pPr>
    </w:p>
    <w:p>
      <w:pPr>
        <w:ind w:left="984" w:firstLine="7"/>
        <w:spacing w:after="0" w:line="277" w:lineRule="auto"/>
        <w:tabs>
          <w:tab w:leader="none" w:pos="123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avoidance of doubt, the grant of a license to use a SIRPα Component [***] does not explicitly or implicitly grant Alexo a license to [***].</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means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“SIRPα Component” means [***].</w:t>
      </w:r>
    </w:p>
    <w:p>
      <w:pPr>
        <w:spacing w:after="0" w:line="25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“Licensed Patents” means Stanford’s U.S. Patent Application, Serial Number [***], and any patents issued in respect of such applications;</w:t>
      </w:r>
    </w:p>
    <w:p>
      <w:pPr>
        <w:spacing w:after="0" w:line="23" w:lineRule="exact"/>
        <w:rPr>
          <w:sz w:val="20"/>
          <w:szCs w:val="20"/>
          <w:color w:val="auto"/>
        </w:rPr>
      </w:pPr>
    </w:p>
    <w:p>
      <w:pPr>
        <w:jc w:val="both"/>
        <w:ind w:left="964" w:right="220" w:firstLine="8"/>
        <w:spacing w:after="0" w:line="273" w:lineRule="auto"/>
        <w:tabs>
          <w:tab w:leader="none" w:pos="1229" w:val="left"/>
        </w:tabs>
        <w:numPr>
          <w:ilvl w:val="1"/>
          <w:numId w:val="161"/>
        </w:numPr>
        <w:rPr>
          <w:rFonts w:ascii="Arial" w:cs="Arial" w:eastAsia="Arial" w:hAnsi="Arial"/>
          <w:sz w:val="17"/>
          <w:szCs w:val="17"/>
          <w:color w:val="auto"/>
        </w:rPr>
      </w:pPr>
      <w:r>
        <w:rPr>
          <w:rFonts w:ascii="Arial" w:cs="Arial" w:eastAsia="Arial" w:hAnsi="Arial"/>
          <w:sz w:val="17"/>
          <w:szCs w:val="17"/>
          <w:color w:val="auto"/>
        </w:rPr>
        <w:t>any continuation, division or continuation-in-part (to the extent such continuation-in-part relates to the Licensed Field of Use) of the patents and patent applications described in clause (i), (iii) any reissue, reexamination or extension of the patents and patent applications described in clauses (i) or (ii); and (iv) any foreign patent application or Letters Patent or supplementary protection certificates or the equivalent thereof in respect of the patents and patent applications described in clauses (i)-(iii).</w:t>
      </w:r>
    </w:p>
    <w:p>
      <w:pPr>
        <w:spacing w:after="0" w:line="108" w:lineRule="exact"/>
        <w:rPr>
          <w:rFonts w:ascii="Arial" w:cs="Arial" w:eastAsia="Arial" w:hAnsi="Arial"/>
          <w:sz w:val="17"/>
          <w:szCs w:val="17"/>
          <w:color w:val="auto"/>
        </w:rPr>
      </w:pPr>
    </w:p>
    <w:p>
      <w:pPr>
        <w:ind w:left="424" w:right="260" w:hanging="424"/>
        <w:spacing w:after="0" w:line="277" w:lineRule="auto"/>
        <w:tabs>
          <w:tab w:leader="none" w:pos="4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4"/>
          </w:cols>
          <w:pgMar w:left="436" w:top="274" w:right="459" w:bottom="1440" w:gutter="0" w:footer="0" w:header="0"/>
        </w:sectPr>
      </w:pPr>
    </w:p>
    <w:bookmarkStart w:id="244" w:name="page245"/>
    <w:bookmarkEnd w:id="244"/>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2.11</w:t>
      </w:r>
      <w:r>
        <w:rPr>
          <w:sz w:val="20"/>
          <w:szCs w:val="20"/>
          <w:color w:val="auto"/>
        </w:rPr>
        <w:tab/>
      </w:r>
      <w:r>
        <w:rPr>
          <w:rFonts w:ascii="Arial" w:cs="Arial" w:eastAsia="Arial" w:hAnsi="Arial"/>
          <w:sz w:val="17"/>
          <w:szCs w:val="17"/>
          <w:color w:val="auto"/>
        </w:rPr>
        <w:t>“Licensed Product” means [***] products:</w:t>
      </w:r>
    </w:p>
    <w:p>
      <w:pPr>
        <w:spacing w:after="0" w:line="117" w:lineRule="exact"/>
        <w:rPr>
          <w:sz w:val="20"/>
          <w:szCs w:val="20"/>
          <w:color w:val="auto"/>
        </w:rPr>
      </w:pPr>
    </w:p>
    <w:p>
      <w:pPr>
        <w:ind w:left="984" w:right="320"/>
        <w:spacing w:after="0" w:line="277" w:lineRule="auto"/>
        <w:rPr>
          <w:sz w:val="20"/>
          <w:szCs w:val="20"/>
          <w:color w:val="auto"/>
        </w:rPr>
      </w:pPr>
      <w:r>
        <w:rPr>
          <w:rFonts w:ascii="Arial" w:cs="Arial" w:eastAsia="Arial" w:hAnsi="Arial"/>
          <w:sz w:val="18"/>
          <w:szCs w:val="18"/>
          <w:color w:val="auto"/>
        </w:rPr>
        <w:t>the making, using, importing or selling of which, absent the license granted under this Agreement, would infringe a Valid Claim in the Licensed Patents or Nonexclusive Licensed Patents.</w:t>
      </w:r>
    </w:p>
    <w:p>
      <w:pPr>
        <w:spacing w:after="0" w:line="19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“Licensed Territory” means worldwide.</w:t>
      </w:r>
    </w:p>
    <w:p>
      <w:pPr>
        <w:spacing w:after="0" w:line="252" w:lineRule="exact"/>
        <w:rPr>
          <w:sz w:val="20"/>
          <w:szCs w:val="20"/>
          <w:color w:val="auto"/>
        </w:rPr>
      </w:pPr>
    </w:p>
    <w:p>
      <w:pPr>
        <w:ind w:left="964" w:right="20" w:hanging="539"/>
        <w:spacing w:after="0" w:line="286" w:lineRule="auto"/>
        <w:tabs>
          <w:tab w:leader="none" w:pos="944"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 xml:space="preserve">“Net Sales” means the aggregate amounts invoiced for sales or transfers for value of Licensed Products by Alexo, its affiliates or any of its sublicensees to an independent third party distributor, agent or end user (other than sales of Licensed Products at cost by Alexo, its affiliates or sublicensees to a third party for use in a clinical study prior to regulatory approval of such Licensed Product)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deductions selected as appropriate from: (i) customary discounts in the trade for quantity purchased, prompt payment or wholesalers and distributors;</w:t>
      </w:r>
    </w:p>
    <w:p>
      <w:pPr>
        <w:spacing w:after="0" w:line="1" w:lineRule="exact"/>
        <w:rPr>
          <w:sz w:val="20"/>
          <w:szCs w:val="20"/>
          <w:color w:val="auto"/>
        </w:rPr>
      </w:pPr>
    </w:p>
    <w:p>
      <w:pPr>
        <w:ind w:left="964" w:firstLine="8"/>
        <w:spacing w:after="0" w:line="269" w:lineRule="auto"/>
        <w:tabs>
          <w:tab w:leader="none" w:pos="1229"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credits or refunds separately and actually credited or paid to customers for defective, spoiled, damaged, outdated or returned Licensed Products that do not exceed the original invoice amount; (iii) discounts mandated by, or granted to meet the requirements of, applicable state, provincial or federal law, paid or credited to a wholesaler, purchaser, third party or other contractee including required chargebacks and retroactive price reductions; (iv) rebates actually paid or credited to any governmental agency (or branch thereof) or to any third party payor, administrator or contractee; (v) sales, excise or use taxes paid, absorbed or allowed excluding net income tax, imposed upon the sale of the Licensed Product; and (vi) prepaid outbound transportation expenses and transportation insurance premiums that are separately billed to the customer or prepaid.</w:t>
      </w:r>
    </w:p>
    <w:p>
      <w:pPr>
        <w:spacing w:after="0" w:line="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In the event the Licensed Product is sold [***], or [***], the Net Sales [***], shall be determined by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Net Sales shall not include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Net Sales shall not include [***].</w:t>
      </w:r>
    </w:p>
    <w:p>
      <w:pPr>
        <w:spacing w:after="0" w:line="252" w:lineRule="exact"/>
        <w:rPr>
          <w:sz w:val="20"/>
          <w:szCs w:val="20"/>
          <w:color w:val="auto"/>
        </w:rPr>
      </w:pPr>
    </w:p>
    <w:p>
      <w:pPr>
        <w:ind w:left="964" w:right="80" w:hanging="539"/>
        <w:spacing w:after="0" w:line="263" w:lineRule="auto"/>
        <w:tabs>
          <w:tab w:leader="none" w:pos="944" w:val="left"/>
        </w:tabs>
        <w:rPr>
          <w:sz w:val="20"/>
          <w:szCs w:val="20"/>
          <w:color w:val="auto"/>
        </w:rPr>
      </w:pPr>
      <w:r>
        <w:rPr>
          <w:rFonts w:ascii="Arial" w:cs="Arial" w:eastAsia="Arial" w:hAnsi="Arial"/>
          <w:sz w:val="18"/>
          <w:szCs w:val="18"/>
          <w:color w:val="auto"/>
        </w:rPr>
        <w:t>2.14</w:t>
        <w:tab/>
        <w:t>“Nonexclusive Licensed Patents” means Stanford’s U.S. Patent Application Serial Nos. [***]; (2) any continuation, division or continuation-in-part (to the extent such continuation-in-part relates to the Licensed Products and the Licensed Field of Use) of such patent application; (3) any reissue, reexamination or extension of such patent application; or</w:t>
      </w:r>
    </w:p>
    <w:p>
      <w:pPr>
        <w:spacing w:after="0" w:line="76" w:lineRule="exact"/>
        <w:rPr>
          <w:sz w:val="20"/>
          <w:szCs w:val="20"/>
          <w:color w:val="auto"/>
        </w:rPr>
      </w:pPr>
    </w:p>
    <w:p>
      <w:pPr>
        <w:ind w:left="984" w:right="320" w:firstLine="7"/>
        <w:spacing w:after="0" w:line="263" w:lineRule="auto"/>
        <w:tabs>
          <w:tab w:leader="none" w:pos="123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foreign patent application or Letters Patent or supplementary protection certificates or the equivalent thereof in respect of such patent application, that would be infringed by the practice of the Licensed Patents to make, have made, use, import and sell Licensed Products for use in the Licensed Field of Use.</w:t>
      </w:r>
    </w:p>
    <w:p>
      <w:pPr>
        <w:spacing w:after="0" w:line="211" w:lineRule="exact"/>
        <w:rPr>
          <w:sz w:val="20"/>
          <w:szCs w:val="20"/>
          <w:color w:val="auto"/>
        </w:rPr>
      </w:pPr>
    </w:p>
    <w:p>
      <w:pPr>
        <w:ind w:left="964" w:right="320" w:hanging="539"/>
        <w:spacing w:after="0" w:line="277" w:lineRule="auto"/>
        <w:tabs>
          <w:tab w:leader="none" w:pos="944" w:val="left"/>
        </w:tabs>
        <w:rPr>
          <w:sz w:val="20"/>
          <w:szCs w:val="20"/>
          <w:color w:val="auto"/>
        </w:rPr>
      </w:pPr>
      <w:r>
        <w:rPr>
          <w:rFonts w:ascii="Arial" w:cs="Arial" w:eastAsia="Arial" w:hAnsi="Arial"/>
          <w:sz w:val="18"/>
          <w:szCs w:val="18"/>
          <w:color w:val="auto"/>
        </w:rPr>
        <w:t>2.15</w:t>
        <w:tab/>
        <w:t>“Nonroyalty Sublicensing Consideration” means any consideration received by Alexo from a sublicensee hereunder but excluding any consideration for:</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24" w:right="240" w:hanging="424"/>
        <w:spacing w:after="0" w:line="277" w:lineRule="auto"/>
        <w:tabs>
          <w:tab w:leader="none" w:pos="42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0984"/>
          </w:cols>
          <w:pgMar w:left="436" w:top="274" w:right="479" w:bottom="1440" w:gutter="0" w:footer="0" w:header="0"/>
        </w:sectPr>
      </w:pPr>
    </w:p>
    <w:bookmarkStart w:id="245" w:name="page246"/>
    <w:bookmarkEnd w:id="245"/>
    <w:p>
      <w:pPr>
        <w:ind w:left="964" w:right="100" w:hanging="539"/>
        <w:spacing w:after="0" w:line="277"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2.16</w:t>
        <w:tab/>
        <w:t>“Patent Matters” means preparing, filing, and prosecuting broad and extensive patent claims (including any interference or reexamination actions) for Stanford’s benefit in the Licensed Territory and for maintaining all Licensed Patents.</w:t>
      </w:r>
    </w:p>
    <w:p>
      <w:pPr>
        <w:spacing w:after="0" w:line="197" w:lineRule="exact"/>
        <w:rPr>
          <w:sz w:val="20"/>
          <w:szCs w:val="20"/>
          <w:color w:val="auto"/>
        </w:rPr>
      </w:pPr>
    </w:p>
    <w:p>
      <w:pPr>
        <w:ind w:left="964" w:right="40" w:hanging="539"/>
        <w:spacing w:after="0" w:line="342" w:lineRule="auto"/>
        <w:tabs>
          <w:tab w:leader="none" w:pos="944"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“Phase I Clinical Trial” means for the purpose of obtaining regulatory approval a study in humans the purpose of which is preliminary determination of safety of a Licensed Product in healthy individuals or patients that would satisfy the requirements of 21 C.F.R. 312.21(a).</w:t>
      </w:r>
    </w:p>
    <w:p>
      <w:pPr>
        <w:spacing w:after="0" w:line="151" w:lineRule="exact"/>
        <w:rPr>
          <w:sz w:val="20"/>
          <w:szCs w:val="20"/>
          <w:color w:val="auto"/>
        </w:rPr>
      </w:pPr>
    </w:p>
    <w:p>
      <w:pPr>
        <w:ind w:left="964" w:right="120" w:hanging="539"/>
        <w:spacing w:after="0" w:line="263" w:lineRule="auto"/>
        <w:tabs>
          <w:tab w:leader="none" w:pos="944" w:val="left"/>
        </w:tabs>
        <w:rPr>
          <w:sz w:val="20"/>
          <w:szCs w:val="20"/>
          <w:color w:val="auto"/>
        </w:rPr>
      </w:pPr>
      <w:r>
        <w:rPr>
          <w:rFonts w:ascii="Arial" w:cs="Arial" w:eastAsia="Arial" w:hAnsi="Arial"/>
          <w:sz w:val="18"/>
          <w:szCs w:val="18"/>
          <w:color w:val="auto"/>
        </w:rPr>
        <w:t>2.18</w:t>
        <w:tab/>
        <w:t>“Phase I Expansion Clinical Trial” means a study in humans the purpose of which is further determination of safety and preliminary determination of signs of efficacy of a Licensed Product in patients of defined disease parameters after the initial completion of a Phase 1 dose escalation study.</w:t>
      </w:r>
    </w:p>
    <w:p>
      <w:pPr>
        <w:spacing w:after="0" w:line="211" w:lineRule="exact"/>
        <w:rPr>
          <w:sz w:val="20"/>
          <w:szCs w:val="20"/>
          <w:color w:val="auto"/>
        </w:rPr>
      </w:pPr>
    </w:p>
    <w:p>
      <w:pPr>
        <w:ind w:left="964" w:hanging="539"/>
        <w:spacing w:after="0" w:line="263" w:lineRule="auto"/>
        <w:tabs>
          <w:tab w:leader="none" w:pos="944" w:val="left"/>
        </w:tabs>
        <w:rPr>
          <w:sz w:val="20"/>
          <w:szCs w:val="20"/>
          <w:color w:val="auto"/>
        </w:rPr>
      </w:pPr>
      <w:r>
        <w:rPr>
          <w:rFonts w:ascii="Arial" w:cs="Arial" w:eastAsia="Arial" w:hAnsi="Arial"/>
          <w:sz w:val="18"/>
          <w:szCs w:val="18"/>
          <w:color w:val="auto"/>
        </w:rPr>
        <w:t>2.19</w:t>
        <w:tab/>
        <w:t>“Phase II Clinical Trial” means for the purpose of obtaining regulatory approval a study in humans of the safety, dose range and efficacy of a Licensed Product that is prospectively designed to generate sufficient data to commence a Phase III Clinical Trial that would satisfy the requirements of 21 C.F.R. 312.21(b).</w:t>
      </w:r>
    </w:p>
    <w:p>
      <w:pPr>
        <w:spacing w:after="0" w:line="211" w:lineRule="exact"/>
        <w:rPr>
          <w:sz w:val="20"/>
          <w:szCs w:val="20"/>
          <w:color w:val="auto"/>
        </w:rPr>
      </w:pPr>
    </w:p>
    <w:p>
      <w:pPr>
        <w:ind w:left="964" w:right="380" w:hanging="539"/>
        <w:spacing w:after="0" w:line="311" w:lineRule="auto"/>
        <w:tabs>
          <w:tab w:leader="none" w:pos="944"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“Phase III Clinical Trial” means a controlled study in humans of the efficacy and safety of a Licensed Product that is prospectively designed to demonstrate statistically whether such Licensed Product is effective and safe for use in a particular indication in a manner sufficient to obtain regulatory approval to market such Licensed Product that would satisfy the requirements of 21 C.F.R. 312.21(c).</w:t>
      </w:r>
    </w:p>
    <w:p>
      <w:pPr>
        <w:spacing w:after="0" w:line="176" w:lineRule="exact"/>
        <w:rPr>
          <w:sz w:val="20"/>
          <w:szCs w:val="20"/>
          <w:color w:val="auto"/>
        </w:rPr>
      </w:pPr>
    </w:p>
    <w:p>
      <w:pPr>
        <w:ind w:left="964" w:right="260" w:hanging="539"/>
        <w:spacing w:after="0" w:line="277" w:lineRule="auto"/>
        <w:tabs>
          <w:tab w:leader="none" w:pos="944" w:val="left"/>
        </w:tabs>
        <w:rPr>
          <w:sz w:val="20"/>
          <w:szCs w:val="20"/>
          <w:color w:val="auto"/>
        </w:rPr>
      </w:pPr>
      <w:r>
        <w:rPr>
          <w:rFonts w:ascii="Arial" w:cs="Arial" w:eastAsia="Arial" w:hAnsi="Arial"/>
          <w:sz w:val="18"/>
          <w:szCs w:val="18"/>
          <w:color w:val="auto"/>
        </w:rPr>
        <w:t>2.21</w:t>
        <w:tab/>
        <w:t>“Regulatory Authority” means any national, supra-national, regional, state or local regulatory agency, department, bureau, commission, council or other governmental entity in the Territory, including, without limitation, the FDA.</w:t>
      </w:r>
    </w:p>
    <w:p>
      <w:pPr>
        <w:spacing w:after="0" w:line="197" w:lineRule="exact"/>
        <w:rPr>
          <w:sz w:val="20"/>
          <w:szCs w:val="20"/>
          <w:color w:val="auto"/>
        </w:rPr>
      </w:pPr>
    </w:p>
    <w:p>
      <w:pPr>
        <w:ind w:left="964" w:right="280" w:hanging="539"/>
        <w:spacing w:after="0" w:line="277" w:lineRule="auto"/>
        <w:tabs>
          <w:tab w:leader="none" w:pos="944" w:val="left"/>
        </w:tabs>
        <w:rPr>
          <w:sz w:val="20"/>
          <w:szCs w:val="20"/>
          <w:color w:val="auto"/>
        </w:rPr>
      </w:pPr>
      <w:r>
        <w:rPr>
          <w:rFonts w:ascii="Arial" w:cs="Arial" w:eastAsia="Arial" w:hAnsi="Arial"/>
          <w:sz w:val="18"/>
          <w:szCs w:val="18"/>
          <w:color w:val="auto"/>
        </w:rPr>
        <w:t>2.22</w:t>
        <w:tab/>
        <w:t>“Stanford Indemnitees” means Stanford and Stanford Hospitals and Clinics, and their respective trustees, officers, employees, students, agents, faculty, representatives, and volunteers.</w:t>
      </w:r>
    </w:p>
    <w:p>
      <w:pPr>
        <w:spacing w:after="0" w:line="197" w:lineRule="exact"/>
        <w:rPr>
          <w:sz w:val="20"/>
          <w:szCs w:val="20"/>
          <w:color w:val="auto"/>
        </w:rPr>
      </w:pPr>
    </w:p>
    <w:p>
      <w:pPr>
        <w:jc w:val="both"/>
        <w:ind w:left="964" w:right="220" w:hanging="539"/>
        <w:spacing w:after="0" w:line="263" w:lineRule="auto"/>
        <w:tabs>
          <w:tab w:leader="none" w:pos="944" w:val="left"/>
        </w:tabs>
        <w:rPr>
          <w:sz w:val="20"/>
          <w:szCs w:val="20"/>
          <w:color w:val="auto"/>
        </w:rPr>
      </w:pPr>
      <w:r>
        <w:rPr>
          <w:rFonts w:ascii="Arial" w:cs="Arial" w:eastAsia="Arial" w:hAnsi="Arial"/>
          <w:sz w:val="18"/>
          <w:szCs w:val="18"/>
          <w:color w:val="auto"/>
        </w:rPr>
        <w:t>2.23</w:t>
        <w:tab/>
        <w:t>“Sublicense(s)” means any agreement between Alexo and a third party that contains a grant to Stanford’s Licensed Patents regardless of the name given to the agreement by the parties; however, an agreement to make, have made, use or sell Licensed Products on behalf of Alexo is not considered a Sublicense.</w:t>
      </w:r>
    </w:p>
    <w:p>
      <w:pPr>
        <w:spacing w:after="0" w:line="211" w:lineRule="exact"/>
        <w:rPr>
          <w:sz w:val="20"/>
          <w:szCs w:val="20"/>
          <w:color w:val="auto"/>
        </w:rPr>
      </w:pPr>
    </w:p>
    <w:p>
      <w:pPr>
        <w:jc w:val="center"/>
        <w:ind w:right="-403"/>
        <w:spacing w:after="0"/>
        <w:tabs>
          <w:tab w:leader="none" w:pos="2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“Valid Claim” means (1) an unexpired claim of an issued patent which has not been found to be un-patentable, invalid or unenforceable by</w:t>
      </w:r>
    </w:p>
    <w:p>
      <w:pPr>
        <w:spacing w:after="0" w:line="23" w:lineRule="exact"/>
        <w:rPr>
          <w:sz w:val="20"/>
          <w:szCs w:val="20"/>
          <w:color w:val="auto"/>
        </w:rPr>
      </w:pPr>
    </w:p>
    <w:p>
      <w:pPr>
        <w:ind w:left="964" w:right="260"/>
        <w:spacing w:after="0" w:line="295" w:lineRule="auto"/>
        <w:rPr>
          <w:sz w:val="20"/>
          <w:szCs w:val="20"/>
          <w:color w:val="auto"/>
        </w:rPr>
      </w:pPr>
      <w:r>
        <w:rPr>
          <w:rFonts w:ascii="Arial" w:cs="Arial" w:eastAsia="Arial" w:hAnsi="Arial"/>
          <w:sz w:val="16"/>
          <w:szCs w:val="16"/>
          <w:color w:val="auto"/>
        </w:rPr>
        <w:t>a court or other authority in the subject country, from which decision no appeal is taken or can be taken; or (2) a claim of a pending application, which application claims a first priority no more than [***] years prior to the date upon which pendency is determined. For purposes of clarification, if a claim in an application has been pending for more than [***] years from its priority date, and a patent subsequently issues containing such claim, then upon issuance of the patent, the claim shall thereafter be considered a Valid Claim.</w:t>
      </w:r>
    </w:p>
    <w:p>
      <w:pPr>
        <w:spacing w:after="0" w:line="94" w:lineRule="exact"/>
        <w:rPr>
          <w:sz w:val="20"/>
          <w:szCs w:val="20"/>
          <w:color w:val="auto"/>
        </w:rPr>
      </w:pPr>
    </w:p>
    <w:p>
      <w:pPr>
        <w:ind w:left="424" w:right="240" w:hanging="424"/>
        <w:spacing w:after="0" w:line="277" w:lineRule="auto"/>
        <w:tabs>
          <w:tab w:leader="none" w:pos="42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0984"/>
          </w:cols>
          <w:pgMar w:left="436" w:top="274" w:right="479" w:bottom="1440" w:gutter="0" w:footer="0" w:header="0"/>
        </w:sectPr>
      </w:pPr>
    </w:p>
    <w:bookmarkStart w:id="246" w:name="page247"/>
    <w:bookmarkEnd w:id="246"/>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2.25</w:t>
      </w:r>
      <w:r>
        <w:rPr>
          <w:sz w:val="20"/>
          <w:szCs w:val="20"/>
          <w:color w:val="auto"/>
        </w:rPr>
        <w:tab/>
      </w:r>
      <w:r>
        <w:rPr>
          <w:rFonts w:ascii="Arial" w:cs="Arial" w:eastAsia="Arial" w:hAnsi="Arial"/>
          <w:sz w:val="16"/>
          <w:szCs w:val="16"/>
          <w:color w:val="auto"/>
        </w:rPr>
        <w:t>Other Defined Terms. The following terms shall have the meanings set forth in the section appearing opposite such term</w:t>
      </w:r>
    </w:p>
    <w:p>
      <w:pPr>
        <w:sectPr>
          <w:pgSz w:w="11900" w:h="16838" w:orient="portrait"/>
          <w:cols w:equalWidth="0" w:num="1">
            <w:col w:w="10984"/>
          </w:cols>
          <w:pgMar w:left="436" w:top="274" w:right="479" w:bottom="1440" w:gutter="0" w:footer="0" w:header="0"/>
        </w:sectPr>
      </w:pPr>
    </w:p>
    <w:p>
      <w:pPr>
        <w:spacing w:after="0" w:line="252" w:lineRule="exact"/>
        <w:rPr>
          <w:sz w:val="20"/>
          <w:szCs w:val="20"/>
          <w:color w:val="auto"/>
        </w:rPr>
      </w:pPr>
    </w:p>
    <w:p>
      <w:pPr>
        <w:ind w:left="1004"/>
        <w:spacing w:after="0"/>
        <w:rPr>
          <w:sz w:val="20"/>
          <w:szCs w:val="20"/>
          <w:color w:val="auto"/>
        </w:rPr>
      </w:pPr>
      <w:r>
        <w:rPr>
          <w:rFonts w:ascii="Arial" w:cs="Arial" w:eastAsia="Arial" w:hAnsi="Arial"/>
          <w:sz w:val="17"/>
          <w:szCs w:val="17"/>
          <w:color w:val="auto"/>
        </w:rPr>
        <w:t>“Agreement”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Recitals</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8"/>
          <w:szCs w:val="18"/>
          <w:color w:val="auto"/>
        </w:rPr>
        <w:t>“Alexo”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Recitals</w:t>
      </w:r>
    </w:p>
    <w:p>
      <w:pPr>
        <w:spacing w:after="0" w:line="139"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8"/>
          <w:szCs w:val="18"/>
          <w:color w:val="auto"/>
        </w:rPr>
        <w:t>“Claims”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10.1</w:t>
      </w:r>
    </w:p>
    <w:p>
      <w:pPr>
        <w:spacing w:after="0" w:line="139"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Recitals</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“First Round”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7.3</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8"/>
          <w:szCs w:val="18"/>
          <w:color w:val="auto"/>
        </w:rPr>
        <w:t>“HHMI”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w:t>
      </w:r>
    </w:p>
    <w:p>
      <w:pPr>
        <w:spacing w:after="0" w:line="139"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8"/>
          <w:szCs w:val="18"/>
          <w:color w:val="auto"/>
        </w:rPr>
        <w:t>“HHMI License”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3.3</w:t>
      </w:r>
    </w:p>
    <w:p>
      <w:pPr>
        <w:spacing w:after="0" w:line="139"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“Losses”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10.1</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“Major Market Countries”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7.8</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“Parent”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Section 7.2</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7"/>
          <w:szCs w:val="17"/>
          <w:color w:val="auto"/>
        </w:rPr>
        <w:t>“Stanford”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Recitals</w:t>
      </w:r>
    </w:p>
    <w:p>
      <w:pPr>
        <w:spacing w:after="0" w:line="14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ind w:left="1004"/>
        <w:spacing w:after="0"/>
        <w:rPr>
          <w:sz w:val="20"/>
          <w:szCs w:val="20"/>
          <w:color w:val="auto"/>
        </w:rPr>
      </w:pPr>
      <w:r>
        <w:rPr>
          <w:rFonts w:ascii="Arial" w:cs="Arial" w:eastAsia="Arial" w:hAnsi="Arial"/>
          <w:sz w:val="16"/>
          <w:szCs w:val="16"/>
          <w:color w:val="auto"/>
        </w:rPr>
        <w:t>“Successful Completion”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Appendix A.</w:t>
      </w:r>
    </w:p>
    <w:p>
      <w:pPr>
        <w:spacing w:after="0" w:line="200" w:lineRule="exact"/>
        <w:rPr>
          <w:sz w:val="20"/>
          <w:szCs w:val="20"/>
          <w:color w:val="auto"/>
        </w:rPr>
      </w:pPr>
    </w:p>
    <w:p>
      <w:pPr>
        <w:sectPr>
          <w:pgSz w:w="11900" w:h="16838" w:orient="portrait"/>
          <w:cols w:equalWidth="0" w:num="2">
            <w:col w:w="7104" w:space="720"/>
            <w:col w:w="3160"/>
          </w:cols>
          <w:pgMar w:left="436" w:top="274" w:right="479" w:bottom="1440" w:gutter="0" w:footer="0" w:header="0"/>
          <w:type w:val="continuous"/>
        </w:sectPr>
      </w:pPr>
    </w:p>
    <w:p>
      <w:pPr>
        <w:spacing w:after="0" w:line="181" w:lineRule="exact"/>
        <w:rPr>
          <w:sz w:val="20"/>
          <w:szCs w:val="20"/>
          <w:color w:val="auto"/>
        </w:rPr>
      </w:pPr>
    </w:p>
    <w:p>
      <w:pPr>
        <w:ind w:left="424" w:hanging="424"/>
        <w:spacing w:after="0"/>
        <w:tabs>
          <w:tab w:leader="none" w:pos="424"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GRANT</w:t>
      </w:r>
    </w:p>
    <w:p>
      <w:pPr>
        <w:spacing w:after="0" w:line="130" w:lineRule="exact"/>
        <w:rPr>
          <w:rFonts w:ascii="Arial" w:cs="Arial" w:eastAsia="Arial" w:hAnsi="Arial"/>
          <w:sz w:val="18"/>
          <w:szCs w:val="18"/>
          <w:b w:val="1"/>
          <w:bCs w:val="1"/>
          <w:color w:val="auto"/>
        </w:rPr>
      </w:pPr>
    </w:p>
    <w:p>
      <w:pPr>
        <w:ind w:left="964" w:hanging="54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Grant.</w:t>
      </w:r>
      <w:r>
        <w:rPr>
          <w:rFonts w:ascii="Arial" w:cs="Arial" w:eastAsia="Arial" w:hAnsi="Arial"/>
          <w:sz w:val="16"/>
          <w:szCs w:val="16"/>
          <w:color w:val="auto"/>
        </w:rPr>
        <w:t xml:space="preserve"> Subject to the terms and conditions of this Agreement, Stanford grants Alexo (i) a exclusive, royalty-bearing, license under the Licensed Patents, including the right to make, have made, use, import, offer to sell and sell Licensed Products in the Licensed Territory in the Licensed Field of Use; and (ii) a non-exclusive, royalty-bearing license under the Nonexclusive Licensed Patents, including the right to make, have made, use, import, offer to sell and sell Licensed Products in the Licensed Territory in the Licensed Field of Use.</w:t>
      </w:r>
    </w:p>
    <w:p>
      <w:pPr>
        <w:spacing w:after="0" w:line="177" w:lineRule="exact"/>
        <w:rPr>
          <w:rFonts w:ascii="Arial" w:cs="Arial" w:eastAsia="Arial" w:hAnsi="Arial"/>
          <w:sz w:val="18"/>
          <w:szCs w:val="18"/>
          <w:b w:val="1"/>
          <w:bCs w:val="1"/>
          <w:color w:val="auto"/>
        </w:rPr>
      </w:pPr>
    </w:p>
    <w:p>
      <w:pPr>
        <w:ind w:left="964" w:right="100" w:hanging="5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Term.</w:t>
      </w:r>
      <w:r>
        <w:rPr>
          <w:rFonts w:ascii="Arial" w:cs="Arial" w:eastAsia="Arial" w:hAnsi="Arial"/>
          <w:sz w:val="16"/>
          <w:szCs w:val="16"/>
          <w:color w:val="auto"/>
        </w:rPr>
        <w:t xml:space="preserve"> The license granted under Section 3.1 shall take effect as of the Effective date and will remain in effect on a Licensed Product-by-Licensed Product and country-by-country basis until the later of (i) the expiration or revocation or complete rejection of the last to expire or to be revoked or to be completely rejected of any Licensed Patents or Nonexclusive Licensed Patents covering such Licensed Product in the country in which the Licensed Product is manufactured or sold, or (ii) if no Licensed Patents or Nonexclusive Licensed Patents exists in the relevant country covering the manufacture, use or sale of the relevant Licensed Product, until 10 years from the First Commercial Sale of such Licensed Product in such country. Thereafter, the licenses shall be fully paid-up and royalty-free.</w:t>
      </w:r>
    </w:p>
    <w:p>
      <w:pPr>
        <w:spacing w:after="0" w:line="96" w:lineRule="exact"/>
        <w:rPr>
          <w:sz w:val="20"/>
          <w:szCs w:val="20"/>
          <w:color w:val="auto"/>
        </w:rPr>
      </w:pPr>
    </w:p>
    <w:p>
      <w:pPr>
        <w:ind w:left="424" w:right="240" w:hanging="424"/>
        <w:spacing w:after="0" w:line="277" w:lineRule="auto"/>
        <w:tabs>
          <w:tab w:leader="none" w:pos="42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0984"/>
          </w:cols>
          <w:pgMar w:left="436" w:top="274" w:right="479" w:bottom="1440" w:gutter="0" w:footer="0" w:header="0"/>
          <w:type w:val="continuous"/>
        </w:sectPr>
      </w:pPr>
    </w:p>
    <w:bookmarkStart w:id="247" w:name="page248"/>
    <w:bookmarkEnd w:id="247"/>
    <w:p>
      <w:pPr>
        <w:ind w:left="964" w:right="100" w:hanging="539"/>
        <w:spacing w:after="0" w:line="258"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3.3</w:t>
      </w:r>
      <w:r>
        <w:rPr>
          <w:sz w:val="20"/>
          <w:szCs w:val="20"/>
          <w:color w:val="auto"/>
        </w:rPr>
        <w:tab/>
      </w:r>
      <w:r>
        <w:rPr>
          <w:rFonts w:ascii="Arial" w:cs="Arial" w:eastAsia="Arial" w:hAnsi="Arial"/>
          <w:sz w:val="18"/>
          <w:szCs w:val="18"/>
          <w:b w:val="1"/>
          <w:bCs w:val="1"/>
          <w:color w:val="auto"/>
        </w:rPr>
        <w:t xml:space="preserve">Retained Rights. </w:t>
      </w:r>
      <w:r>
        <w:rPr>
          <w:rFonts w:ascii="Arial" w:cs="Arial" w:eastAsia="Arial" w:hAnsi="Arial"/>
          <w:sz w:val="18"/>
          <w:szCs w:val="18"/>
          <w:color w:val="auto"/>
        </w:rPr>
        <w:t>(A) Stanford retains the right, on behalf of itself and all other non- profit research institutions, to practice the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and the Nonexclusive Licensed Patents for any non-profit purpose, including sponsored research and collaborations. Alexo agrees that, notwithstanding any other provision of this Agreement, it has no right to enforce the Licensed Patents and Nonexclusive Licensed Patents against any such institution. Stanford and any such other institution have the right to publish any information included in the Nonexclusive Licensed Patents or a Licensed Patent.</w:t>
      </w:r>
    </w:p>
    <w:p>
      <w:pPr>
        <w:spacing w:after="0" w:line="79" w:lineRule="exact"/>
        <w:rPr>
          <w:sz w:val="20"/>
          <w:szCs w:val="20"/>
          <w:color w:val="auto"/>
        </w:rPr>
      </w:pPr>
    </w:p>
    <w:p>
      <w:pPr>
        <w:ind w:left="984" w:right="100" w:firstLine="7"/>
        <w:spacing w:after="0" w:line="259" w:lineRule="auto"/>
        <w:tabs>
          <w:tab w:leader="none" w:pos="126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Alexo acknowledges that it has been informed that the [***] Patents were developed, at least in part, by employees of HHMI and that HHMI has a paid-up, non-exclusive, irrevocable license to use the Licensed Patents or Nonexclusive Licensed Patents for HHMI’s research purposes, but with no right to assign or sublicense (the “HHMI License”). This Agreement is explicitly made subject to the HHMI License.</w:t>
      </w:r>
    </w:p>
    <w:p>
      <w:pPr>
        <w:spacing w:after="0" w:line="2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Other Rights</w:t>
      </w:r>
      <w:r>
        <w:rPr>
          <w:rFonts w:ascii="Arial" w:cs="Arial" w:eastAsia="Arial" w:hAnsi="Arial"/>
          <w:sz w:val="16"/>
          <w:szCs w:val="16"/>
          <w:color w:val="auto"/>
        </w:rPr>
        <w:t>.</w:t>
      </w:r>
    </w:p>
    <w:p>
      <w:pPr>
        <w:spacing w:after="0" w:line="121" w:lineRule="exact"/>
        <w:rPr>
          <w:sz w:val="20"/>
          <w:szCs w:val="20"/>
          <w:color w:val="auto"/>
        </w:rPr>
      </w:pPr>
    </w:p>
    <w:p>
      <w:pPr>
        <w:ind w:left="984" w:right="20" w:firstLine="7"/>
        <w:spacing w:after="0" w:line="259" w:lineRule="auto"/>
        <w:tabs>
          <w:tab w:leader="none" w:pos="1159" w:val="left"/>
        </w:tabs>
        <w:numPr>
          <w:ilvl w:val="0"/>
          <w:numId w:val="169"/>
        </w:numPr>
        <w:rPr>
          <w:rFonts w:ascii="Arial" w:cs="Arial" w:eastAsia="Arial" w:hAnsi="Arial"/>
          <w:sz w:val="18"/>
          <w:szCs w:val="18"/>
          <w:b w:val="1"/>
          <w:bCs w:val="1"/>
          <w:color w:val="auto"/>
        </w:rPr>
      </w:pPr>
      <w:r>
        <w:rPr>
          <w:rFonts w:ascii="Arial" w:cs="Arial" w:eastAsia="Arial" w:hAnsi="Arial"/>
          <w:sz w:val="18"/>
          <w:szCs w:val="18"/>
          <w:color w:val="auto"/>
        </w:rPr>
        <w:t>Stanford’s Office of Technology Licensing, to the best of its knowledge as of the Effective Date, is not aware of any other patent applications controlled by Stanford and filed as of the Effective Date or any invention disclosure documents submitted to Stanford’s Office of Technology Licensing on or before the Effective Date that are believed to be infringed by the practice of the Licensed Patents to make, have made, use, import and sell Licensed Products for use in the Licensed Field of Use.</w:t>
      </w:r>
    </w:p>
    <w:p>
      <w:pPr>
        <w:spacing w:after="0" w:line="187" w:lineRule="exact"/>
        <w:rPr>
          <w:sz w:val="20"/>
          <w:szCs w:val="20"/>
          <w:color w:val="auto"/>
        </w:rPr>
      </w:pPr>
    </w:p>
    <w:p>
      <w:pPr>
        <w:ind w:left="1244" w:hanging="253"/>
        <w:spacing w:after="0"/>
        <w:tabs>
          <w:tab w:leader="none" w:pos="1244"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Stanford does not:</w:t>
      </w:r>
    </w:p>
    <w:p>
      <w:pPr>
        <w:spacing w:after="0" w:line="117" w:lineRule="exact"/>
        <w:rPr>
          <w:sz w:val="20"/>
          <w:szCs w:val="20"/>
          <w:color w:val="auto"/>
        </w:rPr>
      </w:pPr>
    </w:p>
    <w:p>
      <w:pPr>
        <w:jc w:val="both"/>
        <w:ind w:left="984" w:right="60" w:firstLine="7"/>
        <w:spacing w:after="0" w:line="263" w:lineRule="auto"/>
        <w:tabs>
          <w:tab w:leader="none" w:pos="1279" w:val="left"/>
        </w:tabs>
        <w:numPr>
          <w:ilvl w:val="1"/>
          <w:numId w:val="171"/>
        </w:numPr>
        <w:rPr>
          <w:rFonts w:ascii="Arial" w:cs="Arial" w:eastAsia="Arial" w:hAnsi="Arial"/>
          <w:sz w:val="18"/>
          <w:szCs w:val="18"/>
          <w:color w:val="auto"/>
        </w:rPr>
      </w:pPr>
      <w:r>
        <w:rPr>
          <w:rFonts w:ascii="Arial" w:cs="Arial" w:eastAsia="Arial" w:hAnsi="Arial"/>
          <w:sz w:val="18"/>
          <w:szCs w:val="18"/>
          <w:color w:val="auto"/>
        </w:rPr>
        <w:t>grant to Alexo any other licenses, implied or otherwise, to any patents or other rights of Stanford other than those rights granted under Licensed Patents and Nonexclusive Licensed Patents, regardless of whether the patents or other rights are dominant or subordinate to any Licensed Patents, or are required to exploit any Licensed Patents;</w:t>
      </w:r>
    </w:p>
    <w:p>
      <w:pPr>
        <w:spacing w:after="0" w:line="75" w:lineRule="exact"/>
        <w:rPr>
          <w:rFonts w:ascii="Arial" w:cs="Arial" w:eastAsia="Arial" w:hAnsi="Arial"/>
          <w:sz w:val="18"/>
          <w:szCs w:val="18"/>
          <w:color w:val="auto"/>
        </w:rPr>
      </w:pPr>
    </w:p>
    <w:p>
      <w:pPr>
        <w:ind w:left="1284" w:hanging="293"/>
        <w:spacing w:after="0"/>
        <w:tabs>
          <w:tab w:leader="none" w:pos="128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commit to Alexo to bring suit against third parties for infringement, except as described in Article 14; and</w:t>
      </w:r>
    </w:p>
    <w:p>
      <w:pPr>
        <w:spacing w:after="0" w:line="117" w:lineRule="exact"/>
        <w:rPr>
          <w:rFonts w:ascii="Arial" w:cs="Arial" w:eastAsia="Arial" w:hAnsi="Arial"/>
          <w:sz w:val="18"/>
          <w:szCs w:val="18"/>
          <w:color w:val="auto"/>
        </w:rPr>
      </w:pPr>
    </w:p>
    <w:p>
      <w:pPr>
        <w:ind w:left="1284" w:hanging="293"/>
        <w:spacing w:after="0"/>
        <w:tabs>
          <w:tab w:leader="none" w:pos="128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agree to furnish to Alexo any technology or technological information or to provide Alexo with any assistance.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SUBLICENSING</w:t>
      </w:r>
    </w:p>
    <w:p>
      <w:pPr>
        <w:spacing w:after="0" w:line="130" w:lineRule="exact"/>
        <w:rPr>
          <w:rFonts w:ascii="Arial" w:cs="Arial" w:eastAsia="Arial" w:hAnsi="Arial"/>
          <w:sz w:val="18"/>
          <w:szCs w:val="18"/>
          <w:b w:val="1"/>
          <w:bCs w:val="1"/>
          <w:color w:val="auto"/>
        </w:rPr>
      </w:pPr>
    </w:p>
    <w:p>
      <w:pPr>
        <w:ind w:left="964" w:hanging="5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4.1 </w:t>
      </w:r>
      <w:r>
        <w:rPr>
          <w:rFonts w:ascii="Arial" w:cs="Arial" w:eastAsia="Arial" w:hAnsi="Arial"/>
          <w:sz w:val="17"/>
          <w:szCs w:val="17"/>
          <w:b w:val="1"/>
          <w:bCs w:val="1"/>
          <w:color w:val="auto"/>
        </w:rPr>
        <w:t>Permitted Sublicensing.</w:t>
      </w:r>
      <w:r>
        <w:rPr>
          <w:rFonts w:ascii="Arial" w:cs="Arial" w:eastAsia="Arial" w:hAnsi="Arial"/>
          <w:sz w:val="17"/>
          <w:szCs w:val="17"/>
          <w:color w:val="auto"/>
        </w:rPr>
        <w:t xml:space="preserve"> Alexo may grant Sublicenses in the Licensed Field of Use only and only if Alexo is developing or selling Licensed Products. Sublicenses with any exclusivity must include diligence requirements commensurate with the diligence requirements of Appendix A. Stanford agrees that Alexo may apportion without discrimination between Alexo patents and the Licensed Patents and Nonexclusive Licensed Patents a commercially reasonable percentage of sublicensing payments made to Stanford pursuant to Section 4.6, provided however that Alexo provides Stanford with the proposed apportionment and justification prior Alexo’s payment pursuant to Section 8.1. Stanford and Alexo agree to meet to discuss such proposed apportionment if in Stanford’s opinion the apportionment does not reasonably reflect the value of the Licensed Patents.</w:t>
      </w:r>
    </w:p>
    <w:p>
      <w:pPr>
        <w:spacing w:after="0" w:line="108" w:lineRule="exact"/>
        <w:rPr>
          <w:sz w:val="20"/>
          <w:szCs w:val="20"/>
          <w:color w:val="auto"/>
        </w:rPr>
      </w:pPr>
    </w:p>
    <w:p>
      <w:pPr>
        <w:ind w:left="424" w:right="260" w:hanging="424"/>
        <w:spacing w:after="0" w:line="277" w:lineRule="auto"/>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004"/>
          </w:cols>
          <w:pgMar w:left="436" w:top="270" w:right="459" w:bottom="1440" w:gutter="0" w:footer="0" w:header="0"/>
        </w:sectPr>
      </w:pPr>
    </w:p>
    <w:bookmarkStart w:id="248" w:name="page249"/>
    <w:bookmarkEnd w:id="248"/>
    <w:p>
      <w:pPr>
        <w:ind w:left="964" w:hanging="539"/>
        <w:spacing w:after="0" w:line="272"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4.2</w:t>
      </w:r>
      <w:r>
        <w:rPr>
          <w:sz w:val="20"/>
          <w:szCs w:val="20"/>
          <w:color w:val="auto"/>
        </w:rPr>
        <w:tab/>
      </w:r>
      <w:r>
        <w:rPr>
          <w:rFonts w:ascii="Arial" w:cs="Arial" w:eastAsia="Arial" w:hAnsi="Arial"/>
          <w:sz w:val="17"/>
          <w:szCs w:val="17"/>
          <w:b w:val="1"/>
          <w:bCs w:val="1"/>
          <w:color w:val="auto"/>
        </w:rPr>
        <w:t xml:space="preserve">Required Sublicensing. </w:t>
      </w:r>
      <w:r>
        <w:rPr>
          <w:rFonts w:ascii="Arial" w:cs="Arial" w:eastAsia="Arial" w:hAnsi="Arial"/>
          <w:sz w:val="17"/>
          <w:szCs w:val="17"/>
          <w:color w:val="auto"/>
        </w:rPr>
        <w:t>If Alexo is not developing or commercializing Licensed Product with respect to an indication or a geography for</w:t>
      </w:r>
      <w:r>
        <w:rPr>
          <w:rFonts w:ascii="Arial" w:cs="Arial" w:eastAsia="Arial" w:hAnsi="Arial"/>
          <w:sz w:val="17"/>
          <w:szCs w:val="17"/>
          <w:b w:val="1"/>
          <w:bCs w:val="1"/>
          <w:color w:val="auto"/>
        </w:rPr>
        <w:t xml:space="preserve"> </w:t>
      </w:r>
      <w:r>
        <w:rPr>
          <w:rFonts w:ascii="Arial" w:cs="Arial" w:eastAsia="Arial" w:hAnsi="Arial"/>
          <w:sz w:val="17"/>
          <w:szCs w:val="17"/>
          <w:color w:val="auto"/>
        </w:rPr>
        <w:t>which there is a company willing to be a sublicensee, Alexo will, at Stanford’s request, negotiate in good faith a Sublicense with any such sublicensee for such indication or geography. Stanford would like licensees to address unmet needs, such as those of neglected patient populations or geographic areas, giving particular attention to improved therapeutics, diagnostics and agricultural technologies for the developing world. As an alternative to negotiating a Sublicense to a third party, Alexo (or one of its Affiliates or sublicensees) may submit to Stanford, within [***] after such third party’s request for a sublicense, a plan for prompt and diligent development of a Licensed Product for the applicable indication or market. If Stanford approves this plan, such approval not to be unreasonably withheld, no third-party sublicense shall be required pursuant to this Section 4.2.</w:t>
      </w:r>
    </w:p>
    <w:p>
      <w:pPr>
        <w:spacing w:after="0" w:line="20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Sublicense Requirements. Any Sublicense:</w:t>
      </w:r>
    </w:p>
    <w:p>
      <w:pPr>
        <w:spacing w:after="0" w:line="131" w:lineRule="exact"/>
        <w:rPr>
          <w:sz w:val="20"/>
          <w:szCs w:val="20"/>
          <w:color w:val="auto"/>
        </w:rPr>
      </w:pPr>
    </w:p>
    <w:p>
      <w:pPr>
        <w:ind w:left="1424" w:hanging="439"/>
        <w:spacing w:after="0"/>
        <w:tabs>
          <w:tab w:leader="none" w:pos="1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is subject to this Agreement;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will reflect that any sublicensee will not further sublicense;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will prohibit sublicensee from paying royalties to an escrow or other similar account;</w:t>
      </w:r>
    </w:p>
    <w:p>
      <w:pPr>
        <w:spacing w:after="0" w:line="130" w:lineRule="exact"/>
        <w:rPr>
          <w:rFonts w:ascii="Arial" w:cs="Arial" w:eastAsia="Arial" w:hAnsi="Arial"/>
          <w:sz w:val="18"/>
          <w:szCs w:val="18"/>
          <w:color w:val="auto"/>
        </w:rPr>
      </w:pPr>
    </w:p>
    <w:p>
      <w:pPr>
        <w:ind w:left="1424" w:right="800" w:hanging="439"/>
        <w:spacing w:after="0" w:line="277" w:lineRule="auto"/>
        <w:tabs>
          <w:tab w:leader="none" w:pos="1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will expressly include the provisions of Articles 8, 9, 10, 13, and Section 19.6 for the benefit of Stanford and/or HHMI, as applicable; and</w:t>
      </w:r>
    </w:p>
    <w:p>
      <w:pPr>
        <w:spacing w:after="0" w:line="75" w:lineRule="exact"/>
        <w:rPr>
          <w:rFonts w:ascii="Arial" w:cs="Arial" w:eastAsia="Arial" w:hAnsi="Arial"/>
          <w:sz w:val="18"/>
          <w:szCs w:val="18"/>
          <w:color w:val="auto"/>
        </w:rPr>
      </w:pPr>
    </w:p>
    <w:p>
      <w:pPr>
        <w:ind w:left="1424" w:right="20" w:hanging="439"/>
        <w:spacing w:after="0" w:line="259" w:lineRule="auto"/>
        <w:tabs>
          <w:tab w:leader="none" w:pos="1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will include the provisions of Section 4.4 and require the transfer of all the sublicensee’s obligations to Alexo, including the payment of royalties specified in the Sublicense, to Stanford or its designee, if this Agreement is terminated. If the sublicensee is a spin-out from Alexo, Alexo must guarantee the sublicensee’s performance with respect to the payment of Stanford’s share of Sublicense royalties.</w:t>
      </w:r>
    </w:p>
    <w:p>
      <w:pPr>
        <w:spacing w:after="0" w:line="2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b w:val="1"/>
          <w:bCs w:val="1"/>
          <w:color w:val="auto"/>
        </w:rPr>
        <w:t xml:space="preserve">Litigation by Sublicensee. </w:t>
      </w:r>
      <w:r>
        <w:rPr>
          <w:rFonts w:ascii="Arial" w:cs="Arial" w:eastAsia="Arial" w:hAnsi="Arial"/>
          <w:sz w:val="16"/>
          <w:szCs w:val="16"/>
          <w:color w:val="auto"/>
        </w:rPr>
        <w:t>Any Sublicense must include the following clauses:</w:t>
      </w:r>
    </w:p>
    <w:p>
      <w:pPr>
        <w:spacing w:after="0" w:line="135" w:lineRule="exact"/>
        <w:rPr>
          <w:sz w:val="20"/>
          <w:szCs w:val="20"/>
          <w:color w:val="auto"/>
        </w:rPr>
      </w:pPr>
    </w:p>
    <w:p>
      <w:pPr>
        <w:ind w:left="1424" w:hanging="439"/>
        <w:spacing w:after="0"/>
        <w:tabs>
          <w:tab w:leader="none" w:pos="142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In the event sublicensee brings an action seeking to invalidate any Licensed Patent:</w:t>
      </w:r>
    </w:p>
    <w:p>
      <w:pPr>
        <w:spacing w:after="0" w:line="130" w:lineRule="exact"/>
        <w:rPr>
          <w:rFonts w:ascii="Arial" w:cs="Arial" w:eastAsia="Arial" w:hAnsi="Arial"/>
          <w:sz w:val="18"/>
          <w:szCs w:val="18"/>
          <w:color w:val="auto"/>
        </w:rPr>
      </w:pPr>
    </w:p>
    <w:p>
      <w:pPr>
        <w:ind w:left="1964" w:right="140" w:hanging="533"/>
        <w:spacing w:after="0" w:line="342" w:lineRule="auto"/>
        <w:tabs>
          <w:tab w:leader="none" w:pos="1964" w:val="left"/>
        </w:tabs>
        <w:numPr>
          <w:ilvl w:val="2"/>
          <w:numId w:val="175"/>
        </w:numPr>
        <w:rPr>
          <w:rFonts w:ascii="Arial" w:cs="Arial" w:eastAsia="Arial" w:hAnsi="Arial"/>
          <w:sz w:val="16"/>
          <w:szCs w:val="16"/>
          <w:color w:val="auto"/>
        </w:rPr>
      </w:pPr>
      <w:r>
        <w:rPr>
          <w:rFonts w:ascii="Arial" w:cs="Arial" w:eastAsia="Arial" w:hAnsi="Arial"/>
          <w:sz w:val="16"/>
          <w:szCs w:val="16"/>
          <w:color w:val="auto"/>
        </w:rPr>
        <w:t>sublicensee will [***] during the pendency of such action. Moreover, should the outcome of such action determine that any claim of a patent challenged by the sublicensee is both valid and infringed by a Licensed Product, sublicensee will [***];</w:t>
      </w:r>
    </w:p>
    <w:p>
      <w:pPr>
        <w:spacing w:after="0" w:line="29" w:lineRule="exact"/>
        <w:rPr>
          <w:rFonts w:ascii="Arial" w:cs="Arial" w:eastAsia="Arial" w:hAnsi="Arial"/>
          <w:sz w:val="16"/>
          <w:szCs w:val="16"/>
          <w:color w:val="auto"/>
        </w:rPr>
      </w:pPr>
    </w:p>
    <w:p>
      <w:pPr>
        <w:ind w:left="1964" w:hanging="533"/>
        <w:spacing w:after="0"/>
        <w:tabs>
          <w:tab w:leader="none" w:pos="1964" w:val="left"/>
        </w:tabs>
        <w:numPr>
          <w:ilvl w:val="2"/>
          <w:numId w:val="175"/>
        </w:numPr>
        <w:rPr>
          <w:rFonts w:ascii="Arial" w:cs="Arial" w:eastAsia="Arial" w:hAnsi="Arial"/>
          <w:sz w:val="18"/>
          <w:szCs w:val="18"/>
          <w:color w:val="auto"/>
        </w:rPr>
      </w:pPr>
      <w:r>
        <w:rPr>
          <w:rFonts w:ascii="Arial" w:cs="Arial" w:eastAsia="Arial" w:hAnsi="Arial"/>
          <w:sz w:val="18"/>
          <w:szCs w:val="18"/>
          <w:color w:val="auto"/>
        </w:rPr>
        <w:t>sublicensee will [***] during the period challenge;</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175"/>
        </w:numPr>
        <w:rPr>
          <w:rFonts w:ascii="Arial" w:cs="Arial" w:eastAsia="Arial" w:hAnsi="Arial"/>
          <w:sz w:val="18"/>
          <w:szCs w:val="18"/>
          <w:color w:val="auto"/>
        </w:rPr>
      </w:pPr>
      <w:r>
        <w:rPr>
          <w:rFonts w:ascii="Arial" w:cs="Arial" w:eastAsia="Arial" w:hAnsi="Arial"/>
          <w:sz w:val="18"/>
          <w:szCs w:val="18"/>
          <w:color w:val="auto"/>
        </w:rPr>
        <w:t>any dispute regarding the validity of any Licensed Patent shall be [***], and the parties agree [***]; and</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175"/>
        </w:numPr>
        <w:rPr>
          <w:rFonts w:ascii="Arial" w:cs="Arial" w:eastAsia="Arial" w:hAnsi="Arial"/>
          <w:sz w:val="18"/>
          <w:szCs w:val="18"/>
          <w:color w:val="auto"/>
        </w:rPr>
      </w:pPr>
      <w:r>
        <w:rPr>
          <w:rFonts w:ascii="Arial" w:cs="Arial" w:eastAsia="Arial" w:hAnsi="Arial"/>
          <w:sz w:val="18"/>
          <w:szCs w:val="18"/>
          <w:color w:val="auto"/>
        </w:rPr>
        <w:t>sublicensee shall [***].</w:t>
      </w:r>
    </w:p>
    <w:p>
      <w:pPr>
        <w:spacing w:after="0" w:line="157"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004"/>
          </w:cols>
          <w:pgMar w:left="436" w:top="270" w:right="459" w:bottom="1440" w:gutter="0" w:footer="0" w:header="0"/>
        </w:sectPr>
      </w:pPr>
    </w:p>
    <w:bookmarkStart w:id="249" w:name="page250"/>
    <w:bookmarkEnd w:id="249"/>
    <w:p>
      <w:pPr>
        <w:ind w:left="1424" w:right="80" w:hanging="439"/>
        <w:spacing w:after="0" w:line="277" w:lineRule="auto"/>
        <w:tabs>
          <w:tab w:leader="none" w:pos="1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Sublicensee will provide written notice to Stanford at least [***] prior to bringing an action seeking to invalidate a Licensed Patent. Sublicensee will include with such written notice [***].</w:t>
      </w:r>
    </w:p>
    <w:p>
      <w:pPr>
        <w:spacing w:after="0" w:line="193" w:lineRule="exact"/>
        <w:rPr>
          <w:sz w:val="20"/>
          <w:szCs w:val="20"/>
          <w:color w:val="auto"/>
        </w:rPr>
      </w:pPr>
    </w:p>
    <w:p>
      <w:pPr>
        <w:ind w:left="964" w:right="120" w:hanging="539"/>
        <w:spacing w:after="0" w:line="266" w:lineRule="auto"/>
        <w:tabs>
          <w:tab w:leader="none" w:pos="944"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b w:val="1"/>
          <w:bCs w:val="1"/>
          <w:color w:val="auto"/>
        </w:rPr>
        <w:t xml:space="preserve">Copy of Sublicenses and Sublicensee Royalty Reports. </w:t>
      </w:r>
      <w:r>
        <w:rPr>
          <w:rFonts w:ascii="Arial" w:cs="Arial" w:eastAsia="Arial" w:hAnsi="Arial"/>
          <w:sz w:val="18"/>
          <w:szCs w:val="18"/>
          <w:color w:val="auto"/>
        </w:rPr>
        <w:t>Alexo will submit to Stanford a copy of each Sublicense, any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amendments and all copies of sublicensees’ royalty reports. Beginning with the first Sublicense, the Chief Financial Officer or equivalent will certify annually regarding the name and number of sublicensees.</w:t>
      </w:r>
    </w:p>
    <w:p>
      <w:pPr>
        <w:spacing w:after="0" w:line="203"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color w:val="auto"/>
        </w:rPr>
        <w:t xml:space="preserve">Sharing of Sublicensing Income. </w:t>
      </w:r>
      <w:r>
        <w:rPr>
          <w:rFonts w:ascii="Arial" w:cs="Arial" w:eastAsia="Arial" w:hAnsi="Arial"/>
          <w:sz w:val="16"/>
          <w:szCs w:val="16"/>
          <w:color w:val="auto"/>
        </w:rPr>
        <w:t>Alexo will pay to Stanford a portion of all Nonroyalty Sublicensing Consideration for the Sublicense of</w:t>
      </w:r>
    </w:p>
    <w:p>
      <w:pPr>
        <w:spacing w:after="0" w:line="2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Licensed Patents, as provided below:</w:t>
      </w:r>
    </w:p>
    <w:p>
      <w:pPr>
        <w:spacing w:after="0" w:line="116" w:lineRule="exact"/>
        <w:rPr>
          <w:sz w:val="20"/>
          <w:szCs w:val="20"/>
          <w:color w:val="auto"/>
        </w:rPr>
      </w:pPr>
    </w:p>
    <w:p>
      <w:pPr>
        <w:ind w:left="1424" w:right="420" w:hanging="439"/>
        <w:spacing w:after="0" w:line="277" w:lineRule="auto"/>
        <w:tabs>
          <w:tab w:leader="none" w:pos="1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percentage payable to Stanford shall be (i) [***]% if the Sublicense is signed [***]; (ii) [***]% if the Sublicense is signed [***]; and (iii) [***]% if the Sublicense is signed [***].</w:t>
      </w:r>
    </w:p>
    <w:p>
      <w:pPr>
        <w:spacing w:after="0" w:line="193" w:lineRule="exact"/>
        <w:rPr>
          <w:sz w:val="20"/>
          <w:szCs w:val="20"/>
          <w:color w:val="auto"/>
        </w:rPr>
      </w:pPr>
    </w:p>
    <w:p>
      <w:pPr>
        <w:ind w:left="964" w:right="80" w:hanging="539"/>
        <w:spacing w:after="0" w:line="281" w:lineRule="auto"/>
        <w:tabs>
          <w:tab w:leader="none" w:pos="944"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b w:val="1"/>
          <w:bCs w:val="1"/>
          <w:color w:val="auto"/>
        </w:rPr>
        <w:t xml:space="preserve">Royalty-Free Sublicenses. </w:t>
      </w:r>
      <w:r>
        <w:rPr>
          <w:rFonts w:ascii="Arial" w:cs="Arial" w:eastAsia="Arial" w:hAnsi="Arial"/>
          <w:sz w:val="17"/>
          <w:szCs w:val="17"/>
          <w:color w:val="auto"/>
        </w:rPr>
        <w:t>Subject to Section 7.10(c) (concerning instances where Alexo may as part of an infringement or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dispute in which it believes it may be subject to infringement proceedings elect to as part of the resolution of such matter to enter into a royalty-free cross-licensing arrangement with a third party) and Section 14.7(C), if Alexo pays all royalties due Stanford from a sublicensee’s Net Sales, Alexo may grant that sublicensee a royalty-free or non-cash:</w:t>
      </w:r>
    </w:p>
    <w:p>
      <w:pPr>
        <w:spacing w:after="0" w:line="74" w:lineRule="exact"/>
        <w:rPr>
          <w:sz w:val="20"/>
          <w:szCs w:val="20"/>
          <w:color w:val="auto"/>
        </w:rPr>
      </w:pPr>
    </w:p>
    <w:p>
      <w:pPr>
        <w:ind w:left="1424" w:hanging="439"/>
        <w:spacing w:after="0"/>
        <w:tabs>
          <w:tab w:leader="none" w:pos="142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Sublicense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cross-license.</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RIGHTS</w:t>
      </w:r>
    </w:p>
    <w:p>
      <w:pPr>
        <w:spacing w:after="0" w:line="121" w:lineRule="exact"/>
        <w:rPr>
          <w:rFonts w:ascii="Arial" w:cs="Arial" w:eastAsia="Arial" w:hAnsi="Arial"/>
          <w:sz w:val="18"/>
          <w:szCs w:val="18"/>
          <w:b w:val="1"/>
          <w:bCs w:val="1"/>
          <w:color w:val="auto"/>
        </w:rPr>
      </w:pPr>
    </w:p>
    <w:p>
      <w:pPr>
        <w:ind w:left="444" w:right="2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Agreement is subject to Title 35 Sections 200-204 of the United States Code. Among other things, these provisions provide the United States Government with nonexclusive rights in the Licensed Patent. They also impose the obligation that Licensed Product sold or produced in the United States be “manufactured substantially in the United States.” Alexo will ensure all obligations of these provisions are met.</w:t>
      </w:r>
    </w:p>
    <w:p>
      <w:pPr>
        <w:spacing w:after="0" w:line="293" w:lineRule="exact"/>
        <w:rPr>
          <w:rFonts w:ascii="Arial" w:cs="Arial" w:eastAsia="Arial" w:hAnsi="Arial"/>
          <w:sz w:val="18"/>
          <w:szCs w:val="18"/>
          <w:b w:val="1"/>
          <w:bCs w:val="1"/>
          <w:color w:val="auto"/>
        </w:rPr>
      </w:pPr>
    </w:p>
    <w:p>
      <w:pPr>
        <w:ind w:left="424" w:hanging="424"/>
        <w:spacing w:after="0"/>
        <w:tabs>
          <w:tab w:leader="none" w:pos="424"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DILIGENCE</w:t>
      </w:r>
    </w:p>
    <w:p>
      <w:pPr>
        <w:spacing w:after="0" w:line="130" w:lineRule="exact"/>
        <w:rPr>
          <w:rFonts w:ascii="Arial" w:cs="Arial" w:eastAsia="Arial" w:hAnsi="Arial"/>
          <w:sz w:val="18"/>
          <w:szCs w:val="18"/>
          <w:b w:val="1"/>
          <w:bCs w:val="1"/>
          <w:color w:val="auto"/>
        </w:rPr>
      </w:pPr>
    </w:p>
    <w:p>
      <w:pPr>
        <w:ind w:left="964" w:hanging="5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Milestones.</w:t>
      </w:r>
      <w:r>
        <w:rPr>
          <w:rFonts w:ascii="Arial" w:cs="Arial" w:eastAsia="Arial" w:hAnsi="Arial"/>
          <w:sz w:val="18"/>
          <w:szCs w:val="18"/>
          <w:color w:val="auto"/>
        </w:rPr>
        <w:t xml:space="preserve"> Alexo will use commercially reasonable efforts to develop, commercialize, market and sell Licensed Products, in a manner consistent with the efforts normally used by similarly situated biotechnology companies with respect to a product to which such companies hold similar rights which is of similar market potential at a similar stage in the development or life of such product, taking into account issues of safety, efficacy, product profile, the competitiveness of the marketplace, the proprietary position of the product, the regulatory structure involved, profitability of the product and other relevant commercial factors. Stanford shall have the right to terminate the License Agreement if Alexo shall fail to apply such “commercially reasonable efforts” to develop, commercialize, market and sell Licensed Products. A determination of Alexo’s satisfaction of its diligence obligations shall be made with reference to the milestones set forth in Appendix A.</w:t>
      </w:r>
    </w:p>
    <w:p>
      <w:pPr>
        <w:spacing w:after="0" w:line="128" w:lineRule="exact"/>
        <w:rPr>
          <w:sz w:val="20"/>
          <w:szCs w:val="20"/>
          <w:color w:val="auto"/>
        </w:rPr>
      </w:pPr>
    </w:p>
    <w:p>
      <w:pPr>
        <w:ind w:left="424" w:right="240" w:hanging="424"/>
        <w:spacing w:after="0" w:line="277" w:lineRule="auto"/>
        <w:tabs>
          <w:tab w:leader="none" w:pos="42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0984"/>
          </w:cols>
          <w:pgMar w:left="436" w:top="274" w:right="479" w:bottom="1440" w:gutter="0" w:footer="0" w:header="0"/>
        </w:sectPr>
      </w:pPr>
    </w:p>
    <w:bookmarkStart w:id="250" w:name="page251"/>
    <w:bookmarkEnd w:id="250"/>
    <w:p>
      <w:pPr>
        <w:ind w:left="964" w:right="80" w:hanging="539"/>
        <w:spacing w:after="0" w:line="255"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6.2</w:t>
      </w:r>
      <w:r>
        <w:rPr>
          <w:sz w:val="20"/>
          <w:szCs w:val="20"/>
          <w:color w:val="auto"/>
        </w:rPr>
        <w:tab/>
      </w:r>
      <w:r>
        <w:rPr>
          <w:rFonts w:ascii="Arial" w:cs="Arial" w:eastAsia="Arial" w:hAnsi="Arial"/>
          <w:sz w:val="18"/>
          <w:szCs w:val="18"/>
          <w:b w:val="1"/>
          <w:bCs w:val="1"/>
          <w:color w:val="auto"/>
        </w:rPr>
        <w:t xml:space="preserve">Progress Report. </w:t>
      </w:r>
      <w:r>
        <w:rPr>
          <w:rFonts w:ascii="Arial" w:cs="Arial" w:eastAsia="Arial" w:hAnsi="Arial"/>
          <w:sz w:val="18"/>
          <w:szCs w:val="18"/>
          <w:color w:val="auto"/>
        </w:rPr>
        <w:t>By [***] of each year, Alexo will submit a written annual report to Stanford covering the preceding calendar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report will include information sufficient to enable Stanford to satisfy reporting requirements of the U.S. Government and for Stanford to ascertain progress by Alexo toward meeting this Agreement’s diligence requirements. Each report will describe, where relevant: Alexo’s progress toward commercialization of Licensed Product, including work completed, key scientific discoveries, summary of work-in-progress, current schedule of anticipated events or milestones, market plans for introduction of Licensed Product, and significant corporate transactions involving Licensed Product. Alexo will specifically describe how each Licensed Product is related to each Licensed Patent.</w:t>
      </w:r>
    </w:p>
    <w:p>
      <w:pPr>
        <w:spacing w:after="0" w:line="216"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b w:val="1"/>
          <w:bCs w:val="1"/>
          <w:color w:val="auto"/>
        </w:rPr>
        <w:t xml:space="preserve">Clinical Trial Notice. </w:t>
      </w:r>
      <w:r>
        <w:rPr>
          <w:rFonts w:ascii="Arial" w:cs="Arial" w:eastAsia="Arial" w:hAnsi="Arial"/>
          <w:sz w:val="16"/>
          <w:szCs w:val="16"/>
          <w:color w:val="auto"/>
        </w:rPr>
        <w:t>Alexo will notify Stanford prior to commencing any clinical trials at Stanford.</w:t>
      </w:r>
    </w:p>
    <w:p>
      <w:pPr>
        <w:spacing w:after="0" w:line="374" w:lineRule="exact"/>
        <w:rPr>
          <w:sz w:val="20"/>
          <w:szCs w:val="20"/>
          <w:color w:val="auto"/>
        </w:rPr>
      </w:pPr>
    </w:p>
    <w:p>
      <w:pPr>
        <w:ind w:left="424" w:hanging="424"/>
        <w:spacing w:after="0"/>
        <w:tabs>
          <w:tab w:leader="none" w:pos="424"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ROYALTIES</w:t>
      </w:r>
    </w:p>
    <w:p>
      <w:pPr>
        <w:spacing w:after="0" w:line="130" w:lineRule="exact"/>
        <w:rPr>
          <w:rFonts w:ascii="Arial" w:cs="Arial" w:eastAsia="Arial" w:hAnsi="Arial"/>
          <w:sz w:val="18"/>
          <w:szCs w:val="18"/>
          <w:b w:val="1"/>
          <w:bCs w:val="1"/>
          <w:color w:val="auto"/>
        </w:rPr>
      </w:pPr>
    </w:p>
    <w:p>
      <w:pPr>
        <w:ind w:left="964" w:right="8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Issue Royalty.</w:t>
      </w:r>
      <w:r>
        <w:rPr>
          <w:rFonts w:ascii="Arial" w:cs="Arial" w:eastAsia="Arial" w:hAnsi="Arial"/>
          <w:sz w:val="18"/>
          <w:szCs w:val="18"/>
          <w:color w:val="auto"/>
        </w:rPr>
        <w:t xml:space="preserve"> Alexo will pay to Stanford a non-creditable, nonrefundable license issue royalty of [***] within [***] days of the Effective Date.</w:t>
      </w:r>
    </w:p>
    <w:p>
      <w:pPr>
        <w:spacing w:after="0" w:line="188" w:lineRule="exact"/>
        <w:rPr>
          <w:rFonts w:ascii="Arial" w:cs="Arial" w:eastAsia="Arial" w:hAnsi="Arial"/>
          <w:sz w:val="18"/>
          <w:szCs w:val="18"/>
          <w:b w:val="1"/>
          <w:bCs w:val="1"/>
          <w:color w:val="auto"/>
        </w:rPr>
      </w:pPr>
    </w:p>
    <w:p>
      <w:pPr>
        <w:ind w:left="964" w:right="40" w:hanging="540"/>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Equity Interest.</w:t>
      </w:r>
      <w:r>
        <w:rPr>
          <w:rFonts w:ascii="Arial" w:cs="Arial" w:eastAsia="Arial" w:hAnsi="Arial"/>
          <w:sz w:val="16"/>
          <w:szCs w:val="16"/>
          <w:color w:val="auto"/>
        </w:rPr>
        <w:t xml:space="preserve"> As further consideration, Alexo will cause Alexo Therapeutics Limited, a Private Irish Company Limited by Shares that is the sole shareholder of Alexo (“Parent”), to grant to Stanford [***] Ordinary Shares of stock in Parent. When issued, those shares will represent [***]% of the stock in Parent on a Fully Diluted Basis. Alexo agrees to provide Stanford with the capitalization table upon which the above calculation is made. All shares issued pursuant to this Section 7.2 and Section 7.3 shall be issued pursuant to a Stock Issuance Agreement between Parent and the recipient of the shares containing standard representations and warranties and other provisions with respect to the shares and the recipient’s qualifications under applicable securities laws to receive the shares. At that time, such Stock Issuance Agreement will provide share valuation information as needed in order for Stanford to issue 1099s to the inventors listed below.</w:t>
      </w:r>
    </w:p>
    <w:p>
      <w:pPr>
        <w:spacing w:after="0" w:line="5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Subject to compliance with applicable securities laws, Alexo will cause Parent to issue [***]% of all shares granted to Stanford pursuant to</w:t>
      </w:r>
    </w:p>
    <w:p>
      <w:pPr>
        <w:spacing w:after="0" w:line="4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Section 7.2 and Section 7.3 directly to and in the name of the inventors listed below allocated as stated below:</w:t>
      </w:r>
    </w:p>
    <w:p>
      <w:pPr>
        <w:spacing w:after="0" w:line="103" w:lineRule="exact"/>
        <w:rPr>
          <w:sz w:val="20"/>
          <w:szCs w:val="20"/>
          <w:color w:val="auto"/>
        </w:rPr>
      </w:pPr>
    </w:p>
    <w:p>
      <w:pPr>
        <w:ind w:left="1424" w:hanging="433"/>
        <w:spacing w:after="0"/>
        <w:tabs>
          <w:tab w:leader="none" w:pos="1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w:t>
      </w:r>
    </w:p>
    <w:p>
      <w:pPr>
        <w:spacing w:after="0" w:line="248" w:lineRule="exact"/>
        <w:rPr>
          <w:sz w:val="20"/>
          <w:szCs w:val="20"/>
          <w:color w:val="auto"/>
        </w:rPr>
      </w:pPr>
    </w:p>
    <w:p>
      <w:pPr>
        <w:ind w:left="964" w:right="200" w:hanging="539"/>
        <w:spacing w:after="0" w:line="282" w:lineRule="auto"/>
        <w:tabs>
          <w:tab w:leader="none" w:pos="94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b w:val="1"/>
          <w:bCs w:val="1"/>
          <w:color w:val="auto"/>
        </w:rPr>
        <w:t xml:space="preserve">Anti-Dilution Protection. </w:t>
      </w:r>
      <w:r>
        <w:rPr>
          <w:rFonts w:ascii="Arial" w:cs="Arial" w:eastAsia="Arial" w:hAnsi="Arial"/>
          <w:sz w:val="18"/>
          <w:szCs w:val="18"/>
          <w:color w:val="auto"/>
        </w:rPr>
        <w:t>Alexo will cause Parent, to issue Stanford, without further consideration, any additional shares of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class issued pursuant to Section 7.2 necessary</w:t>
      </w:r>
    </w:p>
    <w:p>
      <w:pPr>
        <w:spacing w:after="0" w:line="98" w:lineRule="exact"/>
        <w:rPr>
          <w:sz w:val="20"/>
          <w:szCs w:val="20"/>
          <w:color w:val="auto"/>
        </w:rPr>
      </w:pPr>
    </w:p>
    <w:p>
      <w:pPr>
        <w:ind w:left="424" w:right="280" w:hanging="424"/>
        <w:spacing w:after="0" w:line="277" w:lineRule="auto"/>
        <w:tabs>
          <w:tab w:leader="none" w:pos="42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024"/>
          </w:cols>
          <w:pgMar w:left="436" w:top="270" w:right="439" w:bottom="1440" w:gutter="0" w:footer="0" w:header="0"/>
        </w:sectPr>
      </w:pPr>
    </w:p>
    <w:bookmarkStart w:id="251" w:name="page252"/>
    <w:bookmarkEnd w:id="251"/>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ensure that the number of shares issued Stanford pursuant to Section 7.2 and this Section 7.3 does not represent less than [***]% of the</w:t>
      </w:r>
    </w:p>
    <w:p>
      <w:pPr>
        <w:spacing w:after="0" w:line="46" w:lineRule="exact"/>
        <w:rPr>
          <w:sz w:val="20"/>
          <w:szCs w:val="20"/>
          <w:color w:val="auto"/>
        </w:rPr>
      </w:pPr>
    </w:p>
    <w:p>
      <w:pPr>
        <w:ind w:left="984"/>
        <w:spacing w:after="0"/>
        <w:rPr>
          <w:sz w:val="20"/>
          <w:szCs w:val="20"/>
          <w:color w:val="auto"/>
        </w:rPr>
      </w:pPr>
      <w:r>
        <w:rPr>
          <w:rFonts w:ascii="Arial" w:cs="Arial" w:eastAsia="Arial" w:hAnsi="Arial"/>
          <w:sz w:val="17"/>
          <w:szCs w:val="17"/>
          <w:color w:val="auto"/>
        </w:rPr>
        <w:t>shares issued and outstanding on a Fully-Diluted Basis at any time through the completion of issuance of all shares to be issued in</w:t>
      </w:r>
    </w:p>
    <w:p>
      <w:pPr>
        <w:spacing w:after="0" w:line="2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connection with the First Round of bona fide equity investment in Parent from a single or group of investors which is both (i) at least</w:t>
      </w:r>
    </w:p>
    <w:p>
      <w:pPr>
        <w:spacing w:after="0" w:line="2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in size and (ii) involves the sale to outside investors of at least [***]% of the shares outstanding after such round on a Fully-Diluted</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Basis at a price per share which, when applied to stock actually outstanding immediately after such round, implies a post-financing equity</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7"/>
          <w:szCs w:val="17"/>
          <w:color w:val="auto"/>
        </w:rPr>
        <w:t>valuation of Parent of at least $[***]. A “First Round” is a bona fide round of equity, warrant, option or convertible equity investment</w:t>
      </w:r>
    </w:p>
    <w:p>
      <w:pPr>
        <w:spacing w:after="0" w:line="21"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which includes all the tranches prior to the completion of the financing. This right will expire upon the issuance of all shares to be issued</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6"/>
          <w:szCs w:val="16"/>
          <w:color w:val="auto"/>
        </w:rPr>
        <w:t>in connection with such First Round, but will apply to all shares to be issued in or in connection with such First Round. The issuance of</w:t>
      </w:r>
    </w:p>
    <w:p>
      <w:pPr>
        <w:spacing w:after="0" w:line="32" w:lineRule="exact"/>
        <w:rPr>
          <w:sz w:val="20"/>
          <w:szCs w:val="20"/>
          <w:color w:val="auto"/>
        </w:rPr>
      </w:pPr>
    </w:p>
    <w:p>
      <w:pPr>
        <w:ind w:left="984"/>
        <w:spacing w:after="0"/>
        <w:rPr>
          <w:sz w:val="20"/>
          <w:szCs w:val="20"/>
          <w:color w:val="auto"/>
        </w:rPr>
      </w:pPr>
      <w:r>
        <w:rPr>
          <w:rFonts w:ascii="Arial" w:cs="Arial" w:eastAsia="Arial" w:hAnsi="Arial"/>
          <w:sz w:val="17"/>
          <w:szCs w:val="17"/>
          <w:color w:val="auto"/>
        </w:rPr>
        <w:t>equity to Stanford will be pursuant to a Stock Subscription Agreement and a Stockholders Agreement between Parent and Stanford</w:t>
      </w:r>
    </w:p>
    <w:p>
      <w:pPr>
        <w:spacing w:after="0" w:line="2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containing standard representations and warranties and other provisions consistent with the provisions applicable to other holders of</w:t>
      </w:r>
    </w:p>
    <w:p>
      <w:pPr>
        <w:spacing w:after="0" w:line="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Parent’s Ordinary Shares, including provisions consistent with Sections 7.2, 7.3, 7.4, 7.5, 7.6 and 7.7 of this Agreement.</w:t>
      </w:r>
    </w:p>
    <w:p>
      <w:pPr>
        <w:spacing w:after="0" w:line="238"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Section 7.4 is set forth in Appendix D of this Agreement.</w:t>
      </w:r>
    </w:p>
    <w:p>
      <w:pPr>
        <w:spacing w:after="0" w:line="25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Section 7.5 is set forth in Appendix D of this Agreement.</w:t>
      </w:r>
    </w:p>
    <w:p>
      <w:pPr>
        <w:spacing w:after="0" w:line="25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Section 7.6 is set forth in Appendix D of this Agreement.</w:t>
      </w:r>
    </w:p>
    <w:p>
      <w:pPr>
        <w:spacing w:after="0" w:line="248" w:lineRule="exact"/>
        <w:rPr>
          <w:sz w:val="20"/>
          <w:szCs w:val="20"/>
          <w:color w:val="auto"/>
        </w:rPr>
      </w:pPr>
    </w:p>
    <w:p>
      <w:pPr>
        <w:ind w:left="964" w:right="60" w:hanging="539"/>
        <w:spacing w:after="0" w:line="261" w:lineRule="auto"/>
        <w:tabs>
          <w:tab w:leader="none" w:pos="944"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b w:val="1"/>
          <w:bCs w:val="1"/>
          <w:color w:val="auto"/>
        </w:rPr>
        <w:t xml:space="preserve">License Maintenance Fee. </w:t>
      </w:r>
      <w:r>
        <w:rPr>
          <w:rFonts w:ascii="Arial" w:cs="Arial" w:eastAsia="Arial" w:hAnsi="Arial"/>
          <w:sz w:val="18"/>
          <w:szCs w:val="18"/>
          <w:color w:val="auto"/>
        </w:rPr>
        <w:t>Alexo will pay Stanford a yearly license maintenance fee within [***] days after each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anniversaries of the Effective Date. Yearly maintenance payments are nonrefundable, but they are creditable each year as described in Section 7.11. The annual fee shall be [***] on the [***] anniversary of the Effective Date, $[***] on the [***] anniversary of the Effective Date, and [***] on the [***] and each subsequent anniversary of the Effective Date.</w:t>
      </w:r>
    </w:p>
    <w:p>
      <w:pPr>
        <w:spacing w:after="0" w:line="207" w:lineRule="exact"/>
        <w:rPr>
          <w:sz w:val="20"/>
          <w:szCs w:val="20"/>
          <w:color w:val="auto"/>
        </w:rPr>
      </w:pPr>
    </w:p>
    <w:p>
      <w:pPr>
        <w:ind w:left="964" w:hanging="539"/>
        <w:spacing w:after="0" w:line="273" w:lineRule="auto"/>
        <w:tabs>
          <w:tab w:leader="none" w:pos="944"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b w:val="1"/>
          <w:bCs w:val="1"/>
          <w:color w:val="auto"/>
        </w:rPr>
        <w:t xml:space="preserve">Milestone Payments. </w:t>
      </w:r>
      <w:r>
        <w:rPr>
          <w:rFonts w:ascii="Arial" w:cs="Arial" w:eastAsia="Arial" w:hAnsi="Arial"/>
          <w:sz w:val="17"/>
          <w:szCs w:val="17"/>
          <w:color w:val="auto"/>
        </w:rPr>
        <w:t>Alexo will pay Stanford the following milestone payments upon the occurrence of each of the milestone events</w:t>
      </w:r>
      <w:r>
        <w:rPr>
          <w:rFonts w:ascii="Arial" w:cs="Arial" w:eastAsia="Arial" w:hAnsi="Arial"/>
          <w:sz w:val="17"/>
          <w:szCs w:val="17"/>
          <w:b w:val="1"/>
          <w:bCs w:val="1"/>
          <w:color w:val="auto"/>
        </w:rPr>
        <w:t xml:space="preserve"> </w:t>
      </w:r>
      <w:r>
        <w:rPr>
          <w:rFonts w:ascii="Arial" w:cs="Arial" w:eastAsia="Arial" w:hAnsi="Arial"/>
          <w:sz w:val="17"/>
          <w:szCs w:val="17"/>
          <w:color w:val="auto"/>
        </w:rPr>
        <w:t>listed below. Milestones shall be due for the [***] Licensed Products that achieves the particular milestone regardless of the number of Licensed Products that achieve such milestone; such that if either of the [***] Licensed Products does not achieve any milestone(s), such non-achieved milestones shall be paid on any subsequent Licensed Product that achieves such milestone. On the date any one milestone set forth below is achieved, all lower numbered unachieved milestones shall be deemed to have been achieved and shall be paid (except to the extent they have been previously paid). In the event that a milestone payment is received by Alexo from a sublicensee for attaining any of the milestones listed below, Alexo shall pay to Stanford an amount equal to [***]:</w:t>
      </w:r>
    </w:p>
    <w:p>
      <w:pPr>
        <w:spacing w:after="0" w:line="194" w:lineRule="exact"/>
        <w:rPr>
          <w:sz w:val="20"/>
          <w:szCs w:val="20"/>
          <w:color w:val="auto"/>
        </w:rPr>
      </w:pPr>
    </w:p>
    <w:tbl>
      <w:tblPr>
        <w:tblLayout w:type="fixed"/>
        <w:tblInd w:w="1764" w:type="dxa"/>
        <w:tblCellMar>
          <w:top w:w="0" w:type="dxa"/>
          <w:left w:w="0" w:type="dxa"/>
          <w:bottom w:w="0" w:type="dxa"/>
          <w:right w:w="0" w:type="dxa"/>
        </w:tblCellMar>
      </w:tblPr>
      <w:tr>
        <w:trPr>
          <w:trHeight w:val="185"/>
        </w:trPr>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Milestone Event</w:t>
            </w: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9"/>
              </w:rPr>
              <w:t>Payment</w:t>
            </w:r>
          </w:p>
        </w:tc>
      </w:tr>
      <w:tr>
        <w:trPr>
          <w:trHeight w:val="209"/>
        </w:trPr>
        <w:tc>
          <w:tcPr>
            <w:tcW w:w="6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ind w:left="424" w:right="260" w:hanging="424"/>
        <w:spacing w:after="0" w:line="277" w:lineRule="auto"/>
        <w:tabs>
          <w:tab w:leader="none" w:pos="42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004"/>
          </w:cols>
          <w:pgMar w:left="436" w:top="274" w:right="459" w:bottom="1440" w:gutter="0" w:footer="0" w:header="0"/>
        </w:sectPr>
      </w:pPr>
    </w:p>
    <w:bookmarkStart w:id="252" w:name="page253"/>
    <w:bookmarkEnd w:id="252"/>
    <w:tbl>
      <w:tblPr>
        <w:tblLayout w:type="fixed"/>
        <w:tblInd w:w="1764" w:type="dxa"/>
        <w:tblCellMar>
          <w:top w:w="0" w:type="dxa"/>
          <w:left w:w="0" w:type="dxa"/>
          <w:bottom w:w="0" w:type="dxa"/>
          <w:right w:w="0" w:type="dxa"/>
        </w:tblCellMar>
      </w:tblP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(4)[***]</w:t>
            </w:r>
          </w:p>
        </w:tc>
        <w:tc>
          <w:tcPr>
            <w:tcW w:w="3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(6)[***]</w:t>
            </w:r>
          </w:p>
        </w:tc>
        <w:tc>
          <w:tcPr>
            <w:tcW w:w="3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984" w:right="260"/>
        <w:spacing w:after="0" w:line="308" w:lineRule="auto"/>
        <w:rPr>
          <w:sz w:val="20"/>
          <w:szCs w:val="20"/>
          <w:color w:val="auto"/>
        </w:rPr>
      </w:pPr>
      <w:r>
        <w:rPr>
          <w:rFonts w:ascii="Arial" w:cs="Arial" w:eastAsia="Arial" w:hAnsi="Arial"/>
          <w:sz w:val="17"/>
          <w:szCs w:val="17"/>
          <w:color w:val="auto"/>
        </w:rPr>
        <w:t>Alexo shall pay milestone payments within [***] days of the applicable milestone event, if achieved by Alexo, and within the earlier of [***] days of the applicable event or [***] days following the receipt of funds milestones, if a sublicensee achieves the milestone.</w:t>
      </w:r>
    </w:p>
    <w:p>
      <w:pPr>
        <w:spacing w:after="0" w:line="169" w:lineRule="exact"/>
        <w:rPr>
          <w:sz w:val="20"/>
          <w:szCs w:val="20"/>
          <w:color w:val="auto"/>
        </w:rPr>
      </w:pPr>
    </w:p>
    <w:p>
      <w:pPr>
        <w:jc w:val="both"/>
        <w:ind w:left="964" w:right="240" w:hanging="539"/>
        <w:spacing w:after="0" w:line="289" w:lineRule="auto"/>
        <w:tabs>
          <w:tab w:leader="none" w:pos="944"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b w:val="1"/>
          <w:bCs w:val="1"/>
          <w:color w:val="auto"/>
        </w:rPr>
        <w:t xml:space="preserve">Earned Royalty. </w:t>
      </w:r>
      <w:r>
        <w:rPr>
          <w:rFonts w:ascii="Arial" w:cs="Arial" w:eastAsia="Arial" w:hAnsi="Arial"/>
          <w:sz w:val="16"/>
          <w:szCs w:val="16"/>
          <w:color w:val="auto"/>
        </w:rPr>
        <w:t>(a) Commencing with [***], Alexo shall pay to Stanford royalties [***] with respect to Licensed Products covered by</w:t>
      </w:r>
      <w:r>
        <w:rPr>
          <w:rFonts w:ascii="Arial" w:cs="Arial" w:eastAsia="Arial" w:hAnsi="Arial"/>
          <w:sz w:val="16"/>
          <w:szCs w:val="16"/>
          <w:b w:val="1"/>
          <w:bCs w:val="1"/>
          <w:color w:val="auto"/>
        </w:rPr>
        <w:t xml:space="preserve"> </w:t>
      </w:r>
      <w:r>
        <w:rPr>
          <w:rFonts w:ascii="Arial" w:cs="Arial" w:eastAsia="Arial" w:hAnsi="Arial"/>
          <w:sz w:val="16"/>
          <w:szCs w:val="16"/>
          <w:color w:val="auto"/>
        </w:rPr>
        <w:t>Valid Claims of Licensed Patents or Nonexclusive Licensed Patents, equal to (i) [***]% of the portion of aggregate annual Net Sales of such Licensed Product that is [***]; (ii) [***]% of the portion of aggregate annual Net Sales of such Licensed Product that is [***]; and</w:t>
      </w:r>
    </w:p>
    <w:p>
      <w:pPr>
        <w:spacing w:after="0" w:line="2" w:lineRule="exact"/>
        <w:rPr>
          <w:sz w:val="20"/>
          <w:szCs w:val="20"/>
          <w:color w:val="auto"/>
        </w:rPr>
      </w:pPr>
    </w:p>
    <w:p>
      <w:pPr>
        <w:jc w:val="both"/>
        <w:ind w:left="964" w:right="240" w:firstLine="8"/>
        <w:spacing w:after="0" w:line="253" w:lineRule="auto"/>
        <w:tabs>
          <w:tab w:leader="none" w:pos="127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of the portion of aggregate annual Net Sales of such Licensed Product that is [***]. Alexo shall pay Stanford royalties with respect to Net Sales of Licensed Products that are not covered by Valid Claims of Licensed Patents or Nonexclusive Licensed Patents in the country where the sale is made but are covered by Valid Claims of Licensed Patents or Nonexclusive Licensed Patents in another country at a rate equal to [***]% of the rates set forth in clauses (a)(i)-(iii).</w:t>
      </w:r>
    </w:p>
    <w:p>
      <w:pPr>
        <w:spacing w:after="0" w:line="85" w:lineRule="exact"/>
        <w:rPr>
          <w:sz w:val="20"/>
          <w:szCs w:val="20"/>
          <w:color w:val="auto"/>
        </w:rPr>
      </w:pPr>
    </w:p>
    <w:p>
      <w:pPr>
        <w:ind w:left="1244" w:hanging="253"/>
        <w:spacing w:after="0"/>
        <w:tabs>
          <w:tab w:leader="none" w:pos="124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Alexo shall pay royalties with respect to each Licensed Product [***], or (ii) if [***].</w:t>
      </w:r>
    </w:p>
    <w:p>
      <w:pPr>
        <w:spacing w:after="0" w:line="117" w:lineRule="exact"/>
        <w:rPr>
          <w:rFonts w:ascii="Arial" w:cs="Arial" w:eastAsia="Arial" w:hAnsi="Arial"/>
          <w:sz w:val="18"/>
          <w:szCs w:val="18"/>
          <w:color w:val="auto"/>
        </w:rPr>
      </w:pPr>
    </w:p>
    <w:p>
      <w:pPr>
        <w:ind w:left="984" w:right="100" w:firstLine="7"/>
        <w:spacing w:after="0" w:line="257" w:lineRule="auto"/>
        <w:tabs>
          <w:tab w:leader="none" w:pos="122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If Alexo, in its reasonable judgment, elects to pay royalties or similar payments to one or more third parties for patented technology to avoid infringement by a Licensed Product or the manufacture of a Licensed Product of such third party patent(s), Alexo may, beginning from the date of such third party license, deduct [***]% of the amount of royalties paid to such third party on sales of Licensed Product under such licenses from the amounts payable to Stanford,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deductions reduce by no more than [***]% the royalties otherwise due Stanford with respect to such Licensed Product.</w:t>
      </w:r>
    </w:p>
    <w:p>
      <w:pPr>
        <w:spacing w:after="0" w:line="79" w:lineRule="exact"/>
        <w:rPr>
          <w:rFonts w:ascii="Arial" w:cs="Arial" w:eastAsia="Arial" w:hAnsi="Arial"/>
          <w:sz w:val="18"/>
          <w:szCs w:val="18"/>
          <w:color w:val="auto"/>
        </w:rPr>
      </w:pPr>
    </w:p>
    <w:p>
      <w:pPr>
        <w:ind w:left="1244" w:hanging="253"/>
        <w:spacing w:after="0"/>
        <w:tabs>
          <w:tab w:leader="none" w:pos="124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Royalties are payable as long as a Valid Claim for the particular Licensed Product remains in effect.</w:t>
      </w:r>
    </w:p>
    <w:p>
      <w:pPr>
        <w:spacing w:after="0" w:line="248" w:lineRule="exact"/>
        <w:rPr>
          <w:sz w:val="20"/>
          <w:szCs w:val="20"/>
          <w:color w:val="auto"/>
        </w:rPr>
      </w:pPr>
    </w:p>
    <w:p>
      <w:pPr>
        <w:ind w:left="964" w:hanging="539"/>
        <w:spacing w:after="0" w:line="261" w:lineRule="auto"/>
        <w:tabs>
          <w:tab w:leader="none" w:pos="944"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b w:val="1"/>
          <w:bCs w:val="1"/>
          <w:color w:val="auto"/>
        </w:rPr>
        <w:t xml:space="preserve">Earned Royalty if Alexo Challenges the Patent. </w:t>
      </w:r>
      <w:r>
        <w:rPr>
          <w:rFonts w:ascii="Arial" w:cs="Arial" w:eastAsia="Arial" w:hAnsi="Arial"/>
          <w:sz w:val="18"/>
          <w:szCs w:val="18"/>
          <w:color w:val="auto"/>
        </w:rPr>
        <w:t>Notwithstanding the above, should Alexo bring an action seeking to invalidate any</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Patent, Alexo will pay royalties to Stanford [***] during the pendency of such action. Moreover, should the outcome of such action determine that any claim of a patent challenged by Alexo is both valid and infringed by a Licensed Product, Alexo will pay royalties [***].</w:t>
      </w:r>
    </w:p>
    <w:p>
      <w:pPr>
        <w:spacing w:after="0" w:line="207" w:lineRule="exact"/>
        <w:rPr>
          <w:sz w:val="20"/>
          <w:szCs w:val="20"/>
          <w:color w:val="auto"/>
        </w:rPr>
      </w:pPr>
    </w:p>
    <w:p>
      <w:pPr>
        <w:ind w:left="964" w:right="180" w:hanging="539"/>
        <w:spacing w:after="0" w:line="282" w:lineRule="auto"/>
        <w:tabs>
          <w:tab w:leader="none" w:pos="944"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8"/>
          <w:szCs w:val="18"/>
          <w:b w:val="1"/>
          <w:bCs w:val="1"/>
          <w:color w:val="auto"/>
        </w:rPr>
        <w:t xml:space="preserve">Creditable Payments. </w:t>
      </w:r>
      <w:r>
        <w:rPr>
          <w:rFonts w:ascii="Arial" w:cs="Arial" w:eastAsia="Arial" w:hAnsi="Arial"/>
          <w:sz w:val="18"/>
          <w:szCs w:val="18"/>
          <w:color w:val="auto"/>
        </w:rPr>
        <w:t>The license maintenance fee for a year may be offset against earned royalty payments due on Net Sales occurring</w:t>
      </w:r>
      <w:r>
        <w:rPr>
          <w:rFonts w:ascii="Arial" w:cs="Arial" w:eastAsia="Arial" w:hAnsi="Arial"/>
          <w:sz w:val="18"/>
          <w:szCs w:val="18"/>
          <w:b w:val="1"/>
          <w:bCs w:val="1"/>
          <w:color w:val="auto"/>
        </w:rPr>
        <w:t xml:space="preserve"> </w:t>
      </w:r>
      <w:r>
        <w:rPr>
          <w:rFonts w:ascii="Arial" w:cs="Arial" w:eastAsia="Arial" w:hAnsi="Arial"/>
          <w:sz w:val="18"/>
          <w:szCs w:val="18"/>
          <w:color w:val="auto"/>
        </w:rPr>
        <w:t>in that year.</w:t>
      </w:r>
    </w:p>
    <w:p>
      <w:pPr>
        <w:spacing w:after="0" w:line="98" w:lineRule="exact"/>
        <w:rPr>
          <w:sz w:val="20"/>
          <w:szCs w:val="20"/>
          <w:color w:val="auto"/>
        </w:rPr>
      </w:pPr>
    </w:p>
    <w:p>
      <w:pPr>
        <w:ind w:left="424" w:right="260" w:hanging="424"/>
        <w:spacing w:after="0" w:line="277" w:lineRule="auto"/>
        <w:tabs>
          <w:tab w:leader="none" w:pos="42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004"/>
          </w:cols>
          <w:pgMar w:left="436" w:top="288" w:right="459" w:bottom="1440" w:gutter="0" w:footer="0" w:header="0"/>
        </w:sectPr>
      </w:pPr>
    </w:p>
    <w:bookmarkStart w:id="253" w:name="page254"/>
    <w:bookmarkEnd w:id="253"/>
    <w:p>
      <w:pPr>
        <w:ind w:left="984"/>
        <w:spacing w:after="0"/>
        <w:tabs>
          <w:tab w:leader="none" w:pos="1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t>
      </w:r>
      <w:r>
        <w:rPr>
          <w:sz w:val="20"/>
          <w:szCs w:val="20"/>
          <w:color w:val="auto"/>
        </w:rPr>
        <w:tab/>
      </w:r>
      <w:r>
        <w:rPr>
          <w:rFonts w:ascii="Arial" w:cs="Arial" w:eastAsia="Arial" w:hAnsi="Arial"/>
          <w:sz w:val="16"/>
          <w:szCs w:val="16"/>
          <w:color w:val="auto"/>
        </w:rPr>
        <w:t>example:</w:t>
      </w:r>
    </w:p>
    <w:p>
      <w:pPr>
        <w:spacing w:after="0" w:line="131" w:lineRule="exact"/>
        <w:rPr>
          <w:sz w:val="20"/>
          <w:szCs w:val="20"/>
          <w:color w:val="auto"/>
        </w:rPr>
      </w:pPr>
    </w:p>
    <w:p>
      <w:pPr>
        <w:ind w:left="1424" w:right="60" w:hanging="439"/>
        <w:spacing w:after="0" w:line="308" w:lineRule="auto"/>
        <w:tabs>
          <w:tab w:leader="none" w:pos="1424"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if Alexo pays Stanford a $10 maintenance payment for year Y, and according to Section 7.9 $15 in earned royalties are due Stanford for Net Sales in year Y, Alexo will only need to pay Stanford an additional $5 for that year’s earned royalties.</w:t>
      </w:r>
    </w:p>
    <w:p>
      <w:pPr>
        <w:spacing w:after="0" w:line="51" w:lineRule="exact"/>
        <w:rPr>
          <w:rFonts w:ascii="Arial" w:cs="Arial" w:eastAsia="Arial" w:hAnsi="Arial"/>
          <w:sz w:val="17"/>
          <w:szCs w:val="17"/>
          <w:color w:val="auto"/>
        </w:rPr>
      </w:pPr>
    </w:p>
    <w:p>
      <w:pPr>
        <w:ind w:left="1424" w:hanging="439"/>
        <w:spacing w:after="0" w:line="263" w:lineRule="auto"/>
        <w:tabs>
          <w:tab w:leader="none" w:pos="1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Alexo pays Stanford a $10 maintenance payment for year Y, and according to Section 7.9 $3 in earned royalties are due Stanford for Net Sales in year Y, Alexo will not need to pay Stanford any earned royalty payment for that year. Alexo will not be able to offset the remaining $7 against a future year’s earned royalties.</w:t>
      </w:r>
    </w:p>
    <w:p>
      <w:pPr>
        <w:spacing w:after="0" w:line="207" w:lineRule="exact"/>
        <w:rPr>
          <w:sz w:val="20"/>
          <w:szCs w:val="20"/>
          <w:color w:val="auto"/>
        </w:rPr>
      </w:pPr>
    </w:p>
    <w:p>
      <w:pPr>
        <w:ind w:left="964" w:right="40" w:hanging="539"/>
        <w:spacing w:after="0" w:line="261" w:lineRule="auto"/>
        <w:tabs>
          <w:tab w:leader="none" w:pos="944"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8"/>
          <w:szCs w:val="18"/>
          <w:b w:val="1"/>
          <w:bCs w:val="1"/>
          <w:color w:val="auto"/>
        </w:rPr>
        <w:t xml:space="preserve">Obligation to Pay Royalties. </w:t>
      </w:r>
      <w:r>
        <w:rPr>
          <w:rFonts w:ascii="Arial" w:cs="Arial" w:eastAsia="Arial" w:hAnsi="Arial"/>
          <w:sz w:val="18"/>
          <w:szCs w:val="18"/>
          <w:color w:val="auto"/>
        </w:rPr>
        <w:t>A royalty is due Stanford under this Agreement for any activity conducted under the licenses granted.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convenience’s sake, the amount of that royalty is calculated using Net Sales. Nonetheless, if certain Licensed Products are [***], and those Licensed Products are [***], Alexo will pay Stanford an earned royalty for its exercise of rights based on the Net Sales of those Licensed Products.</w:t>
      </w:r>
    </w:p>
    <w:p>
      <w:pPr>
        <w:spacing w:after="0" w:line="207"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b w:val="1"/>
          <w:bCs w:val="1"/>
          <w:color w:val="auto"/>
        </w:rPr>
        <w:t xml:space="preserve">No Escrow. </w:t>
      </w:r>
      <w:r>
        <w:rPr>
          <w:rFonts w:ascii="Arial" w:cs="Arial" w:eastAsia="Arial" w:hAnsi="Arial"/>
          <w:sz w:val="16"/>
          <w:szCs w:val="16"/>
          <w:color w:val="auto"/>
        </w:rPr>
        <w:t>Alexo shall not pay royalties into any escrow or other similar account.</w:t>
      </w:r>
    </w:p>
    <w:p>
      <w:pPr>
        <w:spacing w:after="0" w:line="252" w:lineRule="exact"/>
        <w:rPr>
          <w:sz w:val="20"/>
          <w:szCs w:val="20"/>
          <w:color w:val="auto"/>
        </w:rPr>
      </w:pPr>
    </w:p>
    <w:p>
      <w:pPr>
        <w:jc w:val="both"/>
        <w:ind w:left="964" w:right="160" w:hanging="539"/>
        <w:spacing w:after="0" w:line="266" w:lineRule="auto"/>
        <w:tabs>
          <w:tab w:leader="none" w:pos="944"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8"/>
          <w:szCs w:val="18"/>
          <w:b w:val="1"/>
          <w:bCs w:val="1"/>
          <w:color w:val="auto"/>
        </w:rPr>
        <w:t xml:space="preserve">Currency. </w:t>
      </w:r>
      <w:r>
        <w:rPr>
          <w:rFonts w:ascii="Arial" w:cs="Arial" w:eastAsia="Arial" w:hAnsi="Arial"/>
          <w:sz w:val="18"/>
          <w:szCs w:val="18"/>
          <w:color w:val="auto"/>
        </w:rPr>
        <w:t>Alexo will calculate the royalty on sales in currencies other than U.S. Dollars using the appropriate foreign exchange rate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currency quoted by the Wall Street Journal on the close of business on the last banking day of each calendar quarter. Alexo will make royalty payments to Stanford in U.S. Dollars.</w:t>
      </w:r>
    </w:p>
    <w:p>
      <w:pPr>
        <w:spacing w:after="0" w:line="203" w:lineRule="exact"/>
        <w:rPr>
          <w:sz w:val="20"/>
          <w:szCs w:val="20"/>
          <w:color w:val="auto"/>
        </w:rPr>
      </w:pPr>
    </w:p>
    <w:p>
      <w:pPr>
        <w:ind w:left="964" w:right="20" w:hanging="539"/>
        <w:spacing w:after="0" w:line="282" w:lineRule="auto"/>
        <w:tabs>
          <w:tab w:leader="none" w:pos="944"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8"/>
          <w:szCs w:val="18"/>
          <w:b w:val="1"/>
          <w:bCs w:val="1"/>
          <w:color w:val="auto"/>
        </w:rPr>
        <w:t xml:space="preserve">Non-U.S. Taxes. </w:t>
      </w:r>
      <w:r>
        <w:rPr>
          <w:rFonts w:ascii="Arial" w:cs="Arial" w:eastAsia="Arial" w:hAnsi="Arial"/>
          <w:sz w:val="18"/>
          <w:szCs w:val="18"/>
          <w:color w:val="auto"/>
        </w:rPr>
        <w:t>Alexo will pay all non-U.S. taxes related to royalty payments. These payments are not deductible from any payments due</w:t>
      </w:r>
      <w:r>
        <w:rPr>
          <w:rFonts w:ascii="Arial" w:cs="Arial" w:eastAsia="Arial" w:hAnsi="Arial"/>
          <w:sz w:val="18"/>
          <w:szCs w:val="18"/>
          <w:b w:val="1"/>
          <w:bCs w:val="1"/>
          <w:color w:val="auto"/>
        </w:rPr>
        <w:t xml:space="preserve"> </w:t>
      </w:r>
      <w:r>
        <w:rPr>
          <w:rFonts w:ascii="Arial" w:cs="Arial" w:eastAsia="Arial" w:hAnsi="Arial"/>
          <w:sz w:val="18"/>
          <w:szCs w:val="18"/>
          <w:color w:val="auto"/>
        </w:rPr>
        <w:t>to Stanford.</w:t>
      </w:r>
    </w:p>
    <w:p>
      <w:pPr>
        <w:spacing w:after="0" w:line="18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6"/>
          <w:szCs w:val="16"/>
          <w:b w:val="1"/>
          <w:bCs w:val="1"/>
          <w:color w:val="auto"/>
        </w:rPr>
        <w:t xml:space="preserve">Interest. </w:t>
      </w:r>
      <w:r>
        <w:rPr>
          <w:rFonts w:ascii="Arial" w:cs="Arial" w:eastAsia="Arial" w:hAnsi="Arial"/>
          <w:sz w:val="16"/>
          <w:szCs w:val="16"/>
          <w:color w:val="auto"/>
        </w:rPr>
        <w:t>Any payments not made when due will bear interest at the lower of (a) the Prime Rate published in the Wall Street Journal plus</w:t>
      </w:r>
    </w:p>
    <w:p>
      <w:pPr>
        <w:spacing w:after="0" w:line="27" w:lineRule="exact"/>
        <w:rPr>
          <w:sz w:val="20"/>
          <w:szCs w:val="20"/>
          <w:color w:val="auto"/>
        </w:rPr>
      </w:pPr>
    </w:p>
    <w:p>
      <w:pPr>
        <w:ind w:left="1404" w:hanging="432"/>
        <w:spacing w:after="0"/>
        <w:tabs>
          <w:tab w:leader="none" w:pos="140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basis points or (b) the maximum rate permitted by law.</w:t>
      </w:r>
    </w:p>
    <w:p>
      <w:pPr>
        <w:spacing w:after="0" w:line="355" w:lineRule="exact"/>
        <w:rPr>
          <w:rFonts w:ascii="Arial" w:cs="Arial" w:eastAsia="Arial" w:hAnsi="Arial"/>
          <w:sz w:val="18"/>
          <w:szCs w:val="18"/>
          <w:color w:val="auto"/>
        </w:rPr>
      </w:pPr>
    </w:p>
    <w:p>
      <w:pPr>
        <w:ind w:left="424" w:hanging="424"/>
        <w:spacing w:after="0"/>
        <w:tabs>
          <w:tab w:leader="none" w:pos="424"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ROYALTY REPORTS, PAYMENTS, AND ACCOUNTING</w:t>
      </w:r>
    </w:p>
    <w:p>
      <w:pPr>
        <w:spacing w:after="0" w:line="130" w:lineRule="exact"/>
        <w:rPr>
          <w:rFonts w:ascii="Arial" w:cs="Arial" w:eastAsia="Arial" w:hAnsi="Arial"/>
          <w:sz w:val="18"/>
          <w:szCs w:val="18"/>
          <w:b w:val="1"/>
          <w:bCs w:val="1"/>
          <w:color w:val="auto"/>
        </w:rPr>
      </w:pPr>
    </w:p>
    <w:p>
      <w:pPr>
        <w:ind w:left="964" w:right="40" w:hanging="540"/>
        <w:spacing w:after="0" w:line="274" w:lineRule="auto"/>
        <w:rPr>
          <w:rFonts w:ascii="Arial" w:cs="Arial" w:eastAsia="Arial" w:hAnsi="Arial"/>
          <w:sz w:val="18"/>
          <w:szCs w:val="18"/>
          <w:b w:val="1"/>
          <w:bCs w:val="1"/>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Quarterly Earned Royalty Payment and Report.</w:t>
      </w:r>
      <w:r>
        <w:rPr>
          <w:rFonts w:ascii="Arial" w:cs="Arial" w:eastAsia="Arial" w:hAnsi="Arial"/>
          <w:sz w:val="17"/>
          <w:szCs w:val="17"/>
          <w:color w:val="auto"/>
        </w:rPr>
        <w:t xml:space="preserve"> Beginning with the first sale of a Licensed Product by Alexo or a sublicensee, Alexo will submit to Stanford a written report (even if there are no sales) and an earned royalty payment within [***] days after the end of each calendar quarter. This report will be in the form of Appendix B and will state the number, description, and aggregate Net Sales of Licensed Product during the completed calendar quarter. The report will include an overview of the process and documents relied upon to permit Stanford to understand how the earned royalties are calculated. With each report Alexo will include any earned royalty payment due Stanford for the completed calendar quarter (as calculated under Section 7.9).</w:t>
      </w:r>
    </w:p>
    <w:p>
      <w:pPr>
        <w:spacing w:after="0" w:line="200" w:lineRule="exact"/>
        <w:rPr>
          <w:rFonts w:ascii="Arial" w:cs="Arial" w:eastAsia="Arial" w:hAnsi="Arial"/>
          <w:sz w:val="18"/>
          <w:szCs w:val="18"/>
          <w:b w:val="1"/>
          <w:bCs w:val="1"/>
          <w:color w:val="auto"/>
        </w:rPr>
      </w:pPr>
    </w:p>
    <w:p>
      <w:pPr>
        <w:ind w:left="964" w:right="36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No Refund.</w:t>
      </w:r>
      <w:r>
        <w:rPr>
          <w:rFonts w:ascii="Arial" w:cs="Arial" w:eastAsia="Arial" w:hAnsi="Arial"/>
          <w:sz w:val="18"/>
          <w:szCs w:val="18"/>
          <w:color w:val="auto"/>
        </w:rPr>
        <w:t xml:space="preserve"> In the event that a validity or non-infringement challenge of a Licensed Patent brought by Alexo is successful, Alexo will have no right to recoup any royalties paid before or during the period challenge.</w:t>
      </w:r>
    </w:p>
    <w:p>
      <w:pPr>
        <w:spacing w:after="0" w:line="98" w:lineRule="exact"/>
        <w:rPr>
          <w:sz w:val="20"/>
          <w:szCs w:val="20"/>
          <w:color w:val="auto"/>
        </w:rPr>
      </w:pPr>
    </w:p>
    <w:p>
      <w:pPr>
        <w:ind w:left="424" w:right="260" w:hanging="424"/>
        <w:spacing w:after="0" w:line="277" w:lineRule="auto"/>
        <w:tabs>
          <w:tab w:leader="none" w:pos="42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004"/>
          </w:cols>
          <w:pgMar w:left="436" w:top="274" w:right="459" w:bottom="1440" w:gutter="0" w:footer="0" w:header="0"/>
        </w:sectPr>
      </w:pPr>
    </w:p>
    <w:bookmarkStart w:id="254" w:name="page255"/>
    <w:bookmarkEnd w:id="254"/>
    <w:p>
      <w:pPr>
        <w:ind w:left="964" w:right="40" w:hanging="539"/>
        <w:spacing w:after="0" w:line="266"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8.3</w:t>
      </w:r>
      <w:r>
        <w:rPr>
          <w:sz w:val="20"/>
          <w:szCs w:val="20"/>
          <w:color w:val="auto"/>
        </w:rPr>
        <w:tab/>
      </w:r>
      <w:r>
        <w:rPr>
          <w:rFonts w:ascii="Arial" w:cs="Arial" w:eastAsia="Arial" w:hAnsi="Arial"/>
          <w:sz w:val="18"/>
          <w:szCs w:val="18"/>
          <w:b w:val="1"/>
          <w:bCs w:val="1"/>
          <w:color w:val="auto"/>
        </w:rPr>
        <w:t xml:space="preserve">Termination Report. </w:t>
      </w:r>
      <w:r>
        <w:rPr>
          <w:rFonts w:ascii="Arial" w:cs="Arial" w:eastAsia="Arial" w:hAnsi="Arial"/>
          <w:sz w:val="18"/>
          <w:szCs w:val="18"/>
          <w:color w:val="auto"/>
        </w:rPr>
        <w:t>Alexo will pay to Stanford all applicable royalties and submit to Stanford a written report within [***] days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terminates. Alexo will continue to submit earned royalty payments and reports to Stanford after the license terminates, until all Licensed Products made or imported under the license have been sold.</w:t>
      </w:r>
    </w:p>
    <w:p>
      <w:pPr>
        <w:spacing w:after="0" w:line="203" w:lineRule="exact"/>
        <w:rPr>
          <w:sz w:val="20"/>
          <w:szCs w:val="20"/>
          <w:color w:val="auto"/>
        </w:rPr>
      </w:pPr>
    </w:p>
    <w:p>
      <w:pPr>
        <w:ind w:left="964" w:hanging="539"/>
        <w:spacing w:after="0" w:line="274" w:lineRule="auto"/>
        <w:tabs>
          <w:tab w:leader="none" w:pos="94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b w:val="1"/>
          <w:bCs w:val="1"/>
          <w:color w:val="auto"/>
        </w:rPr>
        <w:t xml:space="preserve">Accounting. </w:t>
      </w:r>
      <w:r>
        <w:rPr>
          <w:rFonts w:ascii="Arial" w:cs="Arial" w:eastAsia="Arial" w:hAnsi="Arial"/>
          <w:sz w:val="17"/>
          <w:szCs w:val="17"/>
          <w:color w:val="auto"/>
        </w:rPr>
        <w:t>Alexo will maintain complete and accurate records showing sufficient information to permit Stanford to determine the</w:t>
      </w:r>
      <w:r>
        <w:rPr>
          <w:rFonts w:ascii="Arial" w:cs="Arial" w:eastAsia="Arial" w:hAnsi="Arial"/>
          <w:sz w:val="17"/>
          <w:szCs w:val="17"/>
          <w:b w:val="1"/>
          <w:bCs w:val="1"/>
          <w:color w:val="auto"/>
        </w:rPr>
        <w:t xml:space="preserve"> </w:t>
      </w:r>
      <w:r>
        <w:rPr>
          <w:rFonts w:ascii="Arial" w:cs="Arial" w:eastAsia="Arial" w:hAnsi="Arial"/>
          <w:sz w:val="17"/>
          <w:szCs w:val="17"/>
          <w:color w:val="auto"/>
        </w:rPr>
        <w:t>accuracy of royalty payments (including manufacture and sale), sublicensing revenue, and milestone achievement, in respect of a Licensed Product for [***] years from the date of sale of that unit of Licensed Product. Records shall be kept in accordance with Generally Accepted Accounting Practices or International Financial Reporting Standards, as applicable, and will include general-ledger records showing cash receipts and expenses, and records that include: production records, customers invoices, and related information in sufficient detail to enable Stanford to determine the royalties and other amounts payable under this Agreement.</w:t>
      </w:r>
    </w:p>
    <w:p>
      <w:pPr>
        <w:spacing w:after="0" w:line="200" w:lineRule="exact"/>
        <w:rPr>
          <w:sz w:val="20"/>
          <w:szCs w:val="20"/>
          <w:color w:val="auto"/>
        </w:rPr>
      </w:pPr>
    </w:p>
    <w:p>
      <w:pPr>
        <w:ind w:left="964" w:hanging="539"/>
        <w:spacing w:after="0" w:line="270" w:lineRule="auto"/>
        <w:tabs>
          <w:tab w:leader="none" w:pos="944"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b w:val="1"/>
          <w:bCs w:val="1"/>
          <w:color w:val="auto"/>
        </w:rPr>
        <w:t xml:space="preserve">Audit by Stanford. </w:t>
      </w:r>
      <w:r>
        <w:rPr>
          <w:rFonts w:ascii="Arial" w:cs="Arial" w:eastAsia="Arial" w:hAnsi="Arial"/>
          <w:sz w:val="17"/>
          <w:szCs w:val="17"/>
          <w:color w:val="auto"/>
        </w:rPr>
        <w:t>Alexo will allow an independent, certified public accountant selected by Stanford and reasonably acceptable to Alexo,</w:t>
      </w:r>
      <w:r>
        <w:rPr>
          <w:rFonts w:ascii="Arial" w:cs="Arial" w:eastAsia="Arial" w:hAnsi="Arial"/>
          <w:sz w:val="17"/>
          <w:szCs w:val="17"/>
          <w:b w:val="1"/>
          <w:bCs w:val="1"/>
          <w:color w:val="auto"/>
        </w:rPr>
        <w:t xml:space="preserve"> </w:t>
      </w:r>
      <w:r>
        <w:rPr>
          <w:rFonts w:ascii="Arial" w:cs="Arial" w:eastAsia="Arial" w:hAnsi="Arial"/>
          <w:sz w:val="17"/>
          <w:szCs w:val="17"/>
          <w:color w:val="auto"/>
        </w:rPr>
        <w:t>which acceptance will not be unreasonably withheld or delayed to audit or inspect those records of Alexo relating to any amounts payable to Stanford under this Agreement for the purpose of verifying the accuracy of the reports required under Section 8.1. Such inspection will be conducted during Alexo’s normal business hours at such place where such records are customarily kept, no more than [***]. Stanford agrees to hold in confidence all information concerning royalty payments and reports, and all information learned in the course of any audit or inspection, except to the extent necessary for Stanford to reveal such information in order to enforce its rights under this Agreement or if disclosure is required by law, regulation or judicial order. Any person or entity conducting such audit or inspection will agree in writing with Alexo to: (a) treat all records reviewed in the course of the audit or inspection as the confidential information of Alexo; (b) disclose to Stanford only the amount and accuracy of payments reported and actually paid or otherwise payable under this Agreement and the specific details concerning any discrepancies.</w:t>
      </w:r>
    </w:p>
    <w:p>
      <w:pPr>
        <w:spacing w:after="0" w:line="204" w:lineRule="exact"/>
        <w:rPr>
          <w:sz w:val="20"/>
          <w:szCs w:val="20"/>
          <w:color w:val="auto"/>
        </w:rPr>
      </w:pPr>
    </w:p>
    <w:p>
      <w:pPr>
        <w:ind w:left="964" w:hanging="539"/>
        <w:spacing w:after="0" w:line="282" w:lineRule="auto"/>
        <w:tabs>
          <w:tab w:leader="none" w:pos="944"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b w:val="1"/>
          <w:bCs w:val="1"/>
          <w:color w:val="auto"/>
        </w:rPr>
        <w:t xml:space="preserve">Paying for Audit. </w:t>
      </w:r>
      <w:r>
        <w:rPr>
          <w:rFonts w:ascii="Arial" w:cs="Arial" w:eastAsia="Arial" w:hAnsi="Arial"/>
          <w:sz w:val="18"/>
          <w:szCs w:val="18"/>
          <w:color w:val="auto"/>
        </w:rPr>
        <w:t>Stanford will pay for any audit done under Section 8.5. But if the audit reveals an underreporting of earned royalties due</w:t>
      </w:r>
      <w:r>
        <w:rPr>
          <w:rFonts w:ascii="Arial" w:cs="Arial" w:eastAsia="Arial" w:hAnsi="Arial"/>
          <w:sz w:val="18"/>
          <w:szCs w:val="18"/>
          <w:b w:val="1"/>
          <w:bCs w:val="1"/>
          <w:color w:val="auto"/>
        </w:rPr>
        <w:t xml:space="preserve"> </w:t>
      </w:r>
      <w:r>
        <w:rPr>
          <w:rFonts w:ascii="Arial" w:cs="Arial" w:eastAsia="Arial" w:hAnsi="Arial"/>
          <w:sz w:val="18"/>
          <w:szCs w:val="18"/>
          <w:color w:val="auto"/>
        </w:rPr>
        <w:t>Stanford of [***]% or more for the period being audited, Alexo will pay the audit costs.</w:t>
      </w:r>
    </w:p>
    <w:p>
      <w:pPr>
        <w:spacing w:after="0" w:line="310" w:lineRule="exact"/>
        <w:rPr>
          <w:sz w:val="20"/>
          <w:szCs w:val="20"/>
          <w:color w:val="auto"/>
        </w:rPr>
      </w:pPr>
    </w:p>
    <w:p>
      <w:pPr>
        <w:ind w:left="424" w:hanging="424"/>
        <w:spacing w:after="0"/>
        <w:tabs>
          <w:tab w:leader="none" w:pos="424"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 AND NEGATION OF WARRANTIES</w:t>
      </w:r>
    </w:p>
    <w:p>
      <w:pPr>
        <w:spacing w:after="0" w:line="130" w:lineRule="exact"/>
        <w:rPr>
          <w:rFonts w:ascii="Arial" w:cs="Arial" w:eastAsia="Arial" w:hAnsi="Arial"/>
          <w:sz w:val="18"/>
          <w:szCs w:val="18"/>
          <w:b w:val="1"/>
          <w:bCs w:val="1"/>
          <w:color w:val="auto"/>
        </w:rPr>
      </w:pPr>
    </w:p>
    <w:p>
      <w:pPr>
        <w:ind w:left="964" w:right="40" w:hanging="5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Negation of Warranties.</w:t>
      </w:r>
      <w:r>
        <w:rPr>
          <w:rFonts w:ascii="Arial" w:cs="Arial" w:eastAsia="Arial" w:hAnsi="Arial"/>
          <w:sz w:val="18"/>
          <w:szCs w:val="18"/>
          <w:color w:val="auto"/>
        </w:rPr>
        <w:t xml:space="preserve"> Stanford provides Alexo the rights granted in this Agreement AS IS and WITH ALL FAULTS. Stanford makes no representations and extends no warranties of any kind, either express or implied. Among other things, Stanford disclaims any express or implied warranty:</w:t>
      </w:r>
    </w:p>
    <w:p>
      <w:pPr>
        <w:spacing w:after="0" w:line="85" w:lineRule="exact"/>
        <w:rPr>
          <w:rFonts w:ascii="Arial" w:cs="Arial" w:eastAsia="Arial" w:hAnsi="Arial"/>
          <w:sz w:val="18"/>
          <w:szCs w:val="18"/>
          <w:b w:val="1"/>
          <w:bCs w:val="1"/>
          <w:color w:val="auto"/>
        </w:rPr>
      </w:pPr>
    </w:p>
    <w:p>
      <w:pPr>
        <w:ind w:left="1424" w:hanging="439"/>
        <w:spacing w:after="0"/>
        <w:tabs>
          <w:tab w:leader="none" w:pos="142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of merchantability, of fitness for a particular purpose;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of non-infringement;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arising out of any course of dealing.</w:t>
      </w:r>
    </w:p>
    <w:p>
      <w:pPr>
        <w:spacing w:after="0" w:line="158" w:lineRule="exact"/>
        <w:rPr>
          <w:sz w:val="20"/>
          <w:szCs w:val="20"/>
          <w:color w:val="auto"/>
        </w:rPr>
      </w:pPr>
    </w:p>
    <w:p>
      <w:pPr>
        <w:ind w:left="424" w:right="280" w:hanging="424"/>
        <w:spacing w:after="0" w:line="277" w:lineRule="auto"/>
        <w:tabs>
          <w:tab w:leader="none" w:pos="42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024"/>
          </w:cols>
          <w:pgMar w:left="436" w:top="270" w:right="439" w:bottom="1440" w:gutter="0" w:footer="0" w:header="0"/>
        </w:sectPr>
      </w:pPr>
    </w:p>
    <w:bookmarkStart w:id="255" w:name="page256"/>
    <w:bookmarkEnd w:id="255"/>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9.2</w:t>
      </w:r>
      <w:r>
        <w:rPr>
          <w:sz w:val="20"/>
          <w:szCs w:val="20"/>
          <w:color w:val="auto"/>
        </w:rPr>
        <w:tab/>
      </w:r>
      <w:r>
        <w:rPr>
          <w:rFonts w:ascii="Arial" w:cs="Arial" w:eastAsia="Arial" w:hAnsi="Arial"/>
          <w:sz w:val="16"/>
          <w:szCs w:val="16"/>
          <w:b w:val="1"/>
          <w:bCs w:val="1"/>
          <w:color w:val="auto"/>
        </w:rPr>
        <w:t xml:space="preserve">No Representation of Licensed Patent. </w:t>
      </w:r>
      <w:r>
        <w:rPr>
          <w:rFonts w:ascii="Arial" w:cs="Arial" w:eastAsia="Arial" w:hAnsi="Arial"/>
          <w:sz w:val="16"/>
          <w:szCs w:val="16"/>
          <w:color w:val="auto"/>
        </w:rPr>
        <w:t>Alexo also acknowledges that Stanford does not represent or warrant:</w:t>
      </w:r>
    </w:p>
    <w:p>
      <w:pPr>
        <w:spacing w:after="0" w:line="135" w:lineRule="exact"/>
        <w:rPr>
          <w:sz w:val="20"/>
          <w:szCs w:val="20"/>
          <w:color w:val="auto"/>
        </w:rPr>
      </w:pPr>
    </w:p>
    <w:p>
      <w:pPr>
        <w:ind w:left="1424" w:hanging="439"/>
        <w:spacing w:after="0"/>
        <w:tabs>
          <w:tab w:leader="none" w:pos="142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validity or scope of any Licensed Patents or Nonexclusive Licensed Patents;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that the exploitation of Licensed Patents or Nonexclusive Licensed Patents will be successful.</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30" w:lineRule="exact"/>
        <w:rPr>
          <w:rFonts w:ascii="Arial" w:cs="Arial" w:eastAsia="Arial" w:hAnsi="Arial"/>
          <w:sz w:val="18"/>
          <w:szCs w:val="18"/>
          <w:b w:val="1"/>
          <w:bCs w:val="1"/>
          <w:color w:val="auto"/>
        </w:rPr>
      </w:pPr>
    </w:p>
    <w:p>
      <w:pPr>
        <w:ind w:left="964" w:right="140" w:hanging="5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(A) Alexo will, and will require sublicensees to, indemnify, hold harmless, and defend all Stanford Indemnitees against any claims, suits, losses, damages, costs, fees, and expenses of any kind (collectively. “Losses”) incurred by or imposed upon them in connection with any third party claims, suits or actions resulting from arising out of or related to the exercise of any rights granted Alexo under this Agreement or the breach of this Agreement by Alexo, its sublicensees or affiliates. Alexo’s indemnification under this Section 10.1(A) shall not apply to Losses that arise as a result of Stanford’s practice of the rights it reserves under Section 3.3.</w:t>
      </w:r>
    </w:p>
    <w:p>
      <w:pPr>
        <w:spacing w:after="0" w:line="49" w:lineRule="exact"/>
        <w:rPr>
          <w:rFonts w:ascii="Arial" w:cs="Arial" w:eastAsia="Arial" w:hAnsi="Arial"/>
          <w:sz w:val="18"/>
          <w:szCs w:val="18"/>
          <w:b w:val="1"/>
          <w:bCs w:val="1"/>
          <w:color w:val="auto"/>
        </w:rPr>
      </w:pPr>
    </w:p>
    <w:p>
      <w:pPr>
        <w:ind w:left="984" w:firstLine="7"/>
        <w:spacing w:after="0" w:line="273" w:lineRule="auto"/>
        <w:tabs>
          <w:tab w:leader="none" w:pos="1269" w:val="left"/>
        </w:tabs>
        <w:numPr>
          <w:ilvl w:val="1"/>
          <w:numId w:val="194"/>
        </w:numPr>
        <w:rPr>
          <w:rFonts w:ascii="Arial" w:cs="Arial" w:eastAsia="Arial" w:hAnsi="Arial"/>
          <w:sz w:val="17"/>
          <w:szCs w:val="17"/>
          <w:color w:val="auto"/>
        </w:rPr>
      </w:pPr>
      <w:r>
        <w:rPr>
          <w:rFonts w:ascii="Arial" w:cs="Arial" w:eastAsia="Arial" w:hAnsi="Arial"/>
          <w:sz w:val="17"/>
          <w:szCs w:val="17"/>
          <w:color w:val="auto"/>
        </w:rPr>
        <w:t>HHMI and its trustees, officers, employees and agents (collectively, “HHMI Indemnitees”), will be indemnified, defended by counsel acceptable to HHMI, and held harmless by Alexo from and against any claim, expense, damage, deficiency, liability, cost, loss or obligation of any kind or nature (including, without limitation, reasonable attorneys’ fees and other costs and expenses of defense), (collectively, “Claims”), based upon, arising out of, or otherwise relating to this Agreement or any Sublicense, including without limitation any cause of action relating to product liability. The previous sentence will not apply to any Claim that is determined with finality by a court of competent jurisdiction to result solely from the gross negligence or willful misconduct of an HHMI employee.</w:t>
      </w:r>
    </w:p>
    <w:p>
      <w:pPr>
        <w:spacing w:after="0" w:line="69" w:lineRule="exact"/>
        <w:rPr>
          <w:rFonts w:ascii="Arial" w:cs="Arial" w:eastAsia="Arial" w:hAnsi="Arial"/>
          <w:sz w:val="17"/>
          <w:szCs w:val="17"/>
          <w:color w:val="auto"/>
        </w:rPr>
      </w:pPr>
    </w:p>
    <w:p>
      <w:pPr>
        <w:ind w:left="984" w:firstLine="7"/>
        <w:spacing w:after="0" w:line="268" w:lineRule="auto"/>
        <w:tabs>
          <w:tab w:leader="none" w:pos="1269"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To receive the benefit of indemnification under Section 10.1(a) or Section 10.1(b), as applicable, Stanford Indemnitees or HHMI Indemnitees must promptly notify Alexo in writing of any claim or suit brought against Stanford Indemnitees or HHMI Indemnitees in respect of which Stanford Indemnitees or HHMI Indemnitees intend(s) to invoke the provisions of this Article 10. In the case of any HHMI Indemnitee, such notice shall be given reasonably promptly following actual receipt of written notice thereof by an officer or attorney of HHMI. Notwithstanding the foregoing, the delay or failure of any Stanford Indemnitee or HHMI Indemnitee to give reasonably prompt notice to Alexo of any such claim or suit shall not affect the rights of such Stanford Indemnitee or HHMI Indemnitee under this Article 10 unless, and then solely to the extent that, such failure actually and materially prejudices the rights of Alexo. To receive the benefit of indemnification under Section 10.1(a) or Section 10.1(b), as applicable, the Stanford Indemnitees or HI-MI Indemnitees, as applicable, will provide reasonable cooperation (at Alexo’s expense) in the defense or settlement of such claim or suit; and tender to Alexo (and its insurer) full authority to defend or settle the claim or suit, subject to the limitation set forth below with respect to settlement by Alexo. Alexo shall keep the Stanford Indemnitees or HHMI Indemnitees, as applicable, informed on a current basis of its defense of any claims or suits under this Article. Alexo will not settle any claim or suit against Stanford Indemnitees or HHMI Indemnitees without Stanford’s or HHMI’s written consent, as applicable, where (1) such settlement would include any admission of liability or admission of wrong doing on the part of the indemnified</w:t>
      </w:r>
    </w:p>
    <w:p>
      <w:pPr>
        <w:spacing w:after="0" w:line="117" w:lineRule="exact"/>
        <w:rPr>
          <w:sz w:val="20"/>
          <w:szCs w:val="20"/>
          <w:color w:val="auto"/>
        </w:rPr>
      </w:pPr>
    </w:p>
    <w:p>
      <w:pPr>
        <w:ind w:left="424" w:right="260" w:hanging="424"/>
        <w:spacing w:after="0" w:line="277" w:lineRule="auto"/>
        <w:tabs>
          <w:tab w:leader="none" w:pos="42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004"/>
          </w:cols>
          <w:pgMar w:left="436" w:top="270" w:right="459" w:bottom="1440" w:gutter="0" w:footer="0" w:header="0"/>
        </w:sectPr>
      </w:pPr>
    </w:p>
    <w:bookmarkStart w:id="256" w:name="page257"/>
    <w:bookmarkEnd w:id="256"/>
    <w:p>
      <w:pPr>
        <w:ind w:left="9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party, (2) such settlement would impose any restriction on Stanford Indemnitees or HHMI Indemnitees’ conduct of any of its activities, or</w:t>
      </w:r>
    </w:p>
    <w:p>
      <w:pPr>
        <w:spacing w:after="0" w:line="46" w:lineRule="exact"/>
        <w:rPr>
          <w:sz w:val="20"/>
          <w:szCs w:val="20"/>
          <w:color w:val="auto"/>
        </w:rPr>
      </w:pPr>
    </w:p>
    <w:p>
      <w:pPr>
        <w:ind w:left="984" w:right="60" w:firstLine="7"/>
        <w:spacing w:after="0" w:line="255" w:lineRule="auto"/>
        <w:tabs>
          <w:tab w:leader="none" w:pos="123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such settlement would not include an unconditional release of Stanford Indemnitees or HHMI Indemnitees from all liability for claims that are the subject matter of the settled claim. Alexo has no obligation to indemnify Stanford Indemnitees’ or HHMI Indemnitees’ in connection with any settlement made without Alexo’s written consent.</w:t>
      </w:r>
    </w:p>
    <w:p>
      <w:pPr>
        <w:spacing w:after="0" w:line="213" w:lineRule="exact"/>
        <w:rPr>
          <w:sz w:val="20"/>
          <w:szCs w:val="20"/>
          <w:color w:val="auto"/>
        </w:rPr>
      </w:pPr>
    </w:p>
    <w:p>
      <w:pPr>
        <w:ind w:left="964" w:right="200" w:hanging="539"/>
        <w:spacing w:after="0" w:line="266" w:lineRule="auto"/>
        <w:tabs>
          <w:tab w:leader="none" w:pos="944"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b w:val="1"/>
          <w:bCs w:val="1"/>
          <w:color w:val="auto"/>
        </w:rPr>
        <w:t xml:space="preserve">No Indirect Liability. </w:t>
      </w:r>
      <w:r>
        <w:rPr>
          <w:rFonts w:ascii="Arial" w:cs="Arial" w:eastAsia="Arial" w:hAnsi="Arial"/>
          <w:sz w:val="18"/>
          <w:szCs w:val="18"/>
          <w:color w:val="auto"/>
        </w:rPr>
        <w:t>Stanford is not liable for any special, consequential, lost profit, expectation, punitive or other indirect damages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claim arising out of or related to this Agreement, whether grounded in tort (including negligence), strict liability, contract, or otherwise.</w:t>
      </w:r>
    </w:p>
    <w:p>
      <w:pPr>
        <w:spacing w:after="0" w:line="203" w:lineRule="exact"/>
        <w:rPr>
          <w:sz w:val="20"/>
          <w:szCs w:val="20"/>
          <w:color w:val="auto"/>
        </w:rPr>
      </w:pPr>
    </w:p>
    <w:p>
      <w:pPr>
        <w:ind w:left="964" w:hanging="539"/>
        <w:spacing w:after="0" w:line="282" w:lineRule="auto"/>
        <w:tabs>
          <w:tab w:leader="none" w:pos="944"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b w:val="1"/>
          <w:bCs w:val="1"/>
          <w:color w:val="auto"/>
        </w:rPr>
        <w:t xml:space="preserve">Workers’ Compensation. </w:t>
      </w:r>
      <w:r>
        <w:rPr>
          <w:rFonts w:ascii="Arial" w:cs="Arial" w:eastAsia="Arial" w:hAnsi="Arial"/>
          <w:sz w:val="18"/>
          <w:szCs w:val="18"/>
          <w:color w:val="auto"/>
        </w:rPr>
        <w:t>Alexo will comply with all statutory workers’ compensation and employers’ liability requirements for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under this Agreement.</w:t>
      </w:r>
    </w:p>
    <w:p>
      <w:pPr>
        <w:spacing w:after="0" w:line="189" w:lineRule="exact"/>
        <w:rPr>
          <w:sz w:val="20"/>
          <w:szCs w:val="20"/>
          <w:color w:val="auto"/>
        </w:rPr>
      </w:pPr>
    </w:p>
    <w:p>
      <w:pPr>
        <w:ind w:left="964" w:right="40" w:hanging="539"/>
        <w:spacing w:after="0" w:line="269" w:lineRule="auto"/>
        <w:tabs>
          <w:tab w:leader="none" w:pos="9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7"/>
          <w:szCs w:val="17"/>
          <w:b w:val="1"/>
          <w:bCs w:val="1"/>
          <w:color w:val="auto"/>
        </w:rPr>
        <w:t xml:space="preserve">Insurance. </w:t>
      </w:r>
      <w:r>
        <w:rPr>
          <w:rFonts w:ascii="Arial" w:cs="Arial" w:eastAsia="Arial" w:hAnsi="Arial"/>
          <w:sz w:val="17"/>
          <w:szCs w:val="17"/>
          <w:color w:val="auto"/>
        </w:rPr>
        <w:t>During the term of this Agreement, Alexo will maintain Comprehensive General Liability Insurance, including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Insurance, at all times when any Licensed Product is being clinically tested with human subjects or commercially distributed or sold, with a reputable and financially secure insurance carrier or self-insurance that is reasonably acceptable to Stanford to cover the activities of Alexo and its sublicensees. The insurance will provide minimum limits of liability of $[***] and will include all Stanford Indemnitees and HHMI Indemnitees as additional insureds. Insurance must cover claims incurred, discovered, manifested, or made during or after the expiration of this Agreement and must be placed with carriers with ratings of at least A- as rated by A.M. Best. Within [***] days of the Effective Date of this Agreement, Alexo will furnish a Certificate of Insurance evidencing primary coverage and additional insured requirements. Alexo will provide to Stanford [***] days prior written notice of cancellation or material change to this insurance coverage. Alexo will advise Stanford in writing that it maintains excess liability coverage (following form) over primary insurance for at least the minimum limits set forth above. All insurance of Alexo will be primary coverage; insurance of Stanford Indemnitees and HHMI Indemnitees will be excess and noncontributory.</w:t>
      </w:r>
    </w:p>
    <w:p>
      <w:pPr>
        <w:spacing w:after="0" w:line="330" w:lineRule="exact"/>
        <w:rPr>
          <w:sz w:val="20"/>
          <w:szCs w:val="20"/>
          <w:color w:val="auto"/>
        </w:rPr>
      </w:pPr>
    </w:p>
    <w:p>
      <w:pPr>
        <w:ind w:left="424" w:hanging="424"/>
        <w:spacing w:after="0"/>
        <w:tabs>
          <w:tab w:leader="none" w:pos="424"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EXPORT</w:t>
      </w:r>
    </w:p>
    <w:p>
      <w:pPr>
        <w:spacing w:after="0" w:line="121" w:lineRule="exact"/>
        <w:rPr>
          <w:rFonts w:ascii="Arial" w:cs="Arial" w:eastAsia="Arial" w:hAnsi="Arial"/>
          <w:sz w:val="18"/>
          <w:szCs w:val="18"/>
          <w:b w:val="1"/>
          <w:bCs w:val="1"/>
          <w:color w:val="auto"/>
        </w:rPr>
      </w:pPr>
    </w:p>
    <w:p>
      <w:pPr>
        <w:ind w:left="444" w:right="1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Alexo and its affiliates and sublicensees shall comply with all United States laws and regulations controlling the export of licensed commodities and technical data. (For the purpose of this paragraph, “licensed commodities” means any article, material or supply but does not include information; and “technical data” means tangible or intangible technical information that is subject to U.S. export regulations, including blueprints, plans, diagrams, models, formulae, tables, engineering designs and specifications, manuals and instructions.) These laws and regulations may include, but are not limited to, the Export Administration Regulations (15 CFR 730-774), the International Traffic in Arms Regulations (22 CFR 120-130) and the various economic sanctions regulations administered by the U.S. Department of the Treasury (31 CFR 500-600).</w:t>
      </w:r>
    </w:p>
    <w:p>
      <w:pPr>
        <w:spacing w:after="0" w:line="86" w:lineRule="exact"/>
        <w:rPr>
          <w:rFonts w:ascii="Arial" w:cs="Arial" w:eastAsia="Arial" w:hAnsi="Arial"/>
          <w:sz w:val="18"/>
          <w:szCs w:val="18"/>
          <w:b w:val="1"/>
          <w:bCs w:val="1"/>
          <w:color w:val="auto"/>
        </w:rPr>
      </w:pPr>
    </w:p>
    <w:p>
      <w:pPr>
        <w:ind w:left="444"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Among other things, these laws and regulations prohibit or require a license for the export or retransfer of certain commodities and technical data to specified countries, entities and persons. Alexo hereby gives written assurance that it will comply with, and will cause its affiliates and sublicensees</w:t>
      </w:r>
    </w:p>
    <w:p>
      <w:pPr>
        <w:spacing w:after="0" w:line="116" w:lineRule="exact"/>
        <w:rPr>
          <w:sz w:val="20"/>
          <w:szCs w:val="20"/>
          <w:color w:val="auto"/>
        </w:rPr>
      </w:pPr>
    </w:p>
    <w:p>
      <w:pPr>
        <w:ind w:left="424" w:right="240" w:hanging="424"/>
        <w:spacing w:after="0" w:line="277" w:lineRule="auto"/>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0984"/>
          </w:cols>
          <w:pgMar w:left="436" w:top="274" w:right="479" w:bottom="1440" w:gutter="0" w:footer="0" w:header="0"/>
        </w:sectPr>
      </w:pPr>
    </w:p>
    <w:bookmarkStart w:id="257" w:name="page258"/>
    <w:bookmarkEnd w:id="257"/>
    <w:p>
      <w:pPr>
        <w:jc w:val="both"/>
        <w:ind w:left="44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comply with all United States export control laws and regulations, that it bears sole responsibility for any violation of such laws and regulations by itself or its affiliates or sublicensees, and that it will indemnify, defend and hold Stanford and HHMI harmless for the consequences of any such violation.</w:t>
      </w:r>
    </w:p>
    <w:p>
      <w:pPr>
        <w:spacing w:after="0" w:line="328" w:lineRule="exact"/>
        <w:rPr>
          <w:sz w:val="20"/>
          <w:szCs w:val="20"/>
          <w:color w:val="auto"/>
        </w:rPr>
      </w:pPr>
    </w:p>
    <w:p>
      <w:pPr>
        <w:ind w:left="424" w:hanging="424"/>
        <w:spacing w:after="0"/>
        <w:tabs>
          <w:tab w:leader="none" w:pos="424"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MARKING</w:t>
      </w:r>
    </w:p>
    <w:p>
      <w:pPr>
        <w:spacing w:after="0" w:line="121" w:lineRule="exact"/>
        <w:rPr>
          <w:rFonts w:ascii="Arial" w:cs="Arial" w:eastAsia="Arial" w:hAnsi="Arial"/>
          <w:sz w:val="18"/>
          <w:szCs w:val="18"/>
          <w:b w:val="1"/>
          <w:bCs w:val="1"/>
          <w:color w:val="auto"/>
        </w:rPr>
      </w:pPr>
    </w:p>
    <w:p>
      <w:pPr>
        <w:ind w:left="4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Before any Licensed Patent issues, Alexo will mark Licensed Product with the words “Patent Pending.” Otherwise, Alexo will mark Licensed Product with the number of any issued Licensed Patent.</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STANFORD AND HHMI NAMES AND MARKS</w:t>
      </w:r>
    </w:p>
    <w:p>
      <w:pPr>
        <w:spacing w:after="0" w:line="121" w:lineRule="exact"/>
        <w:rPr>
          <w:rFonts w:ascii="Arial" w:cs="Arial" w:eastAsia="Arial" w:hAnsi="Arial"/>
          <w:sz w:val="18"/>
          <w:szCs w:val="18"/>
          <w:b w:val="1"/>
          <w:bCs w:val="1"/>
          <w:color w:val="auto"/>
        </w:rPr>
      </w:pPr>
    </w:p>
    <w:p>
      <w:pPr>
        <w:ind w:left="444" w:right="18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Alexo will not use (i) Stanford’s or HHMI’ s name or other trademarks, (ii) the name or trademarks of any organization related to Stanford or HHMI, or (iii) the name of any Stanford or HHMI faculty member, employee, student or volunteer without the prior written consent of the party (Stanford or HHMI as the case may be) whose name or trademark is being used. Permission may be withheld at Stanford’s or HHMI’ s sole discretion. This prohibition includes, but is not limited to, use in press releases, advertising, marketing materials, other promotional materials, presentations, case studies, reports, websites, application or software interfaces, and other electronic media.</w:t>
      </w:r>
    </w:p>
    <w:p>
      <w:pPr>
        <w:spacing w:after="0" w:line="320" w:lineRule="exact"/>
        <w:rPr>
          <w:rFonts w:ascii="Arial" w:cs="Arial" w:eastAsia="Arial" w:hAnsi="Arial"/>
          <w:sz w:val="18"/>
          <w:szCs w:val="18"/>
          <w:b w:val="1"/>
          <w:bCs w:val="1"/>
          <w:color w:val="auto"/>
        </w:rPr>
      </w:pPr>
    </w:p>
    <w:p>
      <w:pPr>
        <w:ind w:left="424" w:hanging="424"/>
        <w:spacing w:after="0"/>
        <w:tabs>
          <w:tab w:leader="none" w:pos="424"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PROSECUTION AND PROTECTION OF PATENTS</w:t>
      </w:r>
    </w:p>
    <w:p>
      <w:pPr>
        <w:spacing w:after="0" w:line="131"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5"/>
          <w:szCs w:val="15"/>
          <w:b w:val="1"/>
          <w:bCs w:val="1"/>
          <w:color w:val="auto"/>
        </w:rPr>
        <w:t>Patent Prosecution.</w:t>
      </w:r>
    </w:p>
    <w:p>
      <w:pPr>
        <w:spacing w:after="0" w:line="121" w:lineRule="exact"/>
        <w:rPr>
          <w:sz w:val="20"/>
          <w:szCs w:val="20"/>
          <w:color w:val="auto"/>
        </w:rPr>
      </w:pPr>
    </w:p>
    <w:p>
      <w:pPr>
        <w:ind w:left="984"/>
        <w:spacing w:after="0" w:line="267" w:lineRule="auto"/>
        <w:rPr>
          <w:sz w:val="20"/>
          <w:szCs w:val="20"/>
          <w:color w:val="auto"/>
        </w:rPr>
      </w:pPr>
      <w:r>
        <w:rPr>
          <w:rFonts w:ascii="Arial" w:cs="Arial" w:eastAsia="Arial" w:hAnsi="Arial"/>
          <w:sz w:val="17"/>
          <w:szCs w:val="17"/>
          <w:color w:val="auto"/>
        </w:rPr>
        <w:t xml:space="preserve">Stanford will control, in consultation with Alexo, the preparation and prosecution of all patent applications and the maintenance of all patents related to Licensed Patents using independent patent counsel mutually acceptable to each of Stanford and Alexo. Patent counsel will directly notify Alexo and provide Alexo copies of any official communications from United States and foreign patent offices relating to prosecution of the Licensed Patents, as well as copies of relevant communications to the various patent offices so that Alexo may be informed and apprised of the continuing prosecution of Licensed Patents. Alexo will have reasonable opportunities to participate in key decisions affecting filing, prosecution and maintenance of the Licensed Patents, including, without limitation, opportunity to review and provide comment on amendments and responses in the course of the prosecution of Licensed Patents. Stanford will consider in good faith Alexo’s reasonable suggestions regarding said prosecution. Stanford will use reasonable efforts to amend any patent application to include claims reasonably requested by Alexo in order to cover a Licensed Product. Any differences between Alexo and Stanford with respect to preparation, filing, prosecution, issuance and maintenance matters will be discussed and resolved to their mutual satisfaction; </w:t>
      </w:r>
      <w:r>
        <w:rPr>
          <w:rFonts w:ascii="Arial" w:cs="Arial" w:eastAsia="Arial" w:hAnsi="Arial"/>
          <w:sz w:val="17"/>
          <w:szCs w:val="17"/>
          <w:u w:val="single" w:color="auto"/>
          <w:color w:val="auto"/>
        </w:rPr>
        <w:t>provided</w:t>
      </w:r>
      <w:r>
        <w:rPr>
          <w:rFonts w:ascii="Arial" w:cs="Arial" w:eastAsia="Arial" w:hAnsi="Arial"/>
          <w:sz w:val="17"/>
          <w:szCs w:val="17"/>
          <w:color w:val="auto"/>
        </w:rPr>
        <w:t>, that if any disagreement regards solely the costs associated with a particular proposed action, the requirement that the parties mutually agree upon resolution of the matter shall not apply. No case will be abandoned without giving Alexo at least [***] days notice and opportunity to pursue the application. Alexo will reimburse Stanford upon receipt of invoice for all documented expenses related to prosecution of the Licensed Patents upon receipt of invoice incurred in connection with the filing and prosecution of the patent applications and maintenance of the patents. If Alexo is not interested in filing patent applications covering Licensed Patents in a particular jurisdiction and Stanford determines that it wishes to file patent applications in said jurisdiction, Stanford may do so at its expense and Alexo’s license shall not include rights in such jurisdiction.</w:t>
      </w:r>
    </w:p>
    <w:p>
      <w:pPr>
        <w:spacing w:after="0" w:line="124" w:lineRule="exact"/>
        <w:rPr>
          <w:sz w:val="20"/>
          <w:szCs w:val="20"/>
          <w:color w:val="auto"/>
        </w:rPr>
      </w:pPr>
    </w:p>
    <w:p>
      <w:pPr>
        <w:ind w:left="424" w:right="260" w:hanging="424"/>
        <w:spacing w:after="0" w:line="277" w:lineRule="auto"/>
        <w:tabs>
          <w:tab w:leader="none" w:pos="424"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004"/>
          </w:cols>
          <w:pgMar w:left="436" w:top="274" w:right="459" w:bottom="1440" w:gutter="0" w:footer="0" w:header="0"/>
        </w:sectPr>
      </w:pPr>
    </w:p>
    <w:bookmarkStart w:id="258" w:name="page259"/>
    <w:bookmarkEnd w:id="258"/>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14.2</w:t>
      </w:r>
      <w:r>
        <w:rPr>
          <w:sz w:val="20"/>
          <w:szCs w:val="20"/>
          <w:color w:val="auto"/>
        </w:rPr>
        <w:tab/>
      </w:r>
      <w:r>
        <w:rPr>
          <w:rFonts w:ascii="Arial" w:cs="Arial" w:eastAsia="Arial" w:hAnsi="Arial"/>
          <w:sz w:val="16"/>
          <w:szCs w:val="16"/>
          <w:b w:val="1"/>
          <w:bCs w:val="1"/>
          <w:color w:val="auto"/>
        </w:rPr>
        <w:t xml:space="preserve">Patent Costs. </w:t>
      </w:r>
      <w:r>
        <w:rPr>
          <w:rFonts w:ascii="Arial" w:cs="Arial" w:eastAsia="Arial" w:hAnsi="Arial"/>
          <w:sz w:val="16"/>
          <w:szCs w:val="16"/>
          <w:color w:val="auto"/>
        </w:rPr>
        <w:t>Within [***] days after receiving a statement from Stanford, Alexo will reimburse Stanford:</w:t>
      </w:r>
    </w:p>
    <w:p>
      <w:pPr>
        <w:spacing w:after="0" w:line="135" w:lineRule="exact"/>
        <w:rPr>
          <w:sz w:val="20"/>
          <w:szCs w:val="20"/>
          <w:color w:val="auto"/>
        </w:rPr>
      </w:pPr>
    </w:p>
    <w:p>
      <w:pPr>
        <w:ind w:left="1424" w:right="440" w:hanging="439"/>
        <w:spacing w:after="0" w:line="277" w:lineRule="auto"/>
        <w:tabs>
          <w:tab w:leader="none" w:pos="14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to offset Licensed Patent’s patenting expenses, including any interference or reexamination matters, incurred by Stanford before the Effective Date; and</w:t>
      </w:r>
    </w:p>
    <w:p>
      <w:pPr>
        <w:spacing w:after="0" w:line="75" w:lineRule="exact"/>
        <w:rPr>
          <w:rFonts w:ascii="Arial" w:cs="Arial" w:eastAsia="Arial" w:hAnsi="Arial"/>
          <w:sz w:val="18"/>
          <w:szCs w:val="18"/>
          <w:color w:val="auto"/>
        </w:rPr>
      </w:pPr>
    </w:p>
    <w:p>
      <w:pPr>
        <w:jc w:val="both"/>
        <w:ind w:left="1424" w:right="340" w:hanging="439"/>
        <w:spacing w:after="0" w:line="263" w:lineRule="auto"/>
        <w:tabs>
          <w:tab w:leader="none" w:pos="142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for all Licensed Patent’s patenting expenses, including any interference or reexamination matters, incurred by Stanford after the Effective Date. In all instances, Stanford will pay the fees prescribed for large entities to the United States Patent and Trademark Office.</w:t>
      </w:r>
    </w:p>
    <w:p>
      <w:pPr>
        <w:spacing w:after="0" w:line="207" w:lineRule="exact"/>
        <w:rPr>
          <w:sz w:val="20"/>
          <w:szCs w:val="20"/>
          <w:color w:val="auto"/>
        </w:rPr>
      </w:pPr>
    </w:p>
    <w:p>
      <w:pPr>
        <w:ind w:left="964" w:right="80" w:hanging="539"/>
        <w:spacing w:after="0" w:line="289" w:lineRule="auto"/>
        <w:tabs>
          <w:tab w:leader="none" w:pos="944"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b w:val="1"/>
          <w:bCs w:val="1"/>
          <w:color w:val="auto"/>
        </w:rPr>
        <w:t xml:space="preserve">Infringement Procedure. </w:t>
      </w:r>
      <w:r>
        <w:rPr>
          <w:rFonts w:ascii="Arial" w:cs="Arial" w:eastAsia="Arial" w:hAnsi="Arial"/>
          <w:sz w:val="17"/>
          <w:szCs w:val="17"/>
          <w:color w:val="auto"/>
        </w:rPr>
        <w:t>Alexo will promptly notify Stanford if it believes a third party infringes a Licensed Patents or if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files a declaratory judgment action with respect to any Licensed Patents. Alexo shall have the right to institute a suit against or defend any declaratory judgment action initiated by this third party as provided in Section 14.4 through and including Section 14.8.</w:t>
      </w:r>
    </w:p>
    <w:p>
      <w:pPr>
        <w:spacing w:after="0" w:line="185" w:lineRule="exact"/>
        <w:rPr>
          <w:sz w:val="20"/>
          <w:szCs w:val="20"/>
          <w:color w:val="auto"/>
        </w:rPr>
      </w:pPr>
    </w:p>
    <w:p>
      <w:pPr>
        <w:ind w:left="964" w:right="20" w:hanging="539"/>
        <w:spacing w:after="0" w:line="258" w:lineRule="auto"/>
        <w:tabs>
          <w:tab w:leader="none" w:pos="944"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b w:val="1"/>
          <w:bCs w:val="1"/>
          <w:color w:val="auto"/>
        </w:rPr>
        <w:t xml:space="preserve">Stanford Suit. </w:t>
      </w:r>
      <w:r>
        <w:rPr>
          <w:rFonts w:ascii="Arial" w:cs="Arial" w:eastAsia="Arial" w:hAnsi="Arial"/>
          <w:sz w:val="18"/>
          <w:szCs w:val="18"/>
          <w:color w:val="auto"/>
        </w:rPr>
        <w:t>Subject to Section 14.6, Stanford has the first right to institute suit, and may name Alexo as a party for standing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for Licensed Patents and Stanford has the sole right to institute suit as it relates to Nonexclusive Licensed Patents. If Stanford decides to institute suit for Licensed Patents, it will notify Alexo in writing. If Alexo does not notify Stanford in writing that it desires to jointly prosecute the suit within [***] days after the date of the notice, Alexo will [***]. Stanford will bear the entire cost of the litigation and will [***]. Stanford will not [***]. Stanford shall impose this obligation on [***].</w:t>
      </w:r>
    </w:p>
    <w:p>
      <w:pPr>
        <w:spacing w:after="0" w:line="210"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b w:val="1"/>
          <w:bCs w:val="1"/>
          <w:color w:val="auto"/>
        </w:rPr>
        <w:t xml:space="preserve">Joint Suit. </w:t>
      </w:r>
      <w:r>
        <w:rPr>
          <w:rFonts w:ascii="Arial" w:cs="Arial" w:eastAsia="Arial" w:hAnsi="Arial"/>
          <w:sz w:val="16"/>
          <w:szCs w:val="16"/>
          <w:color w:val="auto"/>
        </w:rPr>
        <w:t>If Stanford and Alexo so agree, they may institute suit or defend the declaratory judgment action jointly. If so, they will:</w:t>
      </w:r>
    </w:p>
    <w:p>
      <w:pPr>
        <w:spacing w:after="0" w:line="135" w:lineRule="exact"/>
        <w:rPr>
          <w:sz w:val="20"/>
          <w:szCs w:val="20"/>
          <w:color w:val="auto"/>
        </w:rPr>
      </w:pPr>
    </w:p>
    <w:p>
      <w:pPr>
        <w:ind w:left="1424" w:hanging="439"/>
        <w:spacing w:after="0"/>
        <w:tabs>
          <w:tab w:leader="none" w:pos="142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prosecute the suit in both their names;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bear the out-of-pocket costs [***];</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share any recovery or settlement [***];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agree how they will exercise control over the action.</w:t>
      </w:r>
    </w:p>
    <w:p>
      <w:pPr>
        <w:spacing w:after="0" w:line="248" w:lineRule="exact"/>
        <w:rPr>
          <w:sz w:val="20"/>
          <w:szCs w:val="20"/>
          <w:color w:val="auto"/>
        </w:rPr>
      </w:pPr>
    </w:p>
    <w:p>
      <w:pPr>
        <w:jc w:val="center"/>
        <w:ind w:right="-423"/>
        <w:spacing w:after="0"/>
        <w:tabs>
          <w:tab w:leader="none" w:pos="20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b w:val="1"/>
          <w:bCs w:val="1"/>
          <w:color w:val="auto"/>
        </w:rPr>
        <w:t xml:space="preserve">Alexo Suit. </w:t>
      </w:r>
      <w:r>
        <w:rPr>
          <w:rFonts w:ascii="Arial" w:cs="Arial" w:eastAsia="Arial" w:hAnsi="Arial"/>
          <w:sz w:val="16"/>
          <w:szCs w:val="16"/>
          <w:color w:val="auto"/>
        </w:rPr>
        <w:t>With respect to patents licensed exclusively to Alexo, Alexo shall have a [***] option to pursue infringers. If Alexo [***], or if</w:t>
      </w:r>
    </w:p>
    <w:p>
      <w:pPr>
        <w:spacing w:after="0" w:line="27" w:lineRule="exact"/>
        <w:rPr>
          <w:sz w:val="20"/>
          <w:szCs w:val="20"/>
          <w:color w:val="auto"/>
        </w:rPr>
      </w:pPr>
    </w:p>
    <w:p>
      <w:pPr>
        <w:ind w:left="964" w:right="240"/>
        <w:spacing w:after="0" w:line="292" w:lineRule="auto"/>
        <w:rPr>
          <w:sz w:val="20"/>
          <w:szCs w:val="20"/>
          <w:color w:val="auto"/>
        </w:rPr>
      </w:pPr>
      <w:r>
        <w:rPr>
          <w:rFonts w:ascii="Arial" w:cs="Arial" w:eastAsia="Arial" w:hAnsi="Arial"/>
          <w:sz w:val="16"/>
          <w:szCs w:val="16"/>
          <w:color w:val="auto"/>
        </w:rPr>
        <w:t>Alexo [***], Stanford may [***]. Alexo will diligently pursue the suit and Alexo will bear the entire cost of the litigation, including expenses and counsel fees incurred by Stanford. Alexo will keep Stanford reasonably apprised of all developments in the suit, and will seek Stanford’s input and approval on any substantive submissions or positions taken in the litigation regarding the scope, validity and enforceability of the Licensed Patent. Alexo will not prosecute, settle or otherwise compromise any such suit in a manner that adversely affects Stanford’s interests without Stanford’s prior written consent. Stanford may be named as a party only if:</w:t>
      </w:r>
    </w:p>
    <w:p>
      <w:pPr>
        <w:spacing w:after="0" w:line="68" w:lineRule="exact"/>
        <w:rPr>
          <w:sz w:val="20"/>
          <w:szCs w:val="20"/>
          <w:color w:val="auto"/>
        </w:rPr>
      </w:pPr>
    </w:p>
    <w:p>
      <w:pPr>
        <w:ind w:left="1424" w:hanging="439"/>
        <w:spacing w:after="0"/>
        <w:tabs>
          <w:tab w:leader="none" w:pos="142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Alexo’s and Stanford’s respective counsel recommend that such action is necessary in their reasonable opinion to achieve standing;</w:t>
      </w:r>
    </w:p>
    <w:p>
      <w:pPr>
        <w:spacing w:after="0" w:line="180" w:lineRule="exact"/>
        <w:rPr>
          <w:rFonts w:ascii="Arial" w:cs="Arial" w:eastAsia="Arial" w:hAnsi="Arial"/>
          <w:sz w:val="16"/>
          <w:szCs w:val="16"/>
          <w:color w:val="auto"/>
        </w:rPr>
      </w:pPr>
    </w:p>
    <w:p>
      <w:pPr>
        <w:ind w:left="424" w:right="260" w:hanging="424"/>
        <w:spacing w:after="0" w:line="277" w:lineRule="auto"/>
        <w:tabs>
          <w:tab w:leader="none" w:pos="42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004"/>
          </w:cols>
          <w:pgMar w:left="436" w:top="270" w:right="459" w:bottom="1440" w:gutter="0" w:footer="0" w:header="0"/>
        </w:sectPr>
      </w:pPr>
    </w:p>
    <w:bookmarkStart w:id="259" w:name="page260"/>
    <w:bookmarkEnd w:id="259"/>
    <w:p>
      <w:pPr>
        <w:ind w:left="1424" w:hanging="439"/>
        <w:spacing w:after="0"/>
        <w:tabs>
          <w:tab w:leader="none" w:pos="1424" w:val="left"/>
        </w:tabs>
        <w:numPr>
          <w:ilvl w:val="0"/>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Stanford is not the first named party in the action; and</w:t>
      </w:r>
    </w:p>
    <w:p>
      <w:pPr>
        <w:spacing w:after="0" w:line="130" w:lineRule="exact"/>
        <w:rPr>
          <w:rFonts w:ascii="Arial" w:cs="Arial" w:eastAsia="Arial" w:hAnsi="Arial"/>
          <w:sz w:val="18"/>
          <w:szCs w:val="18"/>
          <w:color w:val="auto"/>
        </w:rPr>
      </w:pPr>
    </w:p>
    <w:p>
      <w:pPr>
        <w:ind w:left="1424" w:right="160" w:hanging="439"/>
        <w:spacing w:after="0" w:line="277" w:lineRule="auto"/>
        <w:tabs>
          <w:tab w:leader="none" w:pos="142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pleadings and any public statements about the action state that Alexo is pursuing the action and that Alexo has the right to join Stanford as a party.</w:t>
      </w:r>
    </w:p>
    <w:p>
      <w:pPr>
        <w:spacing w:after="0" w:line="7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b w:val="1"/>
          <w:bCs w:val="1"/>
          <w:color w:val="auto"/>
        </w:rPr>
        <w:t xml:space="preserve">Recovery. </w:t>
      </w:r>
      <w:r>
        <w:rPr>
          <w:rFonts w:ascii="Arial" w:cs="Arial" w:eastAsia="Arial" w:hAnsi="Arial"/>
          <w:sz w:val="16"/>
          <w:szCs w:val="16"/>
          <w:color w:val="auto"/>
        </w:rPr>
        <w:t>If Alexo sues under Section 14.6, then any recovery in excess of any unrecovered litigation costs and fees will be shared with</w:t>
      </w:r>
    </w:p>
    <w:p>
      <w:pPr>
        <w:spacing w:after="0" w:line="27" w:lineRule="exact"/>
        <w:rPr>
          <w:sz w:val="20"/>
          <w:szCs w:val="20"/>
          <w:color w:val="auto"/>
        </w:rPr>
      </w:pPr>
    </w:p>
    <w:p>
      <w:pPr>
        <w:ind w:left="964"/>
        <w:spacing w:after="0"/>
        <w:rPr>
          <w:sz w:val="20"/>
          <w:szCs w:val="20"/>
          <w:color w:val="auto"/>
        </w:rPr>
      </w:pPr>
      <w:r>
        <w:rPr>
          <w:rFonts w:ascii="Arial" w:cs="Arial" w:eastAsia="Arial" w:hAnsi="Arial"/>
          <w:sz w:val="18"/>
          <w:szCs w:val="18"/>
          <w:color w:val="auto"/>
        </w:rPr>
        <w:t>Stanford as follows:</w:t>
      </w:r>
    </w:p>
    <w:p>
      <w:pPr>
        <w:spacing w:after="0" w:line="11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ind w:left="964" w:right="140" w:hanging="539"/>
        <w:spacing w:after="0" w:line="266" w:lineRule="auto"/>
        <w:tabs>
          <w:tab w:leader="none" w:pos="944"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b w:val="1"/>
          <w:bCs w:val="1"/>
          <w:color w:val="auto"/>
        </w:rPr>
        <w:t xml:space="preserve">Abandonment of Suit. </w:t>
      </w:r>
      <w:r>
        <w:rPr>
          <w:rFonts w:ascii="Arial" w:cs="Arial" w:eastAsia="Arial" w:hAnsi="Arial"/>
          <w:sz w:val="18"/>
          <w:szCs w:val="18"/>
          <w:color w:val="auto"/>
        </w:rPr>
        <w:t>If either Stanford or Alexo commences a suit and then wants to abandon the suit, it will give timely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The other party may continue prosecutions of the suit after Stanford and Alexo agree on the sharing of expenses and any recovery in the suit.</w:t>
      </w:r>
    </w:p>
    <w:p>
      <w:pPr>
        <w:spacing w:after="0" w:line="324" w:lineRule="exact"/>
        <w:rPr>
          <w:sz w:val="20"/>
          <w:szCs w:val="20"/>
          <w:color w:val="auto"/>
        </w:rPr>
      </w:pPr>
    </w:p>
    <w:p>
      <w:pPr>
        <w:ind w:left="424" w:hanging="424"/>
        <w:spacing w:after="0"/>
        <w:tabs>
          <w:tab w:leader="none" w:pos="424"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0" w:lineRule="exact"/>
        <w:rPr>
          <w:rFonts w:ascii="Arial" w:cs="Arial" w:eastAsia="Arial" w:hAnsi="Arial"/>
          <w:sz w:val="18"/>
          <w:szCs w:val="18"/>
          <w:b w:val="1"/>
          <w:bCs w:val="1"/>
          <w:color w:val="auto"/>
        </w:rPr>
      </w:pPr>
    </w:p>
    <w:p>
      <w:pPr>
        <w:ind w:left="964"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Termination by Alexo.</w:t>
      </w:r>
      <w:r>
        <w:rPr>
          <w:rFonts w:ascii="Arial" w:cs="Arial" w:eastAsia="Arial" w:hAnsi="Arial"/>
          <w:sz w:val="18"/>
          <w:szCs w:val="18"/>
          <w:color w:val="auto"/>
        </w:rPr>
        <w:t xml:space="preserve"> Alexo may terminate this Agreement on a Licensed Product-by-Licensed product basis by giving Stanford written notice at least 60 days in advance of the effective date of termination selected by Alexo.</w:t>
      </w:r>
    </w:p>
    <w:p>
      <w:pPr>
        <w:spacing w:after="0" w:line="188"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15.2   Termination by Stanford.</w:t>
      </w:r>
    </w:p>
    <w:p>
      <w:pPr>
        <w:spacing w:after="0" w:line="134" w:lineRule="exact"/>
        <w:rPr>
          <w:rFonts w:ascii="Arial" w:cs="Arial" w:eastAsia="Arial" w:hAnsi="Arial"/>
          <w:sz w:val="18"/>
          <w:szCs w:val="18"/>
          <w:b w:val="1"/>
          <w:bCs w:val="1"/>
          <w:color w:val="auto"/>
        </w:rPr>
      </w:pPr>
    </w:p>
    <w:p>
      <w:pPr>
        <w:ind w:left="1424" w:hanging="439"/>
        <w:spacing w:after="0"/>
        <w:tabs>
          <w:tab w:leader="none" w:pos="142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Stanford may also terminate this Agreement on a Licensed Product-by-Licensed product basis if Alexo:</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205"/>
        </w:numPr>
        <w:rPr>
          <w:rFonts w:ascii="Arial" w:cs="Arial" w:eastAsia="Arial" w:hAnsi="Arial"/>
          <w:sz w:val="18"/>
          <w:szCs w:val="18"/>
          <w:color w:val="auto"/>
        </w:rPr>
      </w:pPr>
      <w:r>
        <w:rPr>
          <w:rFonts w:ascii="Arial" w:cs="Arial" w:eastAsia="Arial" w:hAnsi="Arial"/>
          <w:sz w:val="18"/>
          <w:szCs w:val="18"/>
          <w:color w:val="auto"/>
        </w:rPr>
        <w:t>is delinquent on any report or payment;</w:t>
      </w:r>
    </w:p>
    <w:p>
      <w:pPr>
        <w:spacing w:after="0" w:line="130" w:lineRule="exact"/>
        <w:rPr>
          <w:rFonts w:ascii="Arial" w:cs="Arial" w:eastAsia="Arial" w:hAnsi="Arial"/>
          <w:sz w:val="18"/>
          <w:szCs w:val="18"/>
          <w:color w:val="auto"/>
        </w:rPr>
      </w:pPr>
    </w:p>
    <w:p>
      <w:pPr>
        <w:ind w:left="1964" w:right="180" w:hanging="533"/>
        <w:spacing w:after="0" w:line="308" w:lineRule="auto"/>
        <w:tabs>
          <w:tab w:leader="none" w:pos="1964" w:val="left"/>
        </w:tabs>
        <w:numPr>
          <w:ilvl w:val="2"/>
          <w:numId w:val="205"/>
        </w:numPr>
        <w:rPr>
          <w:rFonts w:ascii="Arial" w:cs="Arial" w:eastAsia="Arial" w:hAnsi="Arial"/>
          <w:sz w:val="17"/>
          <w:szCs w:val="17"/>
          <w:color w:val="auto"/>
        </w:rPr>
      </w:pPr>
      <w:r>
        <w:rPr>
          <w:rFonts w:ascii="Arial" w:cs="Arial" w:eastAsia="Arial" w:hAnsi="Arial"/>
          <w:sz w:val="17"/>
          <w:szCs w:val="17"/>
          <w:color w:val="auto"/>
        </w:rPr>
        <w:t>is not diligently developing and commercializing Licensed Product with respect to a market or indication and a third party seeks rights with respect to such indication or market and Alexo does not within [***] either (A) [***] or (B) [***];</w:t>
      </w:r>
    </w:p>
    <w:p>
      <w:pPr>
        <w:spacing w:after="0" w:line="51" w:lineRule="exact"/>
        <w:rPr>
          <w:rFonts w:ascii="Arial" w:cs="Arial" w:eastAsia="Arial" w:hAnsi="Arial"/>
          <w:sz w:val="17"/>
          <w:szCs w:val="17"/>
          <w:color w:val="auto"/>
        </w:rPr>
      </w:pPr>
    </w:p>
    <w:p>
      <w:pPr>
        <w:ind w:left="1964" w:hanging="533"/>
        <w:spacing w:after="0"/>
        <w:tabs>
          <w:tab w:leader="none" w:pos="1964" w:val="left"/>
        </w:tabs>
        <w:numPr>
          <w:ilvl w:val="2"/>
          <w:numId w:val="205"/>
        </w:numPr>
        <w:rPr>
          <w:rFonts w:ascii="Arial" w:cs="Arial" w:eastAsia="Arial" w:hAnsi="Arial"/>
          <w:sz w:val="18"/>
          <w:szCs w:val="18"/>
          <w:color w:val="auto"/>
        </w:rPr>
      </w:pPr>
      <w:r>
        <w:rPr>
          <w:rFonts w:ascii="Arial" w:cs="Arial" w:eastAsia="Arial" w:hAnsi="Arial"/>
          <w:sz w:val="18"/>
          <w:szCs w:val="18"/>
          <w:color w:val="auto"/>
        </w:rPr>
        <w:t>misses a milestone described in Appendix A;</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205"/>
        </w:numPr>
        <w:rPr>
          <w:rFonts w:ascii="Arial" w:cs="Arial" w:eastAsia="Arial" w:hAnsi="Arial"/>
          <w:sz w:val="18"/>
          <w:szCs w:val="18"/>
          <w:color w:val="auto"/>
        </w:rPr>
      </w:pPr>
      <w:r>
        <w:rPr>
          <w:rFonts w:ascii="Arial" w:cs="Arial" w:eastAsia="Arial" w:hAnsi="Arial"/>
          <w:sz w:val="18"/>
          <w:szCs w:val="18"/>
          <w:color w:val="auto"/>
        </w:rPr>
        <w:t>is in breach of any provision of this Agreement; or</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2"/>
          <w:numId w:val="205"/>
        </w:numPr>
        <w:rPr>
          <w:rFonts w:ascii="Arial" w:cs="Arial" w:eastAsia="Arial" w:hAnsi="Arial"/>
          <w:sz w:val="18"/>
          <w:szCs w:val="18"/>
          <w:color w:val="auto"/>
        </w:rPr>
      </w:pPr>
      <w:r>
        <w:rPr>
          <w:rFonts w:ascii="Arial" w:cs="Arial" w:eastAsia="Arial" w:hAnsi="Arial"/>
          <w:sz w:val="18"/>
          <w:szCs w:val="18"/>
          <w:color w:val="auto"/>
        </w:rPr>
        <w:t>provides any false report.</w:t>
      </w:r>
    </w:p>
    <w:p>
      <w:pPr>
        <w:spacing w:after="0" w:line="130" w:lineRule="exact"/>
        <w:rPr>
          <w:rFonts w:ascii="Arial" w:cs="Arial" w:eastAsia="Arial" w:hAnsi="Arial"/>
          <w:sz w:val="18"/>
          <w:szCs w:val="18"/>
          <w:color w:val="auto"/>
        </w:rPr>
      </w:pPr>
    </w:p>
    <w:p>
      <w:pPr>
        <w:ind w:left="1424" w:right="160" w:hanging="439"/>
        <w:spacing w:after="0" w:line="277" w:lineRule="auto"/>
        <w:tabs>
          <w:tab w:leader="none" w:pos="142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Termination under this Section 15.2 will take effect 60 days after written notice by Stanford unless Alexo remedies the problem in that 60-day period.</w:t>
      </w:r>
    </w:p>
    <w:p>
      <w:pPr>
        <w:spacing w:after="0" w:line="103" w:lineRule="exact"/>
        <w:rPr>
          <w:sz w:val="20"/>
          <w:szCs w:val="20"/>
          <w:color w:val="auto"/>
        </w:rPr>
      </w:pPr>
    </w:p>
    <w:p>
      <w:pPr>
        <w:ind w:left="424" w:right="200" w:hanging="424"/>
        <w:spacing w:after="0" w:line="277" w:lineRule="auto"/>
        <w:tabs>
          <w:tab w:leader="none" w:pos="424"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0944"/>
          </w:cols>
          <w:pgMar w:left="436" w:top="274" w:right="519" w:bottom="1440" w:gutter="0" w:footer="0" w:header="0"/>
        </w:sectPr>
      </w:pPr>
    </w:p>
    <w:bookmarkStart w:id="260" w:name="page261"/>
    <w:bookmarkEnd w:id="260"/>
    <w:p>
      <w:pPr>
        <w:ind w:left="424"/>
        <w:spacing w:after="0"/>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15.3</w:t>
      </w:r>
      <w:r>
        <w:rPr>
          <w:sz w:val="20"/>
          <w:szCs w:val="20"/>
          <w:color w:val="auto"/>
        </w:rPr>
        <w:tab/>
      </w:r>
      <w:r>
        <w:rPr>
          <w:rFonts w:ascii="Arial" w:cs="Arial" w:eastAsia="Arial" w:hAnsi="Arial"/>
          <w:sz w:val="16"/>
          <w:szCs w:val="16"/>
          <w:b w:val="1"/>
          <w:bCs w:val="1"/>
          <w:color w:val="auto"/>
        </w:rPr>
        <w:t xml:space="preserve">Surviving Provisions. </w:t>
      </w:r>
      <w:r>
        <w:rPr>
          <w:rFonts w:ascii="Arial" w:cs="Arial" w:eastAsia="Arial" w:hAnsi="Arial"/>
          <w:sz w:val="16"/>
          <w:szCs w:val="16"/>
          <w:color w:val="auto"/>
        </w:rPr>
        <w:t>Surviving any termination or expiration are:</w:t>
      </w:r>
    </w:p>
    <w:p>
      <w:pPr>
        <w:spacing w:after="0" w:line="135" w:lineRule="exact"/>
        <w:rPr>
          <w:sz w:val="20"/>
          <w:szCs w:val="20"/>
          <w:color w:val="auto"/>
        </w:rPr>
      </w:pPr>
    </w:p>
    <w:p>
      <w:pPr>
        <w:ind w:left="1424" w:hanging="439"/>
        <w:spacing w:after="0"/>
        <w:tabs>
          <w:tab w:leader="none" w:pos="142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Alexo’s obligation to pay royalties accrued or accruable;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claim of Alexo or Stanford, accrued or to accrue, because of any breach or default by the other party;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provisions of Articles 8, 9, 10, and 19.6 and any other provision that by its nature is intended to survive.</w:t>
      </w:r>
    </w:p>
    <w:p>
      <w:pPr>
        <w:spacing w:after="0" w:line="130" w:lineRule="exact"/>
        <w:rPr>
          <w:rFonts w:ascii="Arial" w:cs="Arial" w:eastAsia="Arial" w:hAnsi="Arial"/>
          <w:sz w:val="18"/>
          <w:szCs w:val="18"/>
          <w:color w:val="auto"/>
        </w:rPr>
      </w:pPr>
    </w:p>
    <w:p>
      <w:pPr>
        <w:ind w:left="1424" w:right="220" w:hanging="439"/>
        <w:spacing w:after="0" w:line="308" w:lineRule="auto"/>
        <w:tabs>
          <w:tab w:leader="none" w:pos="1424" w:val="left"/>
        </w:tabs>
        <w:numPr>
          <w:ilvl w:val="1"/>
          <w:numId w:val="207"/>
        </w:numPr>
        <w:rPr>
          <w:rFonts w:ascii="Arial" w:cs="Arial" w:eastAsia="Arial" w:hAnsi="Arial"/>
          <w:sz w:val="17"/>
          <w:szCs w:val="17"/>
          <w:color w:val="auto"/>
        </w:rPr>
      </w:pPr>
      <w:r>
        <w:rPr>
          <w:rFonts w:ascii="Arial" w:cs="Arial" w:eastAsia="Arial" w:hAnsi="Arial"/>
          <w:sz w:val="17"/>
          <w:szCs w:val="17"/>
          <w:color w:val="auto"/>
        </w:rPr>
        <w:t>Sublicenses granted in accordance with this Agreement shall survive termination, provided the sublicensee agrees in writing that: [***]. All payments due to Alexo from such sublicensees under the Sublicense will [***], but Alexo shall [***].</w:t>
      </w:r>
    </w:p>
    <w:p>
      <w:pPr>
        <w:spacing w:after="0" w:line="290" w:lineRule="exact"/>
        <w:rPr>
          <w:rFonts w:ascii="Arial" w:cs="Arial" w:eastAsia="Arial" w:hAnsi="Arial"/>
          <w:sz w:val="17"/>
          <w:szCs w:val="17"/>
          <w:color w:val="auto"/>
        </w:rPr>
      </w:pPr>
    </w:p>
    <w:p>
      <w:pPr>
        <w:ind w:left="424" w:hanging="424"/>
        <w:spacing w:after="0"/>
        <w:tabs>
          <w:tab w:leader="none" w:pos="424"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30" w:lineRule="exact"/>
        <w:rPr>
          <w:rFonts w:ascii="Arial" w:cs="Arial" w:eastAsia="Arial" w:hAnsi="Arial"/>
          <w:sz w:val="18"/>
          <w:szCs w:val="18"/>
          <w:b w:val="1"/>
          <w:bCs w:val="1"/>
          <w:color w:val="auto"/>
        </w:rPr>
      </w:pPr>
    </w:p>
    <w:p>
      <w:pPr>
        <w:ind w:left="964" w:right="140" w:hanging="5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Permitted Assignment by Alexo.</w:t>
      </w:r>
      <w:r>
        <w:rPr>
          <w:rFonts w:ascii="Arial" w:cs="Arial" w:eastAsia="Arial" w:hAnsi="Arial"/>
          <w:sz w:val="18"/>
          <w:szCs w:val="18"/>
          <w:color w:val="auto"/>
        </w:rPr>
        <w:t xml:space="preserve"> Subject to Section 16.3, Alexo may assign this Agreement as part of a sale or change of control, regardless of whether such a sale or change of control occurs through an asset sale, stock sale, merger or other combination, or any other transfer of:</w:t>
      </w:r>
    </w:p>
    <w:p>
      <w:pPr>
        <w:spacing w:after="0" w:line="85" w:lineRule="exact"/>
        <w:rPr>
          <w:rFonts w:ascii="Arial" w:cs="Arial" w:eastAsia="Arial" w:hAnsi="Arial"/>
          <w:sz w:val="18"/>
          <w:szCs w:val="18"/>
          <w:b w:val="1"/>
          <w:bCs w:val="1"/>
          <w:color w:val="auto"/>
        </w:rPr>
      </w:pPr>
    </w:p>
    <w:p>
      <w:pPr>
        <w:ind w:left="1424" w:hanging="439"/>
        <w:spacing w:after="0"/>
        <w:tabs>
          <w:tab w:leader="none" w:pos="142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Alexo’s entire business;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that part of Alexo’s business that exercises all rights granted under this Agreement.</w:t>
      </w:r>
    </w:p>
    <w:p>
      <w:pPr>
        <w:spacing w:after="0" w:line="130" w:lineRule="exact"/>
        <w:rPr>
          <w:rFonts w:ascii="Arial" w:cs="Arial" w:eastAsia="Arial" w:hAnsi="Arial"/>
          <w:sz w:val="18"/>
          <w:szCs w:val="18"/>
          <w:color w:val="auto"/>
        </w:rPr>
      </w:pPr>
    </w:p>
    <w:p>
      <w:pPr>
        <w:ind w:left="1424" w:right="260" w:hanging="439"/>
        <w:spacing w:after="0" w:line="311" w:lineRule="auto"/>
        <w:tabs>
          <w:tab w:leader="none" w:pos="142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For the avoidance of doubt, it is understood and agreed that a change of control shall not include (i) the grant of a sublicense or (ii) any transaction or series of related transactions effected primarily for the purpose of providing financing to Alexo or (iii) any transaction or series of related transactions effected primarily for the purpose of reincorporating in another jurisdiction.</w:t>
      </w:r>
    </w:p>
    <w:p>
      <w:pPr>
        <w:spacing w:after="0" w:line="172" w:lineRule="exact"/>
        <w:rPr>
          <w:sz w:val="20"/>
          <w:szCs w:val="20"/>
          <w:color w:val="auto"/>
        </w:rPr>
      </w:pPr>
    </w:p>
    <w:p>
      <w:pPr>
        <w:ind w:left="964" w:hanging="539"/>
        <w:spacing w:after="0" w:line="256" w:lineRule="auto"/>
        <w:tabs>
          <w:tab w:leader="none" w:pos="944"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b w:val="1"/>
          <w:bCs w:val="1"/>
          <w:color w:val="auto"/>
        </w:rPr>
        <w:t xml:space="preserve">Any Other Assignment by Alexo. </w:t>
      </w:r>
      <w:r>
        <w:rPr>
          <w:rFonts w:ascii="Arial" w:cs="Arial" w:eastAsia="Arial" w:hAnsi="Arial"/>
          <w:sz w:val="18"/>
          <w:szCs w:val="18"/>
          <w:color w:val="auto"/>
        </w:rPr>
        <w:t>Any other attempt to assign this Agreement by Alexo is null and void; provided that Alexo may assign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 any transaction or series of related transactions among Alexo and any entity that, directly or indirectly, is controlled by, controls or is under common control with Alexo. For purposes of this Section 16.2 only, “control” means the direct or indirect ownership of more than fifty percent (50%) of the voting or income interest in the applicable entity (or such lesser maximum percentage permitted in those jurisdictions where majority ownership by foreign entities is prohibited) or the possession otherwise, directly or indirectly, of the power to direct the management or policies of such entity.</w:t>
      </w:r>
    </w:p>
    <w:p>
      <w:pPr>
        <w:spacing w:after="0" w:line="214"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b w:val="1"/>
          <w:bCs w:val="1"/>
          <w:color w:val="auto"/>
        </w:rPr>
        <w:t xml:space="preserve">Conditions of Assignment. </w:t>
      </w:r>
      <w:r>
        <w:rPr>
          <w:rFonts w:ascii="Arial" w:cs="Arial" w:eastAsia="Arial" w:hAnsi="Arial"/>
          <w:sz w:val="16"/>
          <w:szCs w:val="16"/>
          <w:color w:val="auto"/>
        </w:rPr>
        <w:t>Prior to any assignment, the following conditions must be met:</w:t>
      </w:r>
    </w:p>
    <w:p>
      <w:pPr>
        <w:spacing w:after="0" w:line="135" w:lineRule="exact"/>
        <w:rPr>
          <w:sz w:val="20"/>
          <w:szCs w:val="20"/>
          <w:color w:val="auto"/>
        </w:rPr>
      </w:pPr>
    </w:p>
    <w:p>
      <w:pPr>
        <w:ind w:left="1424" w:hanging="439"/>
        <w:spacing w:after="0"/>
        <w:tabs>
          <w:tab w:leader="none" w:pos="142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Alexo must give Stanford [***] written notice of the assignment, including the new assignee’s contact information;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new assignee must agree in writing to Stanford to be bound by this Agreement;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Stanford must have received [***].</w:t>
      </w:r>
    </w:p>
    <w:p>
      <w:pPr>
        <w:spacing w:after="0" w:line="157"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0944"/>
          </w:cols>
          <w:pgMar w:left="436" w:top="270" w:right="519" w:bottom="1440" w:gutter="0" w:footer="0" w:header="0"/>
        </w:sectPr>
      </w:pPr>
    </w:p>
    <w:bookmarkStart w:id="261" w:name="page262"/>
    <w:bookmarkEnd w:id="261"/>
    <w:p>
      <w:pPr>
        <w:ind w:left="964" w:right="40" w:hanging="539"/>
        <w:spacing w:after="0" w:line="282"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16.4</w:t>
      </w:r>
      <w:r>
        <w:rPr>
          <w:sz w:val="20"/>
          <w:szCs w:val="20"/>
          <w:color w:val="auto"/>
        </w:rPr>
        <w:tab/>
      </w:r>
      <w:r>
        <w:rPr>
          <w:rFonts w:ascii="Arial" w:cs="Arial" w:eastAsia="Arial" w:hAnsi="Arial"/>
          <w:sz w:val="18"/>
          <w:szCs w:val="18"/>
          <w:b w:val="1"/>
          <w:bCs w:val="1"/>
          <w:color w:val="auto"/>
        </w:rPr>
        <w:t xml:space="preserve">After the Assignment. </w:t>
      </w:r>
      <w:r>
        <w:rPr>
          <w:rFonts w:ascii="Arial" w:cs="Arial" w:eastAsia="Arial" w:hAnsi="Arial"/>
          <w:sz w:val="18"/>
          <w:szCs w:val="18"/>
          <w:color w:val="auto"/>
        </w:rPr>
        <w:t>Upon a permitted assignment of this Agreement pursuant to Article 16.3, Alexo will be released of liability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term “Alexo” in this Agreement will mean the assignee.</w:t>
      </w:r>
    </w:p>
    <w:p>
      <w:pPr>
        <w:spacing w:after="0" w:line="189" w:lineRule="exact"/>
        <w:rPr>
          <w:sz w:val="20"/>
          <w:szCs w:val="20"/>
          <w:color w:val="auto"/>
        </w:rPr>
      </w:pPr>
    </w:p>
    <w:p>
      <w:pPr>
        <w:ind w:left="964" w:right="720" w:hanging="539"/>
        <w:spacing w:after="0" w:line="282" w:lineRule="auto"/>
        <w:tabs>
          <w:tab w:leader="none" w:pos="944"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8"/>
          <w:szCs w:val="18"/>
          <w:b w:val="1"/>
          <w:bCs w:val="1"/>
          <w:color w:val="auto"/>
        </w:rPr>
        <w:t xml:space="preserve">Bankruptcy. </w:t>
      </w:r>
      <w:r>
        <w:rPr>
          <w:rFonts w:ascii="Arial" w:cs="Arial" w:eastAsia="Arial" w:hAnsi="Arial"/>
          <w:sz w:val="18"/>
          <w:szCs w:val="18"/>
          <w:color w:val="auto"/>
        </w:rPr>
        <w:t>In the event of a bankruptcy, assignment is permitted only to a party that can provide adequate assurance of future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diligent development and sales, of Licensed Product.</w:t>
      </w:r>
    </w:p>
    <w:p>
      <w:pPr>
        <w:spacing w:after="0" w:line="310" w:lineRule="exact"/>
        <w:rPr>
          <w:sz w:val="20"/>
          <w:szCs w:val="20"/>
          <w:color w:val="auto"/>
        </w:rPr>
      </w:pPr>
    </w:p>
    <w:p>
      <w:pPr>
        <w:ind w:left="424" w:hanging="424"/>
        <w:spacing w:after="0"/>
        <w:tabs>
          <w:tab w:leader="none" w:pos="42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0" w:lineRule="exact"/>
        <w:rPr>
          <w:rFonts w:ascii="Arial" w:cs="Arial" w:eastAsia="Arial" w:hAnsi="Arial"/>
          <w:sz w:val="18"/>
          <w:szCs w:val="18"/>
          <w:b w:val="1"/>
          <w:bCs w:val="1"/>
          <w:color w:val="auto"/>
        </w:rPr>
      </w:pPr>
    </w:p>
    <w:p>
      <w:pPr>
        <w:ind w:left="964" w:hanging="5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Dispute Resolution by Arbitration.</w:t>
      </w:r>
      <w:r>
        <w:rPr>
          <w:rFonts w:ascii="Arial" w:cs="Arial" w:eastAsia="Arial" w:hAnsi="Arial"/>
          <w:sz w:val="18"/>
          <w:szCs w:val="18"/>
          <w:color w:val="auto"/>
        </w:rPr>
        <w:t xml:space="preserve"> Any dispute between the parties regarding [***] will be settled by arbitration in accordance with the JAMS Arbitration Rules and Procedures. The parties are not obligated to settle any other dispute that may arise under this Agreement by arbitration. Notwithstanding the foregoing, no dispute affecting the rights or property of HHMI shall be subject to the arbitration provisions set forth in this Article 17.</w:t>
      </w:r>
    </w:p>
    <w:p>
      <w:pPr>
        <w:spacing w:after="0" w:line="206" w:lineRule="exact"/>
        <w:rPr>
          <w:rFonts w:ascii="Arial" w:cs="Arial" w:eastAsia="Arial" w:hAnsi="Arial"/>
          <w:sz w:val="18"/>
          <w:szCs w:val="18"/>
          <w:b w:val="1"/>
          <w:bCs w:val="1"/>
          <w:color w:val="auto"/>
        </w:rPr>
      </w:pPr>
    </w:p>
    <w:p>
      <w:pPr>
        <w:ind w:left="964" w:hanging="54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Request for Arbitration.</w:t>
      </w:r>
      <w:r>
        <w:rPr>
          <w:rFonts w:ascii="Arial" w:cs="Arial" w:eastAsia="Arial" w:hAnsi="Arial"/>
          <w:sz w:val="18"/>
          <w:szCs w:val="18"/>
          <w:color w:val="auto"/>
        </w:rPr>
        <w:t xml:space="preserve"> Either party may request such arbitration. Stanford and Alexo will mutually agree in writing on a third party arbitrator within [***] of the arbitration request. The arbitrator’s decision will be final and nonappealable and may be entered in any court having jurisdiction.</w:t>
      </w:r>
    </w:p>
    <w:p>
      <w:pPr>
        <w:spacing w:after="0" w:line="202" w:lineRule="exact"/>
        <w:rPr>
          <w:rFonts w:ascii="Arial" w:cs="Arial" w:eastAsia="Arial" w:hAnsi="Arial"/>
          <w:sz w:val="18"/>
          <w:szCs w:val="18"/>
          <w:b w:val="1"/>
          <w:bCs w:val="1"/>
          <w:color w:val="auto"/>
        </w:rPr>
      </w:pPr>
    </w:p>
    <w:p>
      <w:pPr>
        <w:ind w:left="964" w:right="20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Discovery.</w:t>
      </w:r>
      <w:r>
        <w:rPr>
          <w:rFonts w:ascii="Arial" w:cs="Arial" w:eastAsia="Arial" w:hAnsi="Arial"/>
          <w:sz w:val="18"/>
          <w:szCs w:val="18"/>
          <w:color w:val="auto"/>
        </w:rPr>
        <w:t xml:space="preserve"> The parties will be entitled to discovery as if the arbitration were a civil suit in the California Superior Court. The arbitrator may limit the scope, time, and issues involved in discovery.</w:t>
      </w:r>
    </w:p>
    <w:p>
      <w:pPr>
        <w:spacing w:after="0" w:line="188"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7"/>
          <w:szCs w:val="17"/>
          <w:color w:val="auto"/>
        </w:rPr>
        <w:t xml:space="preserve">17.4   </w:t>
      </w:r>
      <w:r>
        <w:rPr>
          <w:rFonts w:ascii="Arial" w:cs="Arial" w:eastAsia="Arial" w:hAnsi="Arial"/>
          <w:sz w:val="17"/>
          <w:szCs w:val="17"/>
          <w:b w:val="1"/>
          <w:bCs w:val="1"/>
          <w:color w:val="auto"/>
        </w:rPr>
        <w:t>Place of Arbitration.</w:t>
      </w:r>
      <w:r>
        <w:rPr>
          <w:rFonts w:ascii="Arial" w:cs="Arial" w:eastAsia="Arial" w:hAnsi="Arial"/>
          <w:sz w:val="17"/>
          <w:szCs w:val="17"/>
          <w:color w:val="auto"/>
        </w:rPr>
        <w:t xml:space="preserve"> The arbitration will be held in Stanford, California unless the parties mutually agree in writing to another place.</w:t>
      </w:r>
    </w:p>
    <w:p>
      <w:pPr>
        <w:spacing w:after="0" w:line="263" w:lineRule="exact"/>
        <w:rPr>
          <w:rFonts w:ascii="Arial" w:cs="Arial" w:eastAsia="Arial" w:hAnsi="Arial"/>
          <w:sz w:val="18"/>
          <w:szCs w:val="18"/>
          <w:b w:val="1"/>
          <w:bCs w:val="1"/>
          <w:color w:val="auto"/>
        </w:rPr>
      </w:pPr>
    </w:p>
    <w:p>
      <w:pPr>
        <w:ind w:left="964" w:right="14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Patent Validity.</w:t>
      </w:r>
      <w:r>
        <w:rPr>
          <w:rFonts w:ascii="Arial" w:cs="Arial" w:eastAsia="Arial" w:hAnsi="Arial"/>
          <w:sz w:val="18"/>
          <w:szCs w:val="18"/>
          <w:color w:val="auto"/>
        </w:rPr>
        <w:t xml:space="preserve"> Any dispute regarding the validity of any Licensed Patent shall be litigated in the courts located in Santa Clara County, California, and the parties agree not to challenge personal jurisdiction in that forum.</w:t>
      </w:r>
    </w:p>
    <w:p>
      <w:pPr>
        <w:spacing w:after="0" w:line="310" w:lineRule="exact"/>
        <w:rPr>
          <w:rFonts w:ascii="Arial" w:cs="Arial" w:eastAsia="Arial" w:hAnsi="Arial"/>
          <w:sz w:val="18"/>
          <w:szCs w:val="18"/>
          <w:b w:val="1"/>
          <w:bCs w:val="1"/>
          <w:color w:val="auto"/>
        </w:rPr>
      </w:pPr>
    </w:p>
    <w:p>
      <w:pPr>
        <w:ind w:left="424" w:hanging="424"/>
        <w:spacing w:after="0"/>
        <w:tabs>
          <w:tab w:leader="none" w:pos="424"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0" w:lineRule="exact"/>
        <w:rPr>
          <w:rFonts w:ascii="Arial" w:cs="Arial" w:eastAsia="Arial" w:hAnsi="Arial"/>
          <w:sz w:val="18"/>
          <w:szCs w:val="18"/>
          <w:b w:val="1"/>
          <w:bCs w:val="1"/>
          <w:color w:val="auto"/>
        </w:rPr>
      </w:pPr>
    </w:p>
    <w:p>
      <w:pPr>
        <w:ind w:left="964" w:right="160" w:hanging="5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Legal Action.</w:t>
      </w:r>
      <w:r>
        <w:rPr>
          <w:rFonts w:ascii="Arial" w:cs="Arial" w:eastAsia="Arial" w:hAnsi="Arial"/>
          <w:sz w:val="18"/>
          <w:szCs w:val="18"/>
          <w:color w:val="auto"/>
        </w:rPr>
        <w:t xml:space="preserve"> Alexo will provide written notice to Stanford at least [***] prior to bringing an action seeking to invalidate any Licensed Patents or a declaration of non-infringement. Alexo will include with such written notice [***].</w:t>
      </w:r>
    </w:p>
    <w:p>
      <w:pPr>
        <w:spacing w:after="0" w:line="189"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 xml:space="preserve">All Notices. </w:t>
      </w:r>
      <w:r>
        <w:rPr>
          <w:rFonts w:ascii="Arial" w:cs="Arial" w:eastAsia="Arial" w:hAnsi="Arial"/>
          <w:sz w:val="16"/>
          <w:szCs w:val="16"/>
          <w:color w:val="auto"/>
        </w:rPr>
        <w:t>All notices under this Agreement are deemed fully given when written, addressed, and sent as follows: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general notices to Alexo are mailed or emailed to:</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Alexo Therapeutics International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Alexo Therapeutics,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p>
    <w:p>
      <w:pPr>
        <w:spacing w:after="0" w:line="143" w:lineRule="exact"/>
        <w:rPr>
          <w:sz w:val="20"/>
          <w:szCs w:val="20"/>
          <w:color w:val="auto"/>
        </w:rPr>
      </w:pPr>
    </w:p>
    <w:p>
      <w:pPr>
        <w:ind w:left="424" w:right="160" w:hanging="424"/>
        <w:spacing w:after="0" w:line="277" w:lineRule="auto"/>
        <w:tabs>
          <w:tab w:leader="none" w:pos="424"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0904"/>
          </w:cols>
          <w:pgMar w:left="436" w:top="270" w:right="559" w:bottom="1440" w:gutter="0" w:footer="0" w:header="0"/>
        </w:sectPr>
      </w:pPr>
    </w:p>
    <w:bookmarkStart w:id="262" w:name="page263"/>
    <w:bookmarkEnd w:id="26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financial invoices to Alexo (i.e., accounting contact) are e-mailed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Alexo Therapeutics International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Alexo Therapeutics,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progress report invoices to Alexo (i.e., technical contact) are e-mailed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Alexo Therapeutics International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 Alexo Therapeutics,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general notices to Stanford are e-mailed or mailed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 Licensing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1705 El Camino Real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Palo Alto, CA 94306-1106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info@otlmail.stanford.edu</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payments to Stanford are mailed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Stanford University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 Licensing</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Department #44439</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P.O. Box 44000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Francisco, CA 94144-4439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progress reports to Stanford are e-mailed or mailed to: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Technology Licensing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3000 El Camino Real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Building 5, Suite 300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Palo Alto, CA 94306-1106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info@otImail.stanford.edu</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Either party may change its address with written notice to the other party.</w:t>
      </w:r>
    </w:p>
    <w:p>
      <w:pPr>
        <w:spacing w:after="0" w:line="370" w:lineRule="exact"/>
        <w:rPr>
          <w:sz w:val="20"/>
          <w:szCs w:val="20"/>
          <w:color w:val="auto"/>
        </w:rPr>
      </w:pPr>
    </w:p>
    <w:p>
      <w:pPr>
        <w:ind w:left="424" w:hanging="424"/>
        <w:spacing w:after="0"/>
        <w:tabs>
          <w:tab w:leader="none" w:pos="424"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 xml:space="preserve">19.1   </w:t>
      </w:r>
      <w:r>
        <w:rPr>
          <w:rFonts w:ascii="Arial" w:cs="Arial" w:eastAsia="Arial" w:hAnsi="Arial"/>
          <w:sz w:val="18"/>
          <w:szCs w:val="18"/>
          <w:b w:val="1"/>
          <w:bCs w:val="1"/>
          <w:color w:val="auto"/>
        </w:rPr>
        <w:t>Waiver.</w:t>
      </w:r>
      <w:r>
        <w:rPr>
          <w:rFonts w:ascii="Arial" w:cs="Arial" w:eastAsia="Arial" w:hAnsi="Arial"/>
          <w:sz w:val="18"/>
          <w:szCs w:val="18"/>
          <w:color w:val="auto"/>
        </w:rPr>
        <w:t xml:space="preserve"> No term of this Agreement can be waived except by the written consent of the party waiving compliance.</w:t>
      </w:r>
    </w:p>
    <w:p>
      <w:pPr>
        <w:spacing w:after="0" w:line="162" w:lineRule="exact"/>
        <w:rPr>
          <w:sz w:val="20"/>
          <w:szCs w:val="20"/>
          <w:color w:val="auto"/>
        </w:rPr>
      </w:pPr>
    </w:p>
    <w:p>
      <w:pPr>
        <w:ind w:left="424" w:hanging="424"/>
        <w:spacing w:after="0" w:line="277" w:lineRule="auto"/>
        <w:tabs>
          <w:tab w:leader="none" w:pos="4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0744"/>
          </w:cols>
          <w:pgMar w:left="436" w:top="274" w:right="719" w:bottom="1440" w:gutter="0" w:footer="0" w:header="0"/>
        </w:sectPr>
      </w:pPr>
    </w:p>
    <w:bookmarkStart w:id="263" w:name="page264"/>
    <w:bookmarkEnd w:id="263"/>
    <w:p>
      <w:pPr>
        <w:ind w:left="964" w:right="540" w:hanging="539"/>
        <w:spacing w:after="0" w:line="282" w:lineRule="auto"/>
        <w:tabs>
          <w:tab w:leader="none" w:pos="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19.2</w:t>
      </w:r>
      <w:r>
        <w:rPr>
          <w:sz w:val="20"/>
          <w:szCs w:val="20"/>
          <w:color w:val="auto"/>
        </w:rPr>
        <w:tab/>
      </w:r>
      <w:r>
        <w:rPr>
          <w:rFonts w:ascii="Arial" w:cs="Arial" w:eastAsia="Arial" w:hAnsi="Arial"/>
          <w:sz w:val="18"/>
          <w:szCs w:val="18"/>
          <w:b w:val="1"/>
          <w:bCs w:val="1"/>
          <w:color w:val="auto"/>
        </w:rPr>
        <w:t xml:space="preserve">Choice of Law. </w:t>
      </w:r>
      <w:r>
        <w:rPr>
          <w:rFonts w:ascii="Arial" w:cs="Arial" w:eastAsia="Arial" w:hAnsi="Arial"/>
          <w:sz w:val="18"/>
          <w:szCs w:val="18"/>
          <w:color w:val="auto"/>
        </w:rPr>
        <w:t>This Agreement and any dispute arising under it is governed by the laws of the State of California,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applicable to agreements negotiated, executed, and performed within California.</w:t>
      </w:r>
    </w:p>
    <w:p>
      <w:pPr>
        <w:spacing w:after="0" w:line="189" w:lineRule="exact"/>
        <w:rPr>
          <w:sz w:val="20"/>
          <w:szCs w:val="20"/>
          <w:color w:val="auto"/>
        </w:rPr>
      </w:pPr>
    </w:p>
    <w:p>
      <w:pPr>
        <w:ind w:left="964" w:right="240" w:hanging="539"/>
        <w:spacing w:after="0" w:line="258" w:lineRule="auto"/>
        <w:tabs>
          <w:tab w:leader="none" w:pos="944"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b w:val="1"/>
          <w:bCs w:val="1"/>
          <w:color w:val="auto"/>
        </w:rPr>
        <w:t xml:space="preserve">Entire Agreement. </w:t>
      </w:r>
      <w:r>
        <w:rPr>
          <w:rFonts w:ascii="Arial" w:cs="Arial" w:eastAsia="Arial" w:hAnsi="Arial"/>
          <w:sz w:val="18"/>
          <w:szCs w:val="18"/>
          <w:color w:val="auto"/>
        </w:rPr>
        <w:t>The parties have read this Agreement and agree to be bound by its terms, and further agree that it constitutes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and entire agreement of the parties and supersedes all previous communications, oral or written, and all other communications between them relating to the license and to the subject hereof. This Agreement may not be amended except by writing executed by authorized representatives of both parties. No representations or statements of any kind made by either party, which are not expressly stated herein, will be binding on such party.</w:t>
      </w:r>
    </w:p>
    <w:p>
      <w:pPr>
        <w:spacing w:after="0" w:line="210" w:lineRule="exact"/>
        <w:rPr>
          <w:sz w:val="20"/>
          <w:szCs w:val="20"/>
          <w:color w:val="auto"/>
        </w:rPr>
      </w:pPr>
    </w:p>
    <w:p>
      <w:pPr>
        <w:ind w:left="964" w:right="200" w:hanging="539"/>
        <w:spacing w:after="0" w:line="289" w:lineRule="auto"/>
        <w:tabs>
          <w:tab w:leader="none" w:pos="944"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7"/>
          <w:szCs w:val="17"/>
          <w:b w:val="1"/>
          <w:bCs w:val="1"/>
          <w:color w:val="auto"/>
        </w:rPr>
        <w:t xml:space="preserve">Exclusive Forum. </w:t>
      </w:r>
      <w:r>
        <w:rPr>
          <w:rFonts w:ascii="Arial" w:cs="Arial" w:eastAsia="Arial" w:hAnsi="Arial"/>
          <w:sz w:val="17"/>
          <w:szCs w:val="17"/>
          <w:color w:val="auto"/>
        </w:rPr>
        <w:t>The state and federal courts having jurisdiction over Stanford, California, United States of America, provide the</w:t>
      </w:r>
      <w:r>
        <w:rPr>
          <w:rFonts w:ascii="Arial" w:cs="Arial" w:eastAsia="Arial" w:hAnsi="Arial"/>
          <w:sz w:val="17"/>
          <w:szCs w:val="17"/>
          <w:b w:val="1"/>
          <w:bCs w:val="1"/>
          <w:color w:val="auto"/>
        </w:rPr>
        <w:t xml:space="preserve"> </w:t>
      </w:r>
      <w:r>
        <w:rPr>
          <w:rFonts w:ascii="Arial" w:cs="Arial" w:eastAsia="Arial" w:hAnsi="Arial"/>
          <w:sz w:val="17"/>
          <w:szCs w:val="17"/>
          <w:color w:val="auto"/>
        </w:rPr>
        <w:t>exclusive forum for any court action between the parties relating to this Agreement. Alexo submits to the jurisdiction of such courts, and waives any claim that such a court lacks jurisdiction over Alexo or constitutes an inconvenient or improper forum.</w:t>
      </w:r>
    </w:p>
    <w:p>
      <w:pPr>
        <w:spacing w:after="0" w:line="185"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No headings in this Agreement affect its interpretation.</w:t>
      </w:r>
    </w:p>
    <w:p>
      <w:pPr>
        <w:spacing w:after="0" w:line="252" w:lineRule="exact"/>
        <w:rPr>
          <w:sz w:val="20"/>
          <w:szCs w:val="20"/>
          <w:color w:val="auto"/>
        </w:rPr>
      </w:pPr>
    </w:p>
    <w:p>
      <w:pPr>
        <w:ind w:left="964" w:right="100" w:hanging="539"/>
        <w:spacing w:after="0" w:line="266" w:lineRule="auto"/>
        <w:tabs>
          <w:tab w:leader="none" w:pos="944"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b w:val="1"/>
          <w:bCs w:val="1"/>
          <w:color w:val="auto"/>
        </w:rPr>
        <w:t xml:space="preserve">HHMI Third Party Beneficiary Status. </w:t>
      </w:r>
      <w:r>
        <w:rPr>
          <w:rFonts w:ascii="Arial" w:cs="Arial" w:eastAsia="Arial" w:hAnsi="Arial"/>
          <w:sz w:val="18"/>
          <w:szCs w:val="18"/>
          <w:color w:val="auto"/>
        </w:rPr>
        <w:t>HHMI is not a party to this Agreement and has no liability to Alexo, Affiliates, any sublicensee,</w:t>
      </w:r>
      <w:r>
        <w:rPr>
          <w:rFonts w:ascii="Arial" w:cs="Arial" w:eastAsia="Arial" w:hAnsi="Arial"/>
          <w:sz w:val="18"/>
          <w:szCs w:val="18"/>
          <w:b w:val="1"/>
          <w:bCs w:val="1"/>
          <w:color w:val="auto"/>
        </w:rPr>
        <w:t xml:space="preserve"> </w:t>
      </w:r>
      <w:r>
        <w:rPr>
          <w:rFonts w:ascii="Arial" w:cs="Arial" w:eastAsia="Arial" w:hAnsi="Arial"/>
          <w:sz w:val="18"/>
          <w:szCs w:val="18"/>
          <w:color w:val="auto"/>
        </w:rPr>
        <w:t>or user of anything covered in this Agreement, but HHMI is an intended third-party beneficiary of this Agreement and certain of its provisions are for the benefit of HHMI and are enforceable by HHMI in its own name.</w:t>
      </w:r>
    </w:p>
    <w:p>
      <w:pPr>
        <w:spacing w:after="0" w:line="203" w:lineRule="exact"/>
        <w:rPr>
          <w:sz w:val="20"/>
          <w:szCs w:val="20"/>
          <w:color w:val="auto"/>
        </w:rPr>
      </w:pPr>
    </w:p>
    <w:p>
      <w:pPr>
        <w:ind w:left="964" w:hanging="539"/>
        <w:spacing w:after="0" w:line="289" w:lineRule="auto"/>
        <w:tabs>
          <w:tab w:leader="none" w:pos="944"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7"/>
          <w:szCs w:val="17"/>
          <w:b w:val="1"/>
          <w:bCs w:val="1"/>
          <w:color w:val="auto"/>
        </w:rPr>
        <w:t xml:space="preserve">Electronic Copy. </w:t>
      </w:r>
      <w:r>
        <w:rPr>
          <w:rFonts w:ascii="Arial" w:cs="Arial" w:eastAsia="Arial" w:hAnsi="Arial"/>
          <w:sz w:val="17"/>
          <w:szCs w:val="17"/>
          <w:color w:val="auto"/>
        </w:rPr>
        <w:t>The parties to this document agree that a copy of the original signature (including an electronic copy) may be used for</w:t>
      </w:r>
      <w:r>
        <w:rPr>
          <w:rFonts w:ascii="Arial" w:cs="Arial" w:eastAsia="Arial" w:hAnsi="Arial"/>
          <w:sz w:val="17"/>
          <w:szCs w:val="17"/>
          <w:b w:val="1"/>
          <w:bCs w:val="1"/>
          <w:color w:val="auto"/>
        </w:rPr>
        <w:t xml:space="preserve"> </w:t>
      </w:r>
      <w:r>
        <w:rPr>
          <w:rFonts w:ascii="Arial" w:cs="Arial" w:eastAsia="Arial" w:hAnsi="Arial"/>
          <w:sz w:val="17"/>
          <w:szCs w:val="17"/>
          <w:color w:val="auto"/>
        </w:rPr>
        <w:t>any and all purposes for which the original signature may have been used. The parties further waive any right to challenge the admissibility or authenticity of this document in a court of law based solely on the absence of an original signature.</w:t>
      </w:r>
    </w:p>
    <w:p>
      <w:pPr>
        <w:spacing w:after="0" w:line="94" w:lineRule="exact"/>
        <w:rPr>
          <w:sz w:val="20"/>
          <w:szCs w:val="20"/>
          <w:color w:val="auto"/>
        </w:rPr>
      </w:pPr>
    </w:p>
    <w:p>
      <w:pPr>
        <w:ind w:left="424" w:right="260" w:hanging="424"/>
        <w:spacing w:after="0" w:line="277" w:lineRule="auto"/>
        <w:tabs>
          <w:tab w:leader="none" w:pos="4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004"/>
          </w:cols>
          <w:pgMar w:left="436" w:top="270" w:right="459" w:bottom="1440" w:gutter="0" w:footer="0" w:header="0"/>
        </w:sectPr>
      </w:pPr>
    </w:p>
    <w:bookmarkStart w:id="264" w:name="page265"/>
    <w:bookmarkEnd w:id="26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execute this Agreement in duplicate originals by their duly authorized officers or representatives.</w:t>
      </w:r>
    </w:p>
    <w:p>
      <w:pPr>
        <w:spacing w:after="0" w:line="252" w:lineRule="exact"/>
        <w:rPr>
          <w:sz w:val="20"/>
          <w:szCs w:val="20"/>
          <w:color w:val="auto"/>
        </w:rPr>
      </w:pPr>
    </w:p>
    <w:p>
      <w:pPr>
        <w:ind w:left="104"/>
        <w:spacing w:after="0"/>
        <w:rPr>
          <w:sz w:val="20"/>
          <w:szCs w:val="20"/>
          <w:color w:val="auto"/>
        </w:rPr>
      </w:pPr>
      <w:r>
        <w:rPr>
          <w:rFonts w:ascii="Arial" w:cs="Arial" w:eastAsia="Arial" w:hAnsi="Arial"/>
          <w:sz w:val="18"/>
          <w:szCs w:val="18"/>
          <w:color w:val="auto"/>
        </w:rPr>
        <w:t>THE BOARD OF TRUSTEES OF THE LELAND</w:t>
      </w:r>
    </w:p>
    <w:p>
      <w:pPr>
        <w:spacing w:after="0" w:line="23" w:lineRule="exact"/>
        <w:rPr>
          <w:sz w:val="20"/>
          <w:szCs w:val="20"/>
          <w:color w:val="auto"/>
        </w:rPr>
      </w:pPr>
    </w:p>
    <w:p>
      <w:pPr>
        <w:ind w:left="284"/>
        <w:spacing w:after="0"/>
        <w:rPr>
          <w:sz w:val="20"/>
          <w:szCs w:val="20"/>
          <w:color w:val="auto"/>
        </w:rPr>
      </w:pPr>
      <w:r>
        <w:rPr>
          <w:rFonts w:ascii="Arial" w:cs="Arial" w:eastAsia="Arial" w:hAnsi="Arial"/>
          <w:sz w:val="18"/>
          <w:szCs w:val="18"/>
          <w:color w:val="auto"/>
        </w:rPr>
        <w:t>STANFORD JUNIOR UNIVERSITY</w:t>
      </w:r>
    </w:p>
    <w:p>
      <w:pPr>
        <w:spacing w:after="0" w:line="319" w:lineRule="exact"/>
        <w:rPr>
          <w:sz w:val="20"/>
          <w:szCs w:val="20"/>
          <w:color w:val="auto"/>
        </w:rPr>
      </w:pPr>
    </w:p>
    <w:tbl>
      <w:tblPr>
        <w:tblLayout w:type="fixed"/>
        <w:tblInd w:w="104"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w w:val="97"/>
              </w:rPr>
              <w:t>Signature:</w:t>
            </w:r>
          </w:p>
        </w:tc>
        <w:tc>
          <w:tcPr>
            <w:tcW w:w="3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Kirsten Leute</w:t>
            </w:r>
          </w:p>
        </w:tc>
      </w:tr>
      <w:tr>
        <w:trPr>
          <w:trHeight w:val="209"/>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Kirsten Leute</w:t>
            </w:r>
          </w:p>
        </w:tc>
      </w:tr>
      <w:tr>
        <w:trPr>
          <w:trHeight w:val="195"/>
        </w:trPr>
        <w:tc>
          <w:tcPr>
            <w:tcW w:w="820" w:type="dxa"/>
            <w:vAlign w:val="bottom"/>
          </w:tcPr>
          <w:p>
            <w:pPr>
              <w:spacing w:after="0"/>
              <w:rPr>
                <w:sz w:val="16"/>
                <w:szCs w:val="16"/>
                <w:color w:val="auto"/>
              </w:rPr>
            </w:pPr>
          </w:p>
        </w:tc>
        <w:tc>
          <w:tcPr>
            <w:tcW w:w="3480" w:type="dxa"/>
            <w:vAlign w:val="bottom"/>
          </w:tcPr>
          <w:p>
            <w:pPr>
              <w:ind w:left="60"/>
              <w:spacing w:after="0" w:line="195" w:lineRule="exact"/>
              <w:rPr>
                <w:sz w:val="20"/>
                <w:szCs w:val="20"/>
                <w:color w:val="auto"/>
              </w:rPr>
            </w:pPr>
            <w:r>
              <w:rPr>
                <w:rFonts w:ascii="Arial" w:cs="Arial" w:eastAsia="Arial" w:hAnsi="Arial"/>
                <w:sz w:val="18"/>
                <w:szCs w:val="18"/>
                <w:color w:val="auto"/>
              </w:rPr>
              <w:t>Acting Director, Office of Technology</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Licensing</w:t>
            </w:r>
          </w:p>
        </w:tc>
      </w:tr>
      <w:tr>
        <w:trPr>
          <w:trHeight w:val="209"/>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3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24, 2015</w:t>
            </w:r>
          </w:p>
        </w:tc>
      </w:tr>
    </w:tbl>
    <w:p>
      <w:pPr>
        <w:spacing w:after="0" w:line="31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Alexo Therapeutics International</w:t>
      </w:r>
    </w:p>
    <w:p>
      <w:pPr>
        <w:spacing w:after="0" w:line="333" w:lineRule="exact"/>
        <w:rPr>
          <w:sz w:val="20"/>
          <w:szCs w:val="20"/>
          <w:color w:val="auto"/>
        </w:rPr>
      </w:pPr>
    </w:p>
    <w:tbl>
      <w:tblPr>
        <w:tblLayout w:type="fixed"/>
        <w:tblInd w:w="444"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Corey Goodman</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Corey Goodman</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Chair, Board of Directors</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March 24, 2015</w:t>
            </w:r>
          </w:p>
        </w:tc>
      </w:tr>
    </w:tbl>
    <w:p>
      <w:pPr>
        <w:spacing w:after="0" w:line="134" w:lineRule="exact"/>
        <w:rPr>
          <w:sz w:val="20"/>
          <w:szCs w:val="20"/>
          <w:color w:val="auto"/>
        </w:rPr>
      </w:pPr>
    </w:p>
    <w:p>
      <w:pPr>
        <w:ind w:left="424" w:hanging="424"/>
        <w:spacing w:after="0" w:line="277" w:lineRule="auto"/>
        <w:tabs>
          <w:tab w:leader="none" w:pos="4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0744"/>
          </w:cols>
          <w:pgMar w:left="436" w:top="274" w:right="71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 - Milestones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24" w:right="280" w:hanging="424"/>
        <w:spacing w:after="0" w:line="277" w:lineRule="auto"/>
        <w:tabs>
          <w:tab w:leader="none" w:pos="4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024"/>
          </w:cols>
          <w:pgMar w:left="436" w:top="270" w:right="439" w:bottom="1440" w:gutter="0" w:footer="0" w:header="0"/>
        </w:sectPr>
      </w:pPr>
    </w:p>
    <w:bookmarkStart w:id="266" w:name="page267"/>
    <w:bookmarkEnd w:id="266"/>
    <w:p>
      <w:pPr>
        <w:ind w:left="796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 — Sample Reporting Form</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Stanford Docket No. S</w:t>
      </w:r>
    </w:p>
    <w:p>
      <w:pPr>
        <w:spacing w:after="0" w:line="117" w:lineRule="exact"/>
        <w:rPr>
          <w:sz w:val="20"/>
          <w:szCs w:val="20"/>
          <w:color w:val="auto"/>
        </w:rPr>
      </w:pPr>
    </w:p>
    <w:p>
      <w:pPr>
        <w:ind w:left="444" w:right="4500" w:hanging="439"/>
        <w:spacing w:after="0" w:line="277" w:lineRule="auto"/>
        <w:rPr>
          <w:sz w:val="20"/>
          <w:szCs w:val="20"/>
          <w:color w:val="auto"/>
        </w:rPr>
      </w:pPr>
      <w:r>
        <w:rPr>
          <w:rFonts w:ascii="Arial" w:cs="Arial" w:eastAsia="Arial" w:hAnsi="Arial"/>
          <w:sz w:val="18"/>
          <w:szCs w:val="18"/>
          <w:color w:val="auto"/>
        </w:rPr>
        <w:t>This report is provided pursuant to the license agreement between Stanford University and (Alexo Name)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License Agreement Effective 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Name(s) of Licensed Products being reported:</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29"/>
        </w:trPr>
        <w:tc>
          <w:tcPr>
            <w:tcW w:w="55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Report Covering Period</w:t>
            </w:r>
          </w:p>
        </w:tc>
        <w:tc>
          <w:tcPr>
            <w:tcW w:w="546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Yearly Maintenance Fee</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09"/>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Number of Sublicenses Executed</w:t>
            </w:r>
          </w:p>
        </w:tc>
        <w:tc>
          <w:tcPr>
            <w:tcW w:w="5460" w:type="dxa"/>
            <w:vAlign w:val="bottom"/>
            <w:tcBorders>
              <w:bottom w:val="single" w:sz="8" w:color="auto"/>
              <w:right w:val="single" w:sz="8" w:color="auto"/>
            </w:tcBorders>
          </w:tcPr>
          <w:p>
            <w:pPr>
              <w:spacing w:after="0"/>
              <w:rPr>
                <w:sz w:val="18"/>
                <w:szCs w:val="18"/>
                <w:color w:val="auto"/>
              </w:rPr>
            </w:pPr>
          </w:p>
        </w:tc>
      </w:tr>
      <w:tr>
        <w:trPr>
          <w:trHeight w:val="195"/>
        </w:trPr>
        <w:tc>
          <w:tcPr>
            <w:tcW w:w="558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Gross Revenue</w:t>
            </w:r>
          </w:p>
        </w:tc>
        <w:tc>
          <w:tcPr>
            <w:tcW w:w="5460" w:type="dxa"/>
            <w:vAlign w:val="bottom"/>
            <w:tcBorders>
              <w:right w:val="single" w:sz="8" w:color="auto"/>
            </w:tcBorders>
          </w:tcPr>
          <w:p>
            <w:pPr>
              <w:spacing w:after="0"/>
              <w:rPr>
                <w:sz w:val="16"/>
                <w:szCs w:val="16"/>
                <w:color w:val="auto"/>
              </w:rPr>
            </w:pPr>
          </w:p>
        </w:tc>
      </w:tr>
      <w:tr>
        <w:trPr>
          <w:trHeight w:val="216"/>
        </w:trPr>
        <w:tc>
          <w:tcPr>
            <w:tcW w:w="558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U.S. Gross Revenue</w:t>
            </w:r>
          </w:p>
        </w:tc>
        <w:tc>
          <w:tcPr>
            <w:tcW w:w="5460" w:type="dxa"/>
            <w:vAlign w:val="bottom"/>
            <w:tcBorders>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37"/>
        </w:trPr>
        <w:tc>
          <w:tcPr>
            <w:tcW w:w="558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Non-U.S. Gross Revenue</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02"/>
        </w:trPr>
        <w:tc>
          <w:tcPr>
            <w:tcW w:w="5580" w:type="dxa"/>
            <w:vAlign w:val="bottom"/>
            <w:tcBorders>
              <w:left w:val="single" w:sz="8" w:color="auto"/>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Net Sales</w:t>
            </w:r>
          </w:p>
        </w:tc>
        <w:tc>
          <w:tcPr>
            <w:tcW w:w="5460" w:type="dxa"/>
            <w:vAlign w:val="bottom"/>
            <w:tcBorders>
              <w:right w:val="single" w:sz="8" w:color="auto"/>
            </w:tcBorders>
          </w:tcPr>
          <w:p>
            <w:pPr>
              <w:spacing w:after="0"/>
              <w:rPr>
                <w:sz w:val="17"/>
                <w:szCs w:val="17"/>
                <w:color w:val="auto"/>
              </w:rPr>
            </w:pPr>
          </w:p>
        </w:tc>
      </w:tr>
      <w:tr>
        <w:trPr>
          <w:trHeight w:val="216"/>
        </w:trPr>
        <w:tc>
          <w:tcPr>
            <w:tcW w:w="558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U.S. Gross Revenue</w:t>
            </w:r>
          </w:p>
        </w:tc>
        <w:tc>
          <w:tcPr>
            <w:tcW w:w="5460" w:type="dxa"/>
            <w:vAlign w:val="bottom"/>
            <w:tcBorders>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37"/>
        </w:trPr>
        <w:tc>
          <w:tcPr>
            <w:tcW w:w="5580" w:type="dxa"/>
            <w:vAlign w:val="bottom"/>
            <w:tcBorders>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Non-U.S. Gross Revenue</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Royalty Calculation</w:t>
            </w:r>
          </w:p>
        </w:tc>
        <w:tc>
          <w:tcPr>
            <w:tcW w:w="5460" w:type="dxa"/>
            <w:vAlign w:val="bottom"/>
            <w:tcBorders>
              <w:bottom w:val="single" w:sz="8" w:color="auto"/>
              <w:right w:val="single" w:sz="8" w:color="auto"/>
            </w:tcBorders>
          </w:tcPr>
          <w:p>
            <w:pPr>
              <w:spacing w:after="0"/>
              <w:rPr>
                <w:sz w:val="18"/>
                <w:szCs w:val="18"/>
                <w:color w:val="auto"/>
              </w:rPr>
            </w:pPr>
          </w:p>
        </w:tc>
      </w:tr>
      <w:tr>
        <w:trPr>
          <w:trHeight w:val="210"/>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Royalty Subtotal</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09"/>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Credit</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r>
        <w:trPr>
          <w:trHeight w:val="209"/>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Royalty Due</w:t>
            </w:r>
          </w:p>
        </w:tc>
        <w:tc>
          <w:tcPr>
            <w:tcW w:w="5460" w:type="dxa"/>
            <w:vAlign w:val="bottom"/>
            <w:tcBorders>
              <w:bottom w:val="single" w:sz="8" w:color="auto"/>
              <w:right w:val="single" w:sz="8" w:color="auto"/>
            </w:tcBorders>
          </w:tcPr>
          <w:p>
            <w:pPr>
              <w:jc w:val="right"/>
              <w:ind w:right="51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Comments:</w:t>
      </w:r>
    </w:p>
    <w:p>
      <w:pPr>
        <w:spacing w:after="0" w:line="158" w:lineRule="exact"/>
        <w:rPr>
          <w:sz w:val="20"/>
          <w:szCs w:val="20"/>
          <w:color w:val="auto"/>
        </w:rPr>
      </w:pPr>
    </w:p>
    <w:p>
      <w:pPr>
        <w:ind w:left="424" w:right="280" w:hanging="424"/>
        <w:spacing w:after="0" w:line="277" w:lineRule="auto"/>
        <w:tabs>
          <w:tab w:leader="none" w:pos="42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024"/>
          </w:cols>
          <w:pgMar w:left="436" w:top="270" w:right="439" w:bottom="1440" w:gutter="0" w:footer="0" w:header="0"/>
        </w:sectPr>
      </w:pPr>
    </w:p>
    <w:bookmarkStart w:id="267" w:name="page268"/>
    <w:bookmarkEnd w:id="267"/>
    <w:p>
      <w:pPr>
        <w:ind w:left="756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C — Client and Billing Agreement</w:t>
      </w:r>
    </w:p>
    <w:p>
      <w:pPr>
        <w:spacing w:after="0" w:line="252" w:lineRule="exact"/>
        <w:rPr>
          <w:sz w:val="20"/>
          <w:szCs w:val="20"/>
          <w:color w:val="auto"/>
        </w:rPr>
      </w:pPr>
    </w:p>
    <w:p>
      <w:pPr>
        <w:jc w:val="both"/>
        <w:ind w:left="444" w:right="20" w:hanging="422"/>
        <w:spacing w:after="0" w:line="291" w:lineRule="auto"/>
        <w:rPr>
          <w:sz w:val="20"/>
          <w:szCs w:val="20"/>
          <w:color w:val="auto"/>
        </w:rPr>
      </w:pPr>
      <w:r>
        <w:rPr>
          <w:rFonts w:ascii="Arial" w:cs="Arial" w:eastAsia="Arial" w:hAnsi="Arial"/>
          <w:sz w:val="16"/>
          <w:szCs w:val="16"/>
          <w:color w:val="auto"/>
        </w:rPr>
        <w:t>The Board of Trustees of the Leland Stanford Junior University (“STANFORD”); and Alexo Therapeutics International a Cayman Islands exempted company, with a mailing address at [951 Gateway Blvd, Suite 201, South San Francisco, CA 94080], (“ALEXO”); have agreed to use the law firm</w:t>
      </w:r>
    </w:p>
    <w:p>
      <w:pPr>
        <w:ind w:left="444" w:right="180"/>
        <w:spacing w:after="0" w:line="260" w:lineRule="auto"/>
        <w:rPr>
          <w:sz w:val="20"/>
          <w:szCs w:val="20"/>
          <w:color w:val="auto"/>
        </w:rPr>
      </w:pPr>
      <w:r>
        <w:rPr>
          <w:rFonts w:ascii="Arial" w:cs="Arial" w:eastAsia="Arial" w:hAnsi="Arial"/>
          <w:sz w:val="18"/>
          <w:szCs w:val="18"/>
          <w:color w:val="auto"/>
        </w:rPr>
        <w:t>of (“FIRM”) to prepare, file and prosecute the pending patent applications listed in Exhibit A attached hereto and maintain the patents that issue thereon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-172720</wp:posOffset>
            </wp:positionV>
            <wp:extent cx="8001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FIRM desires to perform the legal services related to obtaining and maintaining the Patents; 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STANFORD remains the client of the FIRM; 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 ALEXO is the licensee of STANFORD’s interest in the Patents;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in consideration of the premises and the faithful performance of the covenants herein contained, IT IS AGREED:</w:t>
      </w:r>
    </w:p>
    <w:p>
      <w:pPr>
        <w:spacing w:after="0" w:line="131" w:lineRule="exact"/>
        <w:rPr>
          <w:sz w:val="20"/>
          <w:szCs w:val="20"/>
          <w:color w:val="auto"/>
        </w:rPr>
      </w:pPr>
    </w:p>
    <w:p>
      <w:pPr>
        <w:ind w:left="424" w:right="40" w:hanging="424"/>
        <w:spacing w:after="0" w:line="311" w:lineRule="auto"/>
        <w:tabs>
          <w:tab w:leader="none" w:pos="42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FIRM can interact directly with ALEXO on all patent prosecution matters related to the Patents and will copy STANFORD on all correspondence. STANFORD will be notified by FIRM prior to any substantive actions and will have final approval on proceeding with such actions. In addition, as prosecution proceeds, FIRM will notify STANFORD if there is any change in inventorship from the originally filed application.</w:t>
      </w:r>
    </w:p>
    <w:p>
      <w:pPr>
        <w:spacing w:after="0" w:line="54" w:lineRule="exact"/>
        <w:rPr>
          <w:rFonts w:ascii="Arial" w:cs="Arial" w:eastAsia="Arial" w:hAnsi="Arial"/>
          <w:sz w:val="16"/>
          <w:szCs w:val="16"/>
          <w:color w:val="auto"/>
        </w:rPr>
      </w:pPr>
    </w:p>
    <w:p>
      <w:pPr>
        <w:ind w:left="424" w:right="280" w:hanging="424"/>
        <w:spacing w:after="0" w:line="259" w:lineRule="auto"/>
        <w:tabs>
          <w:tab w:leader="none" w:pos="4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ALEXO is responsible for the payment of all charges and fees by FIRM related to the prosecution and maintenance of the Patents. FIRM will invoice ALEXO and ALEXO must pay FIRM directly for all charges. If STANFORD requests, STANFORD will be copied on all invoices and payments. FIRM must inform STANFORD within 90 days if the licensee is delinquent on payment. Otherwise, STANFORD will not be responsible for those expenses.</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Notices and copies of all correspondence should be sent to the following: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ALEXO:</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Name, Title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Alexo</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STANFORD: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Office of Technology Licensing</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Stanford University</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3000 El Camino Real</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Building 5, Suite 300</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Palo Alto, CA 94306-1106</w:t>
      </w:r>
    </w:p>
    <w:p>
      <w:pPr>
        <w:spacing w:after="0" w:line="143" w:lineRule="exact"/>
        <w:rPr>
          <w:sz w:val="20"/>
          <w:szCs w:val="20"/>
          <w:color w:val="auto"/>
        </w:rPr>
      </w:pPr>
    </w:p>
    <w:p>
      <w:pPr>
        <w:ind w:left="424" w:right="280" w:hanging="424"/>
        <w:spacing w:after="0" w:line="277" w:lineRule="auto"/>
        <w:tabs>
          <w:tab w:leader="none" w:pos="42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024"/>
          </w:cols>
          <w:pgMar w:left="436" w:top="270" w:right="439" w:bottom="1440" w:gutter="0" w:footer="0" w:header="0"/>
        </w:sectPr>
      </w:pPr>
    </w:p>
    <w:bookmarkStart w:id="268" w:name="page269"/>
    <w:bookmarkEnd w:id="26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FIRM:</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Attorney Name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Law Firm Address</w:t>
      </w:r>
    </w:p>
    <w:p>
      <w:pPr>
        <w:spacing w:after="0" w:line="116" w:lineRule="exact"/>
        <w:rPr>
          <w:sz w:val="20"/>
          <w:szCs w:val="20"/>
          <w:color w:val="auto"/>
        </w:rPr>
      </w:pPr>
    </w:p>
    <w:p>
      <w:pPr>
        <w:ind w:left="424" w:right="40" w:hanging="424"/>
        <w:spacing w:after="0" w:line="263" w:lineRule="auto"/>
        <w:tabs>
          <w:tab w:leader="none" w:pos="42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parties to this document agree that a copy of the original signature (including an electronic copy) may be used for any and all purposes for which the original signature may have been used. The parties further waive any right to challenge the admissibility or authenticity of this document in a court of law based solely on the absence of an original signature.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ACCEPTED AND AGREED TO:</w:t>
      </w:r>
    </w:p>
    <w:p>
      <w:pPr>
        <w:spacing w:after="0" w:line="374"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STANFORD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24345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Katharine Ku</w:t>
      </w:r>
    </w:p>
    <w:p>
      <w:pPr>
        <w:spacing w:after="0" w:line="23" w:lineRule="exact"/>
        <w:rPr>
          <w:sz w:val="20"/>
          <w:szCs w:val="20"/>
          <w:color w:val="auto"/>
        </w:rPr>
      </w:pPr>
    </w:p>
    <w:p>
      <w:pPr>
        <w:ind w:left="4"/>
        <w:spacing w:after="0"/>
        <w:tabs>
          <w:tab w:leader="none" w:pos="604" w:val="left"/>
        </w:tabs>
        <w:rPr>
          <w:sz w:val="20"/>
          <w:szCs w:val="20"/>
          <w:color w:val="auto"/>
        </w:rPr>
      </w:pPr>
      <w:r>
        <w:rPr>
          <w:rFonts w:ascii="Arial" w:cs="Arial" w:eastAsia="Arial" w:hAnsi="Arial"/>
          <w:sz w:val="18"/>
          <w:szCs w:val="18"/>
          <w:color w:val="auto"/>
        </w:rPr>
        <w:t>Title:</w:t>
        <w:tab/>
        <w:t>Director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5715</wp:posOffset>
            </wp:positionV>
            <wp:extent cx="24345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31" w:lineRule="exact"/>
        <w:rPr>
          <w:sz w:val="20"/>
          <w:szCs w:val="20"/>
          <w:color w:val="auto"/>
        </w:rPr>
      </w:pPr>
    </w:p>
    <w:p>
      <w:pPr>
        <w:ind w:left="4"/>
        <w:spacing w:after="0"/>
        <w:rPr>
          <w:sz w:val="20"/>
          <w:szCs w:val="20"/>
          <w:color w:val="auto"/>
        </w:rPr>
      </w:pPr>
      <w:r>
        <w:rPr>
          <w:rFonts w:ascii="Arial" w:cs="Arial" w:eastAsia="Arial" w:hAnsi="Arial"/>
          <w:sz w:val="18"/>
          <w:szCs w:val="18"/>
          <w:color w:val="auto"/>
        </w:rPr>
        <w:t>Alexo Therapeutics International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243459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5715</wp:posOffset>
            </wp:positionV>
            <wp:extent cx="24345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3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Law Firm Name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14605</wp:posOffset>
            </wp:positionV>
            <wp:extent cx="24345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5715</wp:posOffset>
            </wp:positionV>
            <wp:extent cx="24345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80" w:lineRule="exact"/>
        <w:rPr>
          <w:sz w:val="20"/>
          <w:szCs w:val="20"/>
          <w:color w:val="auto"/>
        </w:rPr>
      </w:pPr>
    </w:p>
    <w:p>
      <w:pPr>
        <w:ind w:left="424" w:hanging="424"/>
        <w:spacing w:after="0" w:line="277" w:lineRule="auto"/>
        <w:tabs>
          <w:tab w:leader="none" w:pos="42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0744"/>
          </w:cols>
          <w:pgMar w:left="436" w:top="274" w:right="719" w:bottom="1440" w:gutter="0" w:footer="0" w:header="0"/>
        </w:sectPr>
      </w:pPr>
    </w:p>
    <w:bookmarkStart w:id="269" w:name="page270"/>
    <w:bookmarkEnd w:id="269"/>
    <w:p>
      <w:pPr>
        <w:ind w:left="800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D — Equity Purchase Rights</w:t>
      </w:r>
    </w:p>
    <w:p>
      <w:pPr>
        <w:spacing w:after="0" w:line="279" w:lineRule="exact"/>
        <w:rPr>
          <w:sz w:val="20"/>
          <w:szCs w:val="20"/>
          <w:color w:val="auto"/>
        </w:rPr>
      </w:pPr>
    </w:p>
    <w:p>
      <w:pPr>
        <w:ind w:left="424" w:right="160" w:hanging="431"/>
        <w:spacing w:after="0" w:line="254" w:lineRule="auto"/>
        <w:tabs>
          <w:tab w:leader="none" w:pos="404" w:val="left"/>
        </w:tabs>
        <w:rPr>
          <w:sz w:val="20"/>
          <w:szCs w:val="20"/>
          <w:color w:val="auto"/>
        </w:rPr>
      </w:pPr>
      <w:r>
        <w:rPr>
          <w:rFonts w:ascii="Arial" w:cs="Arial" w:eastAsia="Arial" w:hAnsi="Arial"/>
          <w:sz w:val="18"/>
          <w:szCs w:val="18"/>
          <w:color w:val="auto"/>
        </w:rPr>
        <w:t>7.4</w:t>
        <w:tab/>
        <w:t>[***] Purchase Right. In any private offering of Parent’s equity securities (or securities convertible into or exercisable for Parent’s equity securities) for cash (or in satisfaction of debt issued for cash) having its final closing held on or after the date of this Agreement, Stanford may purchase for cash up to [***]% of the securities issued in such offering. This right will expire following the [***] round of bona fide equity investment in Parent from a single investor or group of investors that includes at least one venture capital, professional angel, corporate or other similar institutional investor (other than Stanford) and that either (i) [***] or (ii) [***]. For the avoidance of doubt, any securities Stanford may acquire or have the right to acquire under Sections 7.2 and 7.3 shall not reduce or increase the number of securities Stanford may purchase under this Section 7.4.</w:t>
      </w:r>
    </w:p>
    <w:p>
      <w:pPr>
        <w:spacing w:after="0" w:line="22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Future Offerings; Limitation on Right to Purchase. In any private offering of Parent’s equity securities (or securities convertible into or exercisable</w:t>
      </w:r>
    </w:p>
    <w:p>
      <w:pPr>
        <w:spacing w:after="0" w:line="23" w:lineRule="exact"/>
        <w:rPr>
          <w:sz w:val="20"/>
          <w:szCs w:val="20"/>
          <w:color w:val="auto"/>
        </w:rPr>
      </w:pPr>
    </w:p>
    <w:p>
      <w:pPr>
        <w:ind w:left="424"/>
        <w:spacing w:after="0"/>
        <w:rPr>
          <w:sz w:val="20"/>
          <w:szCs w:val="20"/>
          <w:color w:val="auto"/>
        </w:rPr>
      </w:pPr>
      <w:r>
        <w:rPr>
          <w:rFonts w:ascii="Arial" w:cs="Arial" w:eastAsia="Arial" w:hAnsi="Arial"/>
          <w:sz w:val="16"/>
          <w:szCs w:val="16"/>
          <w:color w:val="auto"/>
        </w:rPr>
        <w:t>for Parent’s equity securities) in exchange for cash (or in satisfaction of debt issued for cash) after the offering described in Section 7.4, Stanford</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6"/>
          <w:szCs w:val="16"/>
          <w:color w:val="auto"/>
        </w:rPr>
        <w:t>may purchase for cash that number of the securities issued in such offering as is necessary for Stanford to maintain its pro rata ownership interest</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7"/>
          <w:szCs w:val="17"/>
          <w:color w:val="auto"/>
        </w:rPr>
        <w:t>in Parent Preferred Shares on a Fully-Diluted Basis. For the avoidance of doubt: (i) any securities Stanford may acquire or have the right to</w:t>
      </w:r>
    </w:p>
    <w:p>
      <w:pPr>
        <w:spacing w:after="0" w:line="21" w:lineRule="exact"/>
        <w:rPr>
          <w:sz w:val="20"/>
          <w:szCs w:val="20"/>
          <w:color w:val="auto"/>
        </w:rPr>
      </w:pPr>
    </w:p>
    <w:p>
      <w:pPr>
        <w:ind w:left="424"/>
        <w:spacing w:after="0"/>
        <w:rPr>
          <w:sz w:val="20"/>
          <w:szCs w:val="20"/>
          <w:color w:val="auto"/>
        </w:rPr>
      </w:pPr>
      <w:r>
        <w:rPr>
          <w:rFonts w:ascii="Arial" w:cs="Arial" w:eastAsia="Arial" w:hAnsi="Arial"/>
          <w:sz w:val="17"/>
          <w:szCs w:val="17"/>
          <w:color w:val="auto"/>
        </w:rPr>
        <w:t>acquire under Section 7.3 shall not reduce or increase the number of securities Stanford may purchase under this Section 7.5; (ii) if both</w:t>
      </w:r>
    </w:p>
    <w:p>
      <w:pPr>
        <w:spacing w:after="0" w:line="21" w:lineRule="exact"/>
        <w:rPr>
          <w:sz w:val="20"/>
          <w:szCs w:val="20"/>
          <w:color w:val="auto"/>
        </w:rPr>
      </w:pPr>
    </w:p>
    <w:p>
      <w:pPr>
        <w:ind w:left="424"/>
        <w:spacing w:after="0"/>
        <w:rPr>
          <w:sz w:val="20"/>
          <w:szCs w:val="20"/>
          <w:color w:val="auto"/>
        </w:rPr>
      </w:pPr>
      <w:r>
        <w:rPr>
          <w:rFonts w:ascii="Arial" w:cs="Arial" w:eastAsia="Arial" w:hAnsi="Arial"/>
          <w:sz w:val="16"/>
          <w:szCs w:val="16"/>
          <w:color w:val="auto"/>
        </w:rPr>
        <w:t>Section 7.4 and this Section 7.5 apply to an offering, the provision granting Stanford the superior rights will govern; and (iii) Stanford shall not be</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6"/>
          <w:szCs w:val="16"/>
          <w:color w:val="auto"/>
        </w:rPr>
        <w:t>obligated to purchase under Section 7.4 or 7.5 any Parent securities it has the right to acquire under Section 7.3. This participation right will expire</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Purchase Terms and Procedures; Financial Information; Notices.</w:t>
      </w:r>
    </w:p>
    <w:p>
      <w:pPr>
        <w:spacing w:after="0" w:line="131" w:lineRule="exact"/>
        <w:rPr>
          <w:sz w:val="20"/>
          <w:szCs w:val="20"/>
          <w:color w:val="auto"/>
        </w:rPr>
      </w:pPr>
    </w:p>
    <w:p>
      <w:pPr>
        <w:ind w:left="964" w:hanging="532"/>
        <w:spacing w:after="0"/>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In any offering subject to Section 7.4 or 7.5:</w:t>
      </w:r>
    </w:p>
    <w:p>
      <w:pPr>
        <w:spacing w:after="0" w:line="130" w:lineRule="exact"/>
        <w:rPr>
          <w:rFonts w:ascii="Arial" w:cs="Arial" w:eastAsia="Arial" w:hAnsi="Arial"/>
          <w:sz w:val="18"/>
          <w:szCs w:val="18"/>
          <w:color w:val="auto"/>
        </w:rPr>
      </w:pPr>
    </w:p>
    <w:p>
      <w:pPr>
        <w:ind w:left="1424" w:right="80" w:hanging="439"/>
        <w:spacing w:after="0" w:line="296" w:lineRule="auto"/>
        <w:tabs>
          <w:tab w:leader="none" w:pos="1424" w:val="left"/>
        </w:tabs>
        <w:numPr>
          <w:ilvl w:val="2"/>
          <w:numId w:val="222"/>
        </w:numPr>
        <w:rPr>
          <w:rFonts w:ascii="Arial" w:cs="Arial" w:eastAsia="Arial" w:hAnsi="Arial"/>
          <w:sz w:val="16"/>
          <w:szCs w:val="16"/>
          <w:color w:val="auto"/>
        </w:rPr>
      </w:pPr>
      <w:r>
        <w:rPr>
          <w:rFonts w:ascii="Arial" w:cs="Arial" w:eastAsia="Arial" w:hAnsi="Arial"/>
          <w:sz w:val="16"/>
          <w:szCs w:val="16"/>
          <w:color w:val="auto"/>
        </w:rPr>
        <w:t>Parent will give Stanford notice of the terms of the offering, including: (i) the names of the investors, the allocation of shares among them and the total amounts to be invested by each of them in such offering; (ii) pre- and post-(projected) financing capitalization table; (iii) investor presentation (if available); (iv) an introduction to the lead investor in such offering for the purpose of discussing the lead investor’s due diligence process; and (v) such other documents and information as Stanford may reasonably request for the purpose of making an investment decision or verifying the number of shares it is entitled to purchase in such offering;</w:t>
      </w:r>
    </w:p>
    <w:p>
      <w:pPr>
        <w:spacing w:after="0" w:line="66" w:lineRule="exact"/>
        <w:rPr>
          <w:rFonts w:ascii="Arial" w:cs="Arial" w:eastAsia="Arial" w:hAnsi="Arial"/>
          <w:sz w:val="16"/>
          <w:szCs w:val="16"/>
          <w:color w:val="auto"/>
        </w:rPr>
      </w:pPr>
    </w:p>
    <w:p>
      <w:pPr>
        <w:jc w:val="both"/>
        <w:ind w:left="1424" w:right="220" w:hanging="439"/>
        <w:spacing w:after="0" w:line="263" w:lineRule="auto"/>
        <w:tabs>
          <w:tab w:leader="none" w:pos="1424" w:val="left"/>
        </w:tabs>
        <w:numPr>
          <w:ilvl w:val="2"/>
          <w:numId w:val="222"/>
        </w:numPr>
        <w:rPr>
          <w:rFonts w:ascii="Arial" w:cs="Arial" w:eastAsia="Arial" w:hAnsi="Arial"/>
          <w:sz w:val="18"/>
          <w:szCs w:val="18"/>
          <w:color w:val="auto"/>
        </w:rPr>
      </w:pPr>
      <w:r>
        <w:rPr>
          <w:rFonts w:ascii="Arial" w:cs="Arial" w:eastAsia="Arial" w:hAnsi="Arial"/>
          <w:sz w:val="18"/>
          <w:szCs w:val="18"/>
          <w:color w:val="auto"/>
        </w:rPr>
        <w:t>Stanford’s purchase right shall be on the same terms and conditions as the other investors in such offering and Stanford shall enter into any necessary agreement with Parent and such other investors for the purpose of implementing the provisions of Sections 7.4, 7.5, and 7.6, except that [***];</w:t>
      </w:r>
    </w:p>
    <w:p>
      <w:pPr>
        <w:spacing w:after="0" w:line="89" w:lineRule="exact"/>
        <w:rPr>
          <w:rFonts w:ascii="Arial" w:cs="Arial" w:eastAsia="Arial" w:hAnsi="Arial"/>
          <w:sz w:val="18"/>
          <w:szCs w:val="18"/>
          <w:color w:val="auto"/>
        </w:rPr>
      </w:pPr>
    </w:p>
    <w:p>
      <w:pPr>
        <w:jc w:val="both"/>
        <w:ind w:left="1424" w:right="160" w:hanging="439"/>
        <w:spacing w:after="0" w:line="263" w:lineRule="auto"/>
        <w:tabs>
          <w:tab w:leader="none" w:pos="1424" w:val="left"/>
        </w:tabs>
        <w:numPr>
          <w:ilvl w:val="2"/>
          <w:numId w:val="222"/>
        </w:numPr>
        <w:rPr>
          <w:rFonts w:ascii="Arial" w:cs="Arial" w:eastAsia="Arial" w:hAnsi="Arial"/>
          <w:sz w:val="18"/>
          <w:szCs w:val="18"/>
          <w:color w:val="auto"/>
        </w:rPr>
      </w:pPr>
      <w:r>
        <w:rPr>
          <w:rFonts w:ascii="Arial" w:cs="Arial" w:eastAsia="Arial" w:hAnsi="Arial"/>
          <w:sz w:val="18"/>
          <w:szCs w:val="18"/>
          <w:color w:val="auto"/>
        </w:rPr>
        <w:t>Stanford may elect to exercise its right of purchase, in whole or in part, by notice given to Parent within 15 Stanford business days (i.e., days other than Saturdays, Sundays, and holidays or other days on which Stanford is officially closed) after receipt of Parent’s notice; and</w:t>
      </w:r>
    </w:p>
    <w:p>
      <w:pPr>
        <w:spacing w:after="0" w:line="116"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024"/>
          </w:cols>
          <w:pgMar w:left="436" w:top="270" w:right="439" w:bottom="1440" w:gutter="0" w:footer="0" w:header="0"/>
        </w:sectPr>
      </w:pPr>
    </w:p>
    <w:bookmarkStart w:id="270" w:name="page271"/>
    <w:bookmarkEnd w:id="270"/>
    <w:p>
      <w:pPr>
        <w:ind w:left="1424" w:right="160" w:hanging="439"/>
        <w:spacing w:after="0" w:line="263" w:lineRule="auto"/>
        <w:tabs>
          <w:tab w:leader="none" w:pos="1424" w:val="left"/>
        </w:tabs>
        <w:numPr>
          <w:ilvl w:val="2"/>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Stanford elects not to purchase, or fails to give an election notice within such period, Stanford’s purchase right will not apply to the offering if (and only if and to the extent) it is consummated within [***] on the same or less favorable (to the investor) terms as stated in Parent’s notice to Stanford.</w:t>
      </w:r>
    </w:p>
    <w:p>
      <w:pPr>
        <w:spacing w:after="0" w:line="85" w:lineRule="exact"/>
        <w:rPr>
          <w:rFonts w:ascii="Arial" w:cs="Arial" w:eastAsia="Arial" w:hAnsi="Arial"/>
          <w:sz w:val="18"/>
          <w:szCs w:val="18"/>
          <w:color w:val="auto"/>
        </w:rPr>
      </w:pPr>
    </w:p>
    <w:p>
      <w:pPr>
        <w:ind w:left="964" w:hanging="532"/>
        <w:spacing w:after="0" w:line="283" w:lineRule="auto"/>
        <w:tabs>
          <w:tab w:leader="none" w:pos="96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 xml:space="preserve">Stanford’s rights under Sections 7.4 and 7.5 will not apply to: </w:t>
      </w:r>
      <w:r>
        <w:rPr>
          <w:rFonts w:ascii="Arial" w:cs="Arial" w:eastAsia="Arial" w:hAnsi="Arial"/>
          <w:sz w:val="16"/>
          <w:szCs w:val="16"/>
          <w:b w:val="1"/>
          <w:bCs w:val="1"/>
          <w:color w:val="auto"/>
        </w:rPr>
        <w:t>(1)</w:t>
      </w:r>
      <w:r>
        <w:rPr>
          <w:rFonts w:ascii="Arial" w:cs="Arial" w:eastAsia="Arial" w:hAnsi="Arial"/>
          <w:sz w:val="16"/>
          <w:szCs w:val="16"/>
          <w:color w:val="auto"/>
        </w:rPr>
        <w:t xml:space="preserve"> Ordinary Shares issued or issuable as a dividend or other distribution on Preferred Shares; </w:t>
      </w:r>
      <w:r>
        <w:rPr>
          <w:rFonts w:ascii="Arial" w:cs="Arial" w:eastAsia="Arial" w:hAnsi="Arial"/>
          <w:sz w:val="16"/>
          <w:szCs w:val="16"/>
          <w:b w:val="1"/>
          <w:bCs w:val="1"/>
          <w:color w:val="auto"/>
        </w:rPr>
        <w:t>(2)</w:t>
      </w:r>
      <w:r>
        <w:rPr>
          <w:rFonts w:ascii="Arial" w:cs="Arial" w:eastAsia="Arial" w:hAnsi="Arial"/>
          <w:sz w:val="16"/>
          <w:szCs w:val="16"/>
          <w:color w:val="auto"/>
        </w:rPr>
        <w:t xml:space="preserve"> Ordinary Shares issued or issuable by reason of a dividend or other distribution on Ordinary Shares </w:t>
      </w:r>
      <w:r>
        <w:rPr>
          <w:rFonts w:ascii="Arial" w:cs="Arial" w:eastAsia="Arial" w:hAnsi="Arial"/>
          <w:sz w:val="16"/>
          <w:szCs w:val="16"/>
          <w:b w:val="1"/>
          <w:bCs w:val="1"/>
          <w:color w:val="auto"/>
        </w:rPr>
        <w:t>(3)</w:t>
      </w:r>
      <w:r>
        <w:rPr>
          <w:rFonts w:ascii="Arial" w:cs="Arial" w:eastAsia="Arial" w:hAnsi="Arial"/>
          <w:sz w:val="16"/>
          <w:szCs w:val="16"/>
          <w:color w:val="auto"/>
        </w:rPr>
        <w:t xml:space="preserve"> Ordinary Shares issued or issuable upon conversion of shares of Preferred Shares; </w:t>
      </w:r>
      <w:r>
        <w:rPr>
          <w:rFonts w:ascii="Arial" w:cs="Arial" w:eastAsia="Arial" w:hAnsi="Arial"/>
          <w:sz w:val="16"/>
          <w:szCs w:val="16"/>
          <w:b w:val="1"/>
          <w:bCs w:val="1"/>
          <w:color w:val="auto"/>
        </w:rPr>
        <w:t>(4)</w:t>
      </w:r>
      <w:r>
        <w:rPr>
          <w:rFonts w:ascii="Arial" w:cs="Arial" w:eastAsia="Arial" w:hAnsi="Arial"/>
          <w:sz w:val="16"/>
          <w:szCs w:val="16"/>
          <w:color w:val="auto"/>
        </w:rPr>
        <w:t xml:space="preserve"> Ordinary Shares or options or restricted stock awards or other rights therefore issued or issuable to directors, officers, employees or consultants of Parent in consideration for their service to Parent pursuant to any written agreement, plan or arrangement (including, without limitation, any stock option plan, stock purchase plan, stock purchase agreement or subscription agreement) approved by the Parent Board of Directors, including a majority of those Directors designated by holders of Preferred Shares; </w:t>
      </w:r>
      <w:r>
        <w:rPr>
          <w:rFonts w:ascii="Arial" w:cs="Arial" w:eastAsia="Arial" w:hAnsi="Arial"/>
          <w:sz w:val="16"/>
          <w:szCs w:val="16"/>
          <w:b w:val="1"/>
          <w:bCs w:val="1"/>
          <w:color w:val="auto"/>
        </w:rPr>
        <w:t>(5)</w:t>
      </w:r>
      <w:r>
        <w:rPr>
          <w:rFonts w:ascii="Arial" w:cs="Arial" w:eastAsia="Arial" w:hAnsi="Arial"/>
          <w:sz w:val="16"/>
          <w:szCs w:val="16"/>
          <w:color w:val="auto"/>
        </w:rPr>
        <w:t xml:space="preserve"> securities issued to the public in a firm commitment underwritten public offering pursuant to an effective registration statement filed under the Securities Act of 1933, as amended; </w:t>
      </w:r>
      <w:r>
        <w:rPr>
          <w:rFonts w:ascii="Arial" w:cs="Arial" w:eastAsia="Arial" w:hAnsi="Arial"/>
          <w:sz w:val="16"/>
          <w:szCs w:val="16"/>
          <w:b w:val="1"/>
          <w:bCs w:val="1"/>
          <w:color w:val="auto"/>
        </w:rPr>
        <w:t>(6)</w:t>
      </w:r>
      <w:r>
        <w:rPr>
          <w:rFonts w:ascii="Arial" w:cs="Arial" w:eastAsia="Arial" w:hAnsi="Arial"/>
          <w:sz w:val="16"/>
          <w:szCs w:val="16"/>
          <w:color w:val="auto"/>
        </w:rPr>
        <w:t xml:space="preserve"> securities issued pursuant to the acquisition by the Parent of another corporation or other entity by consolidation, corporate reorganizations, or merger, or purchase of all or substantially all of the assets of such corporation or other entity as approved by the Parent Board of Directors, including a majority of those Directors designated by the holders of Series A Preferred; </w:t>
      </w:r>
      <w:r>
        <w:rPr>
          <w:rFonts w:ascii="Arial" w:cs="Arial" w:eastAsia="Arial" w:hAnsi="Arial"/>
          <w:sz w:val="16"/>
          <w:szCs w:val="16"/>
          <w:b w:val="1"/>
          <w:bCs w:val="1"/>
          <w:color w:val="auto"/>
        </w:rPr>
        <w:t>(7)</w:t>
      </w:r>
      <w:r>
        <w:rPr>
          <w:rFonts w:ascii="Arial" w:cs="Arial" w:eastAsia="Arial" w:hAnsi="Arial"/>
          <w:sz w:val="16"/>
          <w:szCs w:val="16"/>
          <w:color w:val="auto"/>
        </w:rPr>
        <w:t xml:space="preserve"> securities issued in connection with equipment leasing, real estate, bank financing or similar transactions approved by the Parent Board of Directors, including a majority of those Directors designated by the holders of the Preferred Shares; and </w:t>
      </w:r>
      <w:r>
        <w:rPr>
          <w:rFonts w:ascii="Arial" w:cs="Arial" w:eastAsia="Arial" w:hAnsi="Arial"/>
          <w:sz w:val="16"/>
          <w:szCs w:val="16"/>
          <w:b w:val="1"/>
          <w:bCs w:val="1"/>
          <w:color w:val="auto"/>
        </w:rPr>
        <w:t>(8)</w:t>
      </w:r>
      <w:r>
        <w:rPr>
          <w:rFonts w:ascii="Arial" w:cs="Arial" w:eastAsia="Arial" w:hAnsi="Arial"/>
          <w:sz w:val="16"/>
          <w:szCs w:val="16"/>
          <w:color w:val="auto"/>
        </w:rPr>
        <w:t xml:space="preserve"> any securities issued or issuable upon conversion, exercise or exchange of any other securities that are covered by</w:t>
      </w:r>
    </w:p>
    <w:p>
      <w:pPr>
        <w:spacing w:after="0" w:line="5" w:lineRule="exact"/>
        <w:rPr>
          <w:rFonts w:ascii="Arial" w:cs="Arial" w:eastAsia="Arial" w:hAnsi="Arial"/>
          <w:sz w:val="16"/>
          <w:szCs w:val="16"/>
          <w:color w:val="auto"/>
        </w:rPr>
      </w:pPr>
    </w:p>
    <w:p>
      <w:pPr>
        <w:ind w:left="964"/>
        <w:spacing w:after="0"/>
        <w:rPr>
          <w:rFonts w:ascii="Arial" w:cs="Arial" w:eastAsia="Arial" w:hAnsi="Arial"/>
          <w:sz w:val="16"/>
          <w:szCs w:val="16"/>
          <w:color w:val="auto"/>
        </w:rPr>
      </w:pPr>
      <w:r>
        <w:rPr>
          <w:rFonts w:ascii="Arial" w:cs="Arial" w:eastAsia="Arial" w:hAnsi="Arial"/>
          <w:sz w:val="18"/>
          <w:szCs w:val="18"/>
          <w:color w:val="auto"/>
        </w:rPr>
        <w:t>(1)-(7).</w:t>
      </w:r>
    </w:p>
    <w:p>
      <w:pPr>
        <w:spacing w:after="0" w:line="116" w:lineRule="exact"/>
        <w:rPr>
          <w:rFonts w:ascii="Arial" w:cs="Arial" w:eastAsia="Arial" w:hAnsi="Arial"/>
          <w:sz w:val="16"/>
          <w:szCs w:val="16"/>
          <w:color w:val="auto"/>
        </w:rPr>
      </w:pPr>
    </w:p>
    <w:p>
      <w:pPr>
        <w:ind w:left="964" w:hanging="532"/>
        <w:spacing w:after="0" w:line="296" w:lineRule="auto"/>
        <w:tabs>
          <w:tab w:leader="none" w:pos="96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rights granted in Sections 7.4 and 7.5 will terminate (in addition to any earlier termination pursuant to their terms): (i) immediately before the closing of a firm commitment underwritten public offering of Parent’s Ordinary Shares, (ii) upon the conversion of all shares of Preferred Shares into Ordinary Shares, or (iii) upon the closing of a sale or change of control of the Parent as described in Section 16.1(A), regardless of whether such a sale or change of control occurs through an asset sale, stock sale, merger or other combination; provided that [***], then this Section 7.7(C)(iii) shall also apply upon the closing of a sale or change of control of Parent as described in Section 16.1(B).</w:t>
      </w:r>
    </w:p>
    <w:p>
      <w:pPr>
        <w:spacing w:after="0" w:line="66" w:lineRule="exact"/>
        <w:rPr>
          <w:rFonts w:ascii="Arial" w:cs="Arial" w:eastAsia="Arial" w:hAnsi="Arial"/>
          <w:sz w:val="16"/>
          <w:szCs w:val="16"/>
          <w:color w:val="auto"/>
        </w:rPr>
      </w:pPr>
    </w:p>
    <w:p>
      <w:pPr>
        <w:ind w:left="964" w:right="120" w:hanging="532"/>
        <w:spacing w:after="0" w:line="311" w:lineRule="auto"/>
        <w:tabs>
          <w:tab w:leader="none" w:pos="964" w:val="left"/>
        </w:tabs>
        <w:numPr>
          <w:ilvl w:val="1"/>
          <w:numId w:val="224"/>
        </w:numPr>
        <w:rPr>
          <w:rFonts w:ascii="Arial" w:cs="Arial" w:eastAsia="Arial" w:hAnsi="Arial"/>
          <w:sz w:val="16"/>
          <w:szCs w:val="16"/>
          <w:color w:val="auto"/>
        </w:rPr>
      </w:pPr>
      <w:r>
        <w:rPr>
          <w:rFonts w:ascii="Arial" w:cs="Arial" w:eastAsia="Arial" w:hAnsi="Arial"/>
          <w:sz w:val="16"/>
          <w:szCs w:val="16"/>
          <w:color w:val="auto"/>
        </w:rPr>
        <w:t>Parent shall furnish to Stanford, at the same time it provides such information to holders of the its Preferred Shares, Parent’s annual financial statements and annual operating plan, including an annual report of the holders of Parent’s capital stock and other securities, and such other information as Stanford may reasonably request from time to time for the purpose of valuing its interest in Parent.</w:t>
      </w:r>
    </w:p>
    <w:p>
      <w:pPr>
        <w:spacing w:after="0" w:line="54" w:lineRule="exact"/>
        <w:rPr>
          <w:rFonts w:ascii="Arial" w:cs="Arial" w:eastAsia="Arial" w:hAnsi="Arial"/>
          <w:sz w:val="16"/>
          <w:szCs w:val="16"/>
          <w:color w:val="auto"/>
        </w:rPr>
      </w:pPr>
    </w:p>
    <w:p>
      <w:pPr>
        <w:jc w:val="both"/>
        <w:ind w:left="964" w:hanging="532"/>
        <w:spacing w:after="0" w:line="263" w:lineRule="auto"/>
        <w:tabs>
          <w:tab w:leader="none" w:pos="96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Notwithstanding any notice provision in this Agreement to the contrary, any notice given under this Agreement that refers or relates to any of Section 7.3 through and including Section 7.6 shall be copied concurrently to pvfnotices@stanford.edu; provided, however, that delivery of the copy will not by itself constitute notice for any purpose under this Agreement.</w:t>
      </w:r>
    </w:p>
    <w:p>
      <w:pPr>
        <w:spacing w:after="0" w:line="116"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024"/>
          </w:cols>
          <w:pgMar w:left="436" w:top="274" w:right="439" w:bottom="1440" w:gutter="0" w:footer="0" w:header="0"/>
        </w:sectPr>
      </w:pPr>
    </w:p>
    <w:bookmarkStart w:id="271" w:name="page272"/>
    <w:bookmarkEnd w:id="27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EXCLUSIVE (EQUITY) AGREEMENT AMENDMENT NO. 1</w:t>
      </w:r>
    </w:p>
    <w:p>
      <w:pPr>
        <w:spacing w:after="0" w:line="229" w:lineRule="exact"/>
        <w:rPr>
          <w:sz w:val="20"/>
          <w:szCs w:val="20"/>
          <w:color w:val="auto"/>
        </w:rPr>
      </w:pPr>
    </w:p>
    <w:p>
      <w:pPr>
        <w:jc w:val="both"/>
        <w:ind w:left="4" w:right="140" w:firstLine="440"/>
        <w:spacing w:after="0" w:line="286" w:lineRule="auto"/>
        <w:rPr>
          <w:sz w:val="20"/>
          <w:szCs w:val="20"/>
          <w:color w:val="auto"/>
        </w:rPr>
      </w:pPr>
      <w:r>
        <w:rPr>
          <w:rFonts w:ascii="Arial" w:cs="Arial" w:eastAsia="Arial" w:hAnsi="Arial"/>
          <w:sz w:val="17"/>
          <w:szCs w:val="17"/>
          <w:color w:val="auto"/>
        </w:rPr>
        <w:t>THE BOARD OF TRUSTEES OF THE LELAND STANFORD JUNIOR UNIVERSITY (“Stanford”), an institution of higher education having powers under the laws of the State of California, and Alexo Therapeutics International, (“Alexo”), a Cayman Islands exempted company, entered into the certain Exclusive (Equity) Agreement (“Agreement”) effective on the 24th day of March, 2015 (“Effective Date”).</w:t>
      </w:r>
    </w:p>
    <w:p>
      <w:pPr>
        <w:spacing w:after="0" w:line="165"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Pursuant to Section 19.3 of the Agreement, Stanford and Alexo wish to enter into this Amendment No. 1 to the Agreement (“Amendment No. 1”) effective as of April 24, 2015 (the “Amendment Date”). Capitalized terms used in this Amendment No. 1 and not defined herein are used with the meanings ascribed to them in the Agreement.</w:t>
      </w:r>
    </w:p>
    <w:p>
      <w:pPr>
        <w:spacing w:after="0" w:line="207" w:lineRule="exact"/>
        <w:rPr>
          <w:sz w:val="20"/>
          <w:szCs w:val="20"/>
          <w:color w:val="auto"/>
        </w:rPr>
      </w:pPr>
    </w:p>
    <w:p>
      <w:pPr>
        <w:ind w:left="424" w:right="2460" w:hanging="424"/>
        <w:spacing w:after="0" w:line="423" w:lineRule="auto"/>
        <w:tabs>
          <w:tab w:leader="none" w:pos="42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Licensed Field of Use Definition. </w:t>
      </w:r>
      <w:r>
        <w:rPr>
          <w:rFonts w:ascii="Arial" w:cs="Arial" w:eastAsia="Arial" w:hAnsi="Arial"/>
          <w:sz w:val="18"/>
          <w:szCs w:val="18"/>
          <w:color w:val="auto"/>
        </w:rPr>
        <w:t>Section 2.9(3) of the Agreement is hereby amended to read in full as follows: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“(3) The SIRPa Component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66" w:lineRule="exact"/>
        <w:rPr>
          <w:rFonts w:ascii="Arial" w:cs="Arial" w:eastAsia="Arial" w:hAnsi="Arial"/>
          <w:sz w:val="18"/>
          <w:szCs w:val="18"/>
          <w:b w:val="1"/>
          <w:bCs w:val="1"/>
          <w:color w:val="auto"/>
        </w:rPr>
      </w:pPr>
    </w:p>
    <w:p>
      <w:pPr>
        <w:ind w:left="424" w:hanging="424"/>
        <w:spacing w:after="0"/>
        <w:tabs>
          <w:tab w:leader="none" w:pos="42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Nonexclusive Licensed Patents Definition. </w:t>
      </w:r>
      <w:r>
        <w:rPr>
          <w:rFonts w:ascii="Arial" w:cs="Arial" w:eastAsia="Arial" w:hAnsi="Arial"/>
          <w:sz w:val="18"/>
          <w:szCs w:val="18"/>
          <w:color w:val="auto"/>
        </w:rPr>
        <w:t>Section 2.14 of the Agreement is hereby amended to read in full as follows:</w:t>
      </w:r>
    </w:p>
    <w:p>
      <w:pPr>
        <w:spacing w:after="0" w:line="134" w:lineRule="exact"/>
        <w:rPr>
          <w:rFonts w:ascii="Arial" w:cs="Arial" w:eastAsia="Arial" w:hAnsi="Arial"/>
          <w:sz w:val="18"/>
          <w:szCs w:val="18"/>
          <w:b w:val="1"/>
          <w:bCs w:val="1"/>
          <w:color w:val="auto"/>
        </w:rPr>
      </w:pPr>
    </w:p>
    <w:p>
      <w:pPr>
        <w:ind w:left="964" w:hanging="54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“2.14 </w:t>
      </w:r>
      <w:r>
        <w:rPr>
          <w:rFonts w:ascii="Arial" w:cs="Arial" w:eastAsia="Arial" w:hAnsi="Arial"/>
          <w:sz w:val="16"/>
          <w:szCs w:val="16"/>
          <w:color w:val="auto"/>
        </w:rPr>
        <w:t>“Nonexclusive Licensed Patents” means Stanford’s U.S. Patent Application Serial Nos. [***]; (2) any continuation, division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continuation-in-part (to the extent such continuation-in-part relates to the Licensed Products and the Licensed Field of Use) of such patent application; (3) any reissue, reexamination or extension of such patent application; or (4) any foreign patent application or Letters Patent or supplementary protection certificates or the equivalent thereof in respect of such patent application, that would be infringed by the practice of the Licensed Patents to make, have made, use, import and sell Licensed Products for use in the Licensed Field of Use.”</w:t>
      </w:r>
    </w:p>
    <w:p>
      <w:pPr>
        <w:spacing w:after="0" w:line="184" w:lineRule="exact"/>
        <w:rPr>
          <w:rFonts w:ascii="Arial" w:cs="Arial" w:eastAsia="Arial" w:hAnsi="Arial"/>
          <w:sz w:val="18"/>
          <w:szCs w:val="18"/>
          <w:b w:val="1"/>
          <w:bCs w:val="1"/>
          <w:color w:val="auto"/>
        </w:rPr>
      </w:pPr>
    </w:p>
    <w:p>
      <w:pPr>
        <w:ind w:left="424" w:hanging="424"/>
        <w:spacing w:after="0"/>
        <w:tabs>
          <w:tab w:leader="none" w:pos="42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Scope of Non-exclusive License. </w:t>
      </w:r>
      <w:r>
        <w:rPr>
          <w:rFonts w:ascii="Arial" w:cs="Arial" w:eastAsia="Arial" w:hAnsi="Arial"/>
          <w:sz w:val="18"/>
          <w:szCs w:val="18"/>
          <w:color w:val="auto"/>
        </w:rPr>
        <w:t>Section 3.1 of the Agreement is hereby amended to read in full as follows:</w:t>
      </w:r>
    </w:p>
    <w:p>
      <w:pPr>
        <w:spacing w:after="0" w:line="135" w:lineRule="exact"/>
        <w:rPr>
          <w:sz w:val="20"/>
          <w:szCs w:val="20"/>
          <w:color w:val="auto"/>
        </w:rPr>
      </w:pPr>
    </w:p>
    <w:p>
      <w:pPr>
        <w:ind w:left="964" w:right="20" w:hanging="539"/>
        <w:spacing w:after="0" w:line="301" w:lineRule="auto"/>
        <w:tabs>
          <w:tab w:leader="none" w:pos="944" w:val="left"/>
        </w:tabs>
        <w:rPr>
          <w:sz w:val="20"/>
          <w:szCs w:val="20"/>
          <w:color w:val="auto"/>
        </w:rPr>
      </w:pPr>
      <w:r>
        <w:rPr>
          <w:rFonts w:ascii="Arial" w:cs="Arial" w:eastAsia="Arial" w:hAnsi="Arial"/>
          <w:sz w:val="16"/>
          <w:szCs w:val="16"/>
          <w:b w:val="1"/>
          <w:bCs w:val="1"/>
          <w:i w:val="1"/>
          <w:iCs w:val="1"/>
          <w:color w:val="auto"/>
        </w:rPr>
        <w:t>“3.1</w:t>
        <w:tab/>
        <w:t xml:space="preserve">Grant. </w:t>
      </w:r>
      <w:r>
        <w:rPr>
          <w:rFonts w:ascii="Arial" w:cs="Arial" w:eastAsia="Arial" w:hAnsi="Arial"/>
          <w:sz w:val="16"/>
          <w:szCs w:val="16"/>
          <w:color w:val="auto"/>
        </w:rPr>
        <w:t>Subject to the terms and conditions of this Agreement, Stanford grants Alexo (i) a exclusive, royalty-bearing, license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Licensed Patents, including the right to make, have made, use, import, offer to sell and sell Licensed Products in the Licensed Territory in the Licensed Field of Use; and (ii) a non-exclusive, royalty-bearing license under the Nonexclusive Licensed Patents, including the right to make, have made, use, import, offer to sell and sell Licensed Products in the Licensed Territory in the Licensed Field of Use.</w:t>
      </w:r>
    </w:p>
    <w:p>
      <w:pPr>
        <w:spacing w:after="0" w:line="63" w:lineRule="exact"/>
        <w:rPr>
          <w:sz w:val="20"/>
          <w:szCs w:val="20"/>
          <w:color w:val="auto"/>
        </w:rPr>
      </w:pPr>
    </w:p>
    <w:p>
      <w:pPr>
        <w:ind w:left="984"/>
        <w:spacing w:after="0"/>
        <w:tabs>
          <w:tab w:leader="none" w:pos="1404" w:val="left"/>
        </w:tabs>
        <w:rPr>
          <w:sz w:val="20"/>
          <w:szCs w:val="20"/>
          <w:color w:val="auto"/>
        </w:rPr>
      </w:pPr>
      <w:r>
        <w:rPr>
          <w:rFonts w:ascii="Arial" w:cs="Arial" w:eastAsia="Arial" w:hAnsi="Arial"/>
          <w:sz w:val="18"/>
          <w:szCs w:val="18"/>
          <w:i w:val="1"/>
          <w:iCs w:val="1"/>
          <w:color w:val="auto"/>
        </w:rPr>
        <w:t>For</w:t>
      </w:r>
      <w:r>
        <w:rPr>
          <w:sz w:val="20"/>
          <w:szCs w:val="20"/>
          <w:color w:val="auto"/>
        </w:rPr>
        <w:tab/>
      </w:r>
      <w:r>
        <w:rPr>
          <w:rFonts w:ascii="Arial" w:cs="Arial" w:eastAsia="Arial" w:hAnsi="Arial"/>
          <w:sz w:val="17"/>
          <w:szCs w:val="17"/>
          <w:i w:val="1"/>
          <w:iCs w:val="1"/>
          <w:color w:val="auto"/>
        </w:rPr>
        <w:t xml:space="preserve">clarification, the non-exclusive license to the U.S. provisional patent application </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58" w:lineRule="exact"/>
        <w:rPr>
          <w:sz w:val="20"/>
          <w:szCs w:val="20"/>
          <w:color w:val="auto"/>
        </w:rPr>
      </w:pPr>
    </w:p>
    <w:p>
      <w:pPr>
        <w:ind w:left="424" w:right="260" w:hanging="424"/>
        <w:spacing w:after="0" w:line="277" w:lineRule="auto"/>
        <w:tabs>
          <w:tab w:leader="none" w:pos="42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04"/>
          </w:cols>
          <w:pgMar w:left="436" w:top="270" w:right="459" w:bottom="1440" w:gutter="0" w:footer="0" w:header="0"/>
        </w:sectPr>
      </w:pPr>
    </w:p>
    <w:bookmarkStart w:id="272" w:name="page273"/>
    <w:bookmarkEnd w:id="272"/>
    <w:p>
      <w:pPr>
        <w:ind w:left="424" w:hanging="424"/>
        <w:spacing w:after="0"/>
        <w:tabs>
          <w:tab w:leader="none" w:pos="424"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Common Stock Equity Interest. </w:t>
      </w:r>
      <w:r>
        <w:rPr>
          <w:rFonts w:ascii="Arial" w:cs="Arial" w:eastAsia="Arial" w:hAnsi="Arial"/>
          <w:sz w:val="18"/>
          <w:szCs w:val="18"/>
          <w:color w:val="auto"/>
        </w:rPr>
        <w:t>Section 7.2 of the Agreement is hereby amended to read in full as follows:</w:t>
      </w:r>
    </w:p>
    <w:p>
      <w:pPr>
        <w:spacing w:after="0" w:line="135" w:lineRule="exact"/>
        <w:rPr>
          <w:sz w:val="20"/>
          <w:szCs w:val="20"/>
          <w:color w:val="auto"/>
        </w:rPr>
      </w:pPr>
    </w:p>
    <w:p>
      <w:pPr>
        <w:ind w:left="964" w:right="20" w:hanging="539"/>
        <w:spacing w:after="0" w:line="291" w:lineRule="auto"/>
        <w:tabs>
          <w:tab w:leader="none" w:pos="944" w:val="left"/>
        </w:tabs>
        <w:rPr>
          <w:sz w:val="20"/>
          <w:szCs w:val="20"/>
          <w:color w:val="auto"/>
        </w:rPr>
      </w:pPr>
      <w:r>
        <w:rPr>
          <w:rFonts w:ascii="Arial" w:cs="Arial" w:eastAsia="Arial" w:hAnsi="Arial"/>
          <w:sz w:val="16"/>
          <w:szCs w:val="16"/>
          <w:b w:val="1"/>
          <w:bCs w:val="1"/>
          <w:i w:val="1"/>
          <w:iCs w:val="1"/>
          <w:color w:val="auto"/>
        </w:rPr>
        <w:t>“7.2</w:t>
        <w:tab/>
        <w:t>Equity Interest</w:t>
      </w:r>
      <w:r>
        <w:rPr>
          <w:rFonts w:ascii="Arial" w:cs="Arial" w:eastAsia="Arial" w:hAnsi="Arial"/>
          <w:sz w:val="16"/>
          <w:szCs w:val="16"/>
          <w:color w:val="auto"/>
        </w:rPr>
        <w:t>. As further consideration, Alexo will cause Alexo Therapeutics Limited, a Private Irish Company Limited by Shares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sole shareholder of Alexo (“Parent’), to grant to Stanford [***] Ordinary Shares of stock in Parent. When issued, those shares will represent [***]% of the stock in Parent on a Fully Diluted Basis. Alexo agrees to provide Stanford with the capitalization table upon which the above calculation is made. All shares issued pursuant to this Section 7.2 and Section 7.3 shall be issued pursuant to a Stock Issuance Agreement between Parent and the recipient of the shares containing standard representations and warranties and other provisions with respect to the shares and the recipient’s qualifications under applicable securities laws to receive the shares. At that time, such Stock Issuance Agreement will provide share valuation information as needed in order for Stanford to issue 1099s to the inventors listed below.</w:t>
      </w:r>
    </w:p>
    <w:p>
      <w:pPr>
        <w:spacing w:after="0" w:line="58" w:lineRule="exact"/>
        <w:rPr>
          <w:sz w:val="20"/>
          <w:szCs w:val="20"/>
          <w:color w:val="auto"/>
        </w:rPr>
      </w:pPr>
    </w:p>
    <w:p>
      <w:pPr>
        <w:ind w:left="984" w:right="120"/>
        <w:spacing w:after="0" w:line="308" w:lineRule="auto"/>
        <w:rPr>
          <w:sz w:val="20"/>
          <w:szCs w:val="20"/>
          <w:color w:val="auto"/>
        </w:rPr>
      </w:pPr>
      <w:r>
        <w:rPr>
          <w:rFonts w:ascii="Arial" w:cs="Arial" w:eastAsia="Arial" w:hAnsi="Arial"/>
          <w:sz w:val="17"/>
          <w:szCs w:val="17"/>
          <w:i w:val="1"/>
          <w:iCs w:val="1"/>
          <w:color w:val="auto"/>
        </w:rPr>
        <w:t xml:space="preserve">Subject to compliance with applicable securities laws, Alexo will cause Parent to issue </w:t>
      </w:r>
      <w:r>
        <w:rPr>
          <w:rFonts w:ascii="Arial" w:cs="Arial" w:eastAsia="Arial" w:hAnsi="Arial"/>
          <w:sz w:val="17"/>
          <w:szCs w:val="17"/>
          <w:color w:val="auto"/>
        </w:rPr>
        <w:t>[***]</w:t>
      </w:r>
      <w:r>
        <w:rPr>
          <w:rFonts w:ascii="Arial" w:cs="Arial" w:eastAsia="Arial" w:hAnsi="Arial"/>
          <w:sz w:val="17"/>
          <w:szCs w:val="17"/>
          <w:i w:val="1"/>
          <w:iCs w:val="1"/>
          <w:color w:val="auto"/>
        </w:rPr>
        <w:t>% of all shares granted to Stanford pursuant to Section 0 and Section 7.3 directly to and in the name of the inventors listed below allocated as stated below:</w:t>
      </w:r>
    </w:p>
    <w:p>
      <w:pPr>
        <w:spacing w:after="0" w:line="38" w:lineRule="exact"/>
        <w:rPr>
          <w:sz w:val="20"/>
          <w:szCs w:val="20"/>
          <w:color w:val="auto"/>
        </w:rPr>
      </w:pPr>
    </w:p>
    <w:p>
      <w:pPr>
        <w:ind w:left="1424" w:hanging="433"/>
        <w:spacing w:after="0"/>
        <w:tabs>
          <w:tab w:leader="none" w:pos="1424"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17" w:lineRule="exact"/>
        <w:rPr>
          <w:rFonts w:ascii="Arial" w:cs="Arial" w:eastAsia="Arial" w:hAnsi="Arial"/>
          <w:sz w:val="18"/>
          <w:szCs w:val="18"/>
          <w:color w:val="auto"/>
        </w:rPr>
      </w:pPr>
    </w:p>
    <w:p>
      <w:pPr>
        <w:ind w:left="1424" w:hanging="433"/>
        <w:spacing w:after="0"/>
        <w:tabs>
          <w:tab w:leader="none" w:pos="1424" w:val="left"/>
        </w:tabs>
        <w:numPr>
          <w:ilvl w:val="1"/>
          <w:numId w:val="228"/>
        </w:numPr>
        <w:rPr>
          <w:rFonts w:ascii="Arial" w:cs="Arial" w:eastAsia="Arial" w:hAnsi="Arial"/>
          <w:sz w:val="18"/>
          <w:szCs w:val="18"/>
          <w:color w:val="auto"/>
        </w:rPr>
      </w:pP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48" w:lineRule="exact"/>
        <w:rPr>
          <w:rFonts w:ascii="Arial" w:cs="Arial" w:eastAsia="Arial" w:hAnsi="Arial"/>
          <w:sz w:val="18"/>
          <w:szCs w:val="18"/>
          <w:color w:val="auto"/>
        </w:rPr>
      </w:pPr>
    </w:p>
    <w:p>
      <w:pPr>
        <w:ind w:left="424" w:right="140" w:hanging="424"/>
        <w:spacing w:after="0" w:line="282" w:lineRule="auto"/>
        <w:tabs>
          <w:tab w:leader="none" w:pos="424"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Patent Prosecution with respect to Split Patent Application. </w:t>
      </w:r>
      <w:r>
        <w:rPr>
          <w:rFonts w:ascii="Arial" w:cs="Arial" w:eastAsia="Arial" w:hAnsi="Arial"/>
          <w:sz w:val="18"/>
          <w:szCs w:val="18"/>
          <w:color w:val="auto"/>
        </w:rPr>
        <w:t>Section 14.1 of the Agreement is hereby amended to add the following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end of Section 14.1:</w:t>
      </w:r>
    </w:p>
    <w:p>
      <w:pPr>
        <w:spacing w:after="0" w:line="166" w:lineRule="exact"/>
        <w:rPr>
          <w:sz w:val="20"/>
          <w:szCs w:val="20"/>
          <w:color w:val="auto"/>
        </w:rPr>
      </w:pPr>
    </w:p>
    <w:p>
      <w:pPr>
        <w:ind w:left="4"/>
        <w:spacing w:after="0" w:line="277" w:lineRule="auto"/>
        <w:rPr>
          <w:sz w:val="20"/>
          <w:szCs w:val="20"/>
          <w:color w:val="auto"/>
        </w:rPr>
      </w:pPr>
      <w:r>
        <w:rPr>
          <w:rFonts w:ascii="Arial" w:cs="Arial" w:eastAsia="Arial" w:hAnsi="Arial"/>
          <w:sz w:val="18"/>
          <w:szCs w:val="18"/>
          <w:i w:val="1"/>
          <w:iCs w:val="1"/>
          <w:color w:val="auto"/>
        </w:rPr>
        <w:t xml:space="preserve">“Notwithstanding any provision of this Agreement to the contrary, Stanford covenants and agrees that Stanford will ensure that a SIRPa Component will </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93" w:lineRule="exact"/>
        <w:rPr>
          <w:sz w:val="20"/>
          <w:szCs w:val="20"/>
          <w:color w:val="auto"/>
        </w:rPr>
      </w:pPr>
    </w:p>
    <w:p>
      <w:pPr>
        <w:ind w:left="424" w:right="120" w:hanging="424"/>
        <w:spacing w:after="0" w:line="266" w:lineRule="auto"/>
        <w:tabs>
          <w:tab w:leader="none" w:pos="424"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w:t>
      </w:r>
      <w:r>
        <w:rPr>
          <w:rFonts w:ascii="Arial" w:cs="Arial" w:eastAsia="Arial" w:hAnsi="Arial"/>
          <w:sz w:val="18"/>
          <w:szCs w:val="18"/>
          <w:color w:val="auto"/>
        </w:rPr>
        <w:t>Except to the extent expressly amended by this Amendment No. 1, all of the terms, provisions and conditions of the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ratified and confirmed and shall remain in full force and effect. The term “Agreement”, as used in the Agreement, shall henceforth be deemed to be a reference to the Agreement as amended by this Amendment No. 1.</w:t>
      </w:r>
    </w:p>
    <w:p>
      <w:pPr>
        <w:spacing w:after="0" w:line="202" w:lineRule="exact"/>
        <w:rPr>
          <w:rFonts w:ascii="Arial" w:cs="Arial" w:eastAsia="Arial" w:hAnsi="Arial"/>
          <w:sz w:val="18"/>
          <w:szCs w:val="18"/>
          <w:b w:val="1"/>
          <w:bCs w:val="1"/>
          <w:color w:val="auto"/>
        </w:rPr>
      </w:pPr>
    </w:p>
    <w:p>
      <w:pPr>
        <w:ind w:left="424" w:right="200" w:hanging="424"/>
        <w:spacing w:after="0" w:line="282" w:lineRule="auto"/>
        <w:tabs>
          <w:tab w:leader="none" w:pos="424"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This Amendment No. 1 may be executed in counterparts, each of which will be deemed an original with all such counterparts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constituting one instrument</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i w:val="1"/>
          <w:iCs w:val="1"/>
          <w:color w:val="auto"/>
        </w:rPr>
        <w:t>[Remainder of this page intentionally left blank — signature page follows]</w:t>
      </w:r>
    </w:p>
    <w:p>
      <w:pPr>
        <w:spacing w:after="0" w:line="158" w:lineRule="exact"/>
        <w:rPr>
          <w:sz w:val="20"/>
          <w:szCs w:val="20"/>
          <w:color w:val="auto"/>
        </w:rPr>
      </w:pPr>
    </w:p>
    <w:p>
      <w:pPr>
        <w:ind w:left="424" w:right="260" w:hanging="424"/>
        <w:spacing w:after="0" w:line="277" w:lineRule="auto"/>
        <w:tabs>
          <w:tab w:leader="none" w:pos="424"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04"/>
          </w:cols>
          <w:pgMar w:left="436" w:top="270" w:right="459" w:bottom="1440" w:gutter="0" w:footer="0" w:header="0"/>
        </w:sectPr>
      </w:pPr>
    </w:p>
    <w:bookmarkStart w:id="273" w:name="page274"/>
    <w:bookmarkEnd w:id="273"/>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execute this Amendment No. 1 in duplicate originals by their duly authorized officers or representatives.</w:t>
      </w:r>
    </w:p>
    <w:p>
      <w:pPr>
        <w:spacing w:after="0" w:line="264" w:lineRule="exact"/>
        <w:rPr>
          <w:sz w:val="20"/>
          <w:szCs w:val="20"/>
          <w:color w:val="auto"/>
        </w:rPr>
      </w:pPr>
    </w:p>
    <w:tbl>
      <w:tblPr>
        <w:tblLayout w:type="fixed"/>
        <w:tblInd w:w="5404"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THE BOARD OF TRUSTEES OF THE LELAND</w:t>
            </w:r>
          </w:p>
        </w:tc>
      </w:tr>
      <w:tr>
        <w:trPr>
          <w:trHeight w:val="230"/>
        </w:trPr>
        <w:tc>
          <w:tcPr>
            <w:tcW w:w="880" w:type="dxa"/>
            <w:vAlign w:val="bottom"/>
          </w:tcPr>
          <w:p>
            <w:pPr>
              <w:spacing w:after="0"/>
              <w:rPr>
                <w:sz w:val="20"/>
                <w:szCs w:val="20"/>
                <w:color w:val="auto"/>
              </w:rPr>
            </w:pPr>
          </w:p>
        </w:tc>
        <w:tc>
          <w:tcPr>
            <w:tcW w:w="4740" w:type="dxa"/>
            <w:vAlign w:val="bottom"/>
          </w:tcPr>
          <w:p>
            <w:pPr>
              <w:ind w:left="560"/>
              <w:spacing w:after="0"/>
              <w:rPr>
                <w:sz w:val="20"/>
                <w:szCs w:val="20"/>
                <w:color w:val="auto"/>
              </w:rPr>
            </w:pPr>
            <w:r>
              <w:rPr>
                <w:rFonts w:ascii="Arial" w:cs="Arial" w:eastAsia="Arial" w:hAnsi="Arial"/>
                <w:sz w:val="18"/>
                <w:szCs w:val="18"/>
                <w:color w:val="auto"/>
              </w:rPr>
              <w:t>STANFORD JUNIOR UNIVERSITY</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Katherine Ku</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Katharine Ku</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Executive Director, Office of Technology Licensing</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April 24, 2015</w:t>
            </w: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Alexo Therapeutics International</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Corey Goodman</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Corey Goodman</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Chair, Board of Directors</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April 24, 2015</w:t>
            </w:r>
          </w:p>
        </w:tc>
      </w:tr>
    </w:tbl>
    <w:p>
      <w:pPr>
        <w:spacing w:after="0" w:line="134" w:lineRule="exact"/>
        <w:rPr>
          <w:sz w:val="20"/>
          <w:szCs w:val="20"/>
          <w:color w:val="auto"/>
        </w:rPr>
      </w:pPr>
    </w:p>
    <w:p>
      <w:pPr>
        <w:ind w:left="424" w:right="280" w:hanging="424"/>
        <w:spacing w:after="0" w:line="277" w:lineRule="auto"/>
        <w:tabs>
          <w:tab w:leader="none" w:pos="42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ectPr>
          <w:pgSz w:w="11900" w:h="16838" w:orient="portrait"/>
          <w:cols w:equalWidth="0" w:num="1">
            <w:col w:w="11024"/>
          </w:cols>
          <w:pgMar w:left="436" w:top="274" w:right="439" w:bottom="1440" w:gutter="0" w:footer="0" w:header="0"/>
        </w:sectPr>
      </w:pPr>
    </w:p>
    <w:bookmarkStart w:id="274" w:name="page275"/>
    <w:bookmarkEnd w:id="27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EXCLUSIVE (EQUITY) AGREEMENT AMENDMENT NO. 2</w:t>
      </w:r>
    </w:p>
    <w:p>
      <w:pPr>
        <w:spacing w:after="0" w:line="229"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THE BOARD OF TRUSTEES OF THE LELAND STANFORD JUNIOR UNIVERSITY (“Stanford”), an institution of higher education having powers under the laws of the State of California, and Alexo Therapeutics International, (“Alexo”), a Cayman Islands exempted company, entered into the certain Exclusive (Equity) Agreement effective on the 24th day of March, 2015 (“Effective Date”), as amended by Exclusive (Equity) Agreement Amendment No. 1 effective as of April 24, 2015, (as amended, the “Agreement”).</w:t>
      </w:r>
    </w:p>
    <w:p>
      <w:pPr>
        <w:spacing w:after="0" w:line="187" w:lineRule="exact"/>
        <w:rPr>
          <w:sz w:val="20"/>
          <w:szCs w:val="20"/>
          <w:color w:val="auto"/>
        </w:rPr>
      </w:pPr>
    </w:p>
    <w:p>
      <w:pPr>
        <w:jc w:val="both"/>
        <w:ind w:left="4" w:right="520"/>
        <w:spacing w:after="0" w:line="263" w:lineRule="auto"/>
        <w:rPr>
          <w:sz w:val="20"/>
          <w:szCs w:val="20"/>
          <w:color w:val="auto"/>
        </w:rPr>
      </w:pPr>
      <w:r>
        <w:rPr>
          <w:rFonts w:ascii="Arial" w:cs="Arial" w:eastAsia="Arial" w:hAnsi="Arial"/>
          <w:sz w:val="18"/>
          <w:szCs w:val="18"/>
          <w:color w:val="auto"/>
        </w:rPr>
        <w:t>Pursuant to Section 19.3 of the Agreement, Stanford and Alexo wish to enter into this Amendment No. 2 to the Agreement (“Amendment No. 2”) effective as of May 15, 2015 (the “Amendment Date”). Capitalized terms used in this Amendment No. 2 and not defined herein are used with the meanings ascribed to them in the Agreement.</w:t>
      </w:r>
    </w:p>
    <w:p>
      <w:pPr>
        <w:spacing w:after="0" w:line="85" w:lineRule="exact"/>
        <w:rPr>
          <w:sz w:val="20"/>
          <w:szCs w:val="20"/>
          <w:color w:val="auto"/>
        </w:rPr>
      </w:pPr>
    </w:p>
    <w:p>
      <w:pPr>
        <w:ind w:left="424" w:hanging="424"/>
        <w:spacing w:after="0"/>
        <w:tabs>
          <w:tab w:leader="none" w:pos="424"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Nonexclusive Licensed Patents Definition. </w:t>
      </w:r>
      <w:r>
        <w:rPr>
          <w:rFonts w:ascii="Arial" w:cs="Arial" w:eastAsia="Arial" w:hAnsi="Arial"/>
          <w:sz w:val="18"/>
          <w:szCs w:val="18"/>
          <w:color w:val="auto"/>
        </w:rPr>
        <w:t>Section 2.14 of the Agreement is hereby amended to read in full as follows:</w:t>
      </w:r>
    </w:p>
    <w:p>
      <w:pPr>
        <w:spacing w:after="0" w:line="134" w:lineRule="exact"/>
        <w:rPr>
          <w:rFonts w:ascii="Arial" w:cs="Arial" w:eastAsia="Arial" w:hAnsi="Arial"/>
          <w:sz w:val="18"/>
          <w:szCs w:val="18"/>
          <w:b w:val="1"/>
          <w:bCs w:val="1"/>
          <w:color w:val="auto"/>
        </w:rPr>
      </w:pPr>
    </w:p>
    <w:p>
      <w:pPr>
        <w:ind w:left="964" w:right="40" w:hanging="54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“2.14 </w:t>
      </w:r>
      <w:r>
        <w:rPr>
          <w:rFonts w:ascii="Arial" w:cs="Arial" w:eastAsia="Arial" w:hAnsi="Arial"/>
          <w:sz w:val="16"/>
          <w:szCs w:val="16"/>
          <w:i w:val="1"/>
          <w:iCs w:val="1"/>
          <w:color w:val="auto"/>
        </w:rPr>
        <w:t>“Nonexclusive Licensed Patents” means Stanford’s U.S. Patent Application Serial Nos.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 (2) any continuation, division or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continuation-in-part (to the extent such continuation-in-part relates to the Licensed Products and the Licensed Field of Use) of such patent application; (3) any reissue, reexamination or extension of such patent application; or (4) any foreign patent application or Letters Patent or supplementary protection certificates or the equivalent thereof in respect of such patent application, that would be infringed by the practice of the Licensed Patents to make, have made, use, import and sell Licensed Products for use in the Licensed Field of Use.”</w:t>
      </w:r>
    </w:p>
    <w:p>
      <w:pPr>
        <w:spacing w:after="0" w:line="62" w:lineRule="exact"/>
        <w:rPr>
          <w:rFonts w:ascii="Arial" w:cs="Arial" w:eastAsia="Arial" w:hAnsi="Arial"/>
          <w:sz w:val="18"/>
          <w:szCs w:val="18"/>
          <w:b w:val="1"/>
          <w:bCs w:val="1"/>
          <w:color w:val="auto"/>
        </w:rPr>
      </w:pPr>
    </w:p>
    <w:p>
      <w:pPr>
        <w:ind w:left="424" w:right="140" w:hanging="424"/>
        <w:spacing w:after="0" w:line="266" w:lineRule="auto"/>
        <w:tabs>
          <w:tab w:leader="none" w:pos="424"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Ratification. </w:t>
      </w:r>
      <w:r>
        <w:rPr>
          <w:rFonts w:ascii="Arial" w:cs="Arial" w:eastAsia="Arial" w:hAnsi="Arial"/>
          <w:sz w:val="18"/>
          <w:szCs w:val="18"/>
          <w:color w:val="auto"/>
        </w:rPr>
        <w:t>Except to the extent expressly amended by this Amendment No. 2, all of the terms, provisions and conditions of the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ratified and confirmed and shall remain in full force and effect. The term “Agreement”, as used in the Agreement, shall henceforth be deemed to be a reference to the Agreement as amended by this Amendment No. 2.</w:t>
      </w:r>
    </w:p>
    <w:p>
      <w:pPr>
        <w:spacing w:after="0" w:line="81" w:lineRule="exact"/>
        <w:rPr>
          <w:rFonts w:ascii="Arial" w:cs="Arial" w:eastAsia="Arial" w:hAnsi="Arial"/>
          <w:sz w:val="18"/>
          <w:szCs w:val="18"/>
          <w:b w:val="1"/>
          <w:bCs w:val="1"/>
          <w:color w:val="auto"/>
        </w:rPr>
      </w:pPr>
    </w:p>
    <w:p>
      <w:pPr>
        <w:ind w:left="424" w:right="220" w:hanging="424"/>
        <w:spacing w:after="0" w:line="282" w:lineRule="auto"/>
        <w:tabs>
          <w:tab w:leader="none" w:pos="424"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This Amendment No. 2 may be executed in counterparts, each of which will be deemed an original with all such counterparts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constituting one instrument</w:t>
      </w:r>
    </w:p>
    <w:p>
      <w:pPr>
        <w:spacing w:after="0" w:line="382" w:lineRule="exact"/>
        <w:rPr>
          <w:sz w:val="20"/>
          <w:szCs w:val="20"/>
          <w:color w:val="auto"/>
        </w:rPr>
      </w:pPr>
    </w:p>
    <w:p>
      <w:pPr>
        <w:ind w:left="2824" w:hanging="98"/>
        <w:spacing w:after="0"/>
        <w:tabs>
          <w:tab w:leader="none" w:pos="2824" w:val="left"/>
        </w:tabs>
        <w:numPr>
          <w:ilvl w:val="1"/>
          <w:numId w:val="2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Remainder of this page intentionally left blank — signature page follows]</w:t>
      </w:r>
    </w:p>
    <w:p>
      <w:pPr>
        <w:spacing w:after="0" w:line="157" w:lineRule="exact"/>
        <w:rPr>
          <w:rFonts w:ascii="Arial" w:cs="Arial" w:eastAsia="Arial" w:hAnsi="Arial"/>
          <w:sz w:val="18"/>
          <w:szCs w:val="18"/>
          <w:b w:val="1"/>
          <w:bCs w:val="1"/>
          <w:i w:val="1"/>
          <w:iCs w:val="1"/>
          <w:color w:val="auto"/>
        </w:rPr>
      </w:pPr>
    </w:p>
    <w:p>
      <w:pPr>
        <w:ind w:left="424" w:right="280" w:hanging="424"/>
        <w:spacing w:after="0" w:line="277" w:lineRule="auto"/>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024"/>
          </w:cols>
          <w:pgMar w:left="436" w:top="270" w:right="439" w:bottom="1440" w:gutter="0" w:footer="0" w:header="0"/>
        </w:sectPr>
      </w:pPr>
    </w:p>
    <w:bookmarkStart w:id="275" w:name="page276"/>
    <w:bookmarkEnd w:id="27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execute this Amendment No. 2 in duplicate originals by their duly authorized officers or representatives.</w:t>
      </w:r>
    </w:p>
    <w:p>
      <w:pPr>
        <w:spacing w:after="0" w:line="264" w:lineRule="exact"/>
        <w:rPr>
          <w:sz w:val="20"/>
          <w:szCs w:val="20"/>
          <w:color w:val="auto"/>
        </w:rPr>
      </w:pPr>
    </w:p>
    <w:tbl>
      <w:tblPr>
        <w:tblLayout w:type="fixed"/>
        <w:tblInd w:w="5404"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740" w:type="dxa"/>
            <w:vAlign w:val="bottom"/>
          </w:tcPr>
          <w:p>
            <w:pPr>
              <w:ind w:left="100"/>
              <w:spacing w:after="0"/>
              <w:rPr>
                <w:sz w:val="20"/>
                <w:szCs w:val="20"/>
                <w:color w:val="auto"/>
              </w:rPr>
            </w:pPr>
            <w:r>
              <w:rPr>
                <w:rFonts w:ascii="Arial" w:cs="Arial" w:eastAsia="Arial" w:hAnsi="Arial"/>
                <w:sz w:val="18"/>
                <w:szCs w:val="18"/>
                <w:color w:val="auto"/>
              </w:rPr>
              <w:t>THE BOARD OF TRUSTEES OF THE LELAND</w:t>
            </w:r>
          </w:p>
        </w:tc>
      </w:tr>
      <w:tr>
        <w:trPr>
          <w:trHeight w:val="230"/>
        </w:trPr>
        <w:tc>
          <w:tcPr>
            <w:tcW w:w="880" w:type="dxa"/>
            <w:vAlign w:val="bottom"/>
          </w:tcPr>
          <w:p>
            <w:pPr>
              <w:spacing w:after="0"/>
              <w:rPr>
                <w:sz w:val="20"/>
                <w:szCs w:val="20"/>
                <w:color w:val="auto"/>
              </w:rPr>
            </w:pPr>
          </w:p>
        </w:tc>
        <w:tc>
          <w:tcPr>
            <w:tcW w:w="4740" w:type="dxa"/>
            <w:vAlign w:val="bottom"/>
          </w:tcPr>
          <w:p>
            <w:pPr>
              <w:ind w:left="540"/>
              <w:spacing w:after="0"/>
              <w:rPr>
                <w:sz w:val="20"/>
                <w:szCs w:val="20"/>
                <w:color w:val="auto"/>
              </w:rPr>
            </w:pPr>
            <w:r>
              <w:rPr>
                <w:rFonts w:ascii="Arial" w:cs="Arial" w:eastAsia="Arial" w:hAnsi="Arial"/>
                <w:sz w:val="18"/>
                <w:szCs w:val="18"/>
                <w:color w:val="auto"/>
              </w:rPr>
              <w:t>STANFORD TUNIOR UNIVERSITY</w:t>
            </w:r>
          </w:p>
        </w:tc>
      </w:tr>
      <w:tr>
        <w:trPr>
          <w:trHeight w:val="445"/>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Katherine Ku</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Katharine Ku</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Director, Office of Technology Licensing</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May 15, 2015</w:t>
            </w:r>
          </w:p>
        </w:tc>
      </w:tr>
      <w:tr>
        <w:trPr>
          <w:trHeight w:val="453"/>
        </w:trPr>
        <w:tc>
          <w:tcPr>
            <w:tcW w:w="5620" w:type="dxa"/>
            <w:vAlign w:val="bottom"/>
            <w:gridSpan w:val="2"/>
          </w:tcPr>
          <w:p>
            <w:pPr>
              <w:spacing w:after="0"/>
              <w:rPr>
                <w:sz w:val="20"/>
                <w:szCs w:val="20"/>
                <w:color w:val="auto"/>
              </w:rPr>
            </w:pPr>
            <w:r>
              <w:rPr>
                <w:rFonts w:ascii="Arial" w:cs="Arial" w:eastAsia="Arial" w:hAnsi="Arial"/>
                <w:sz w:val="18"/>
                <w:szCs w:val="18"/>
                <w:color w:val="auto"/>
              </w:rPr>
              <w:t>Alexo Therapeutics International</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Corey Goodman</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Corey Goodman</w:t>
            </w:r>
          </w:p>
        </w:tc>
      </w:tr>
      <w:tr>
        <w:trPr>
          <w:trHeight w:val="209"/>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Chair, Board of Directors</w:t>
            </w:r>
          </w:p>
        </w:tc>
      </w:tr>
      <w:tr>
        <w:trPr>
          <w:trHeight w:val="21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May 15, 2015</w:t>
            </w:r>
          </w:p>
        </w:tc>
      </w:tr>
    </w:tbl>
    <w:p>
      <w:pPr>
        <w:spacing w:after="0" w:line="134" w:lineRule="exact"/>
        <w:rPr>
          <w:sz w:val="20"/>
          <w:szCs w:val="20"/>
          <w:color w:val="auto"/>
        </w:rPr>
      </w:pPr>
    </w:p>
    <w:p>
      <w:pPr>
        <w:ind w:left="424" w:right="280" w:hanging="424"/>
        <w:spacing w:after="0" w:line="277" w:lineRule="auto"/>
        <w:tabs>
          <w:tab w:leader="none" w:pos="42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Certain information in this agreement has been omitted and filed separately with the Securities and Exchange Commission. [***] indicates that text has been omitted and is the subject of a confidential treatment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024"/>
          </w:cols>
          <w:pgMar w:left="436" w:top="274" w:right="4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4" w:right="100"/>
        <w:spacing w:after="0" w:line="268" w:lineRule="auto"/>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(as amended, restated, modified or otherwise supplemented from time to time, this “</w:t>
      </w:r>
      <w:r>
        <w:rPr>
          <w:rFonts w:ascii="Arial" w:cs="Arial" w:eastAsia="Arial" w:hAnsi="Arial"/>
          <w:sz w:val="17"/>
          <w:szCs w:val="17"/>
          <w:b w:val="1"/>
          <w:bCs w:val="1"/>
          <w:color w:val="auto"/>
        </w:rPr>
        <w:t>Agreement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dated as of December 20, 2019 (the “</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among (a) </w:t>
      </w: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in its capacity as administrative agent and collateral agent (“</w:t>
      </w:r>
      <w:r>
        <w:rPr>
          <w:rFonts w:ascii="Arial" w:cs="Arial" w:eastAsia="Arial" w:hAnsi="Arial"/>
          <w:sz w:val="17"/>
          <w:szCs w:val="17"/>
          <w:b w:val="1"/>
          <w:bCs w:val="1"/>
          <w:color w:val="auto"/>
        </w:rPr>
        <w:t>Agent</w:t>
      </w:r>
      <w:r>
        <w:rPr>
          <w:rFonts w:ascii="Arial" w:cs="Arial" w:eastAsia="Arial" w:hAnsi="Arial"/>
          <w:sz w:val="17"/>
          <w:szCs w:val="17"/>
          <w:color w:val="auto"/>
        </w:rPr>
        <w:t xml:space="preserve">”), (b) </w:t>
      </w: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as a lender (“</w:t>
      </w:r>
      <w:r>
        <w:rPr>
          <w:rFonts w:ascii="Arial" w:cs="Arial" w:eastAsia="Arial" w:hAnsi="Arial"/>
          <w:sz w:val="17"/>
          <w:szCs w:val="17"/>
          <w:b w:val="1"/>
          <w:bCs w:val="1"/>
          <w:color w:val="auto"/>
        </w:rPr>
        <w:t>SVB</w:t>
      </w:r>
      <w:r>
        <w:rPr>
          <w:rFonts w:ascii="Arial" w:cs="Arial" w:eastAsia="Arial" w:hAnsi="Arial"/>
          <w:sz w:val="17"/>
          <w:szCs w:val="17"/>
          <w:color w:val="auto"/>
        </w:rPr>
        <w:t xml:space="preserve">”), (c) </w:t>
      </w:r>
      <w:r>
        <w:rPr>
          <w:rFonts w:ascii="Arial" w:cs="Arial" w:eastAsia="Arial" w:hAnsi="Arial"/>
          <w:sz w:val="17"/>
          <w:szCs w:val="17"/>
          <w:b w:val="1"/>
          <w:bCs w:val="1"/>
          <w:color w:val="auto"/>
        </w:rPr>
        <w:t>WESTRIVER</w:t>
      </w:r>
      <w:r>
        <w:rPr>
          <w:rFonts w:ascii="Arial" w:cs="Arial" w:eastAsia="Arial" w:hAnsi="Arial"/>
          <w:sz w:val="17"/>
          <w:szCs w:val="17"/>
          <w:color w:val="auto"/>
        </w:rPr>
        <w:t xml:space="preserve"> </w:t>
      </w:r>
      <w:r>
        <w:rPr>
          <w:rFonts w:ascii="Arial" w:cs="Arial" w:eastAsia="Arial" w:hAnsi="Arial"/>
          <w:sz w:val="17"/>
          <w:szCs w:val="17"/>
          <w:b w:val="1"/>
          <w:bCs w:val="1"/>
          <w:color w:val="auto"/>
        </w:rPr>
        <w:t>INNOVATION LENDING FUND VIII, L.P.</w:t>
      </w:r>
      <w:r>
        <w:rPr>
          <w:rFonts w:ascii="Arial" w:cs="Arial" w:eastAsia="Arial" w:hAnsi="Arial"/>
          <w:sz w:val="17"/>
          <w:szCs w:val="17"/>
          <w:color w:val="auto"/>
        </w:rPr>
        <w:t>, a Delaware limited partnership (“</w:t>
      </w:r>
      <w:r>
        <w:rPr>
          <w:rFonts w:ascii="Arial" w:cs="Arial" w:eastAsia="Arial" w:hAnsi="Arial"/>
          <w:sz w:val="17"/>
          <w:szCs w:val="17"/>
          <w:b w:val="1"/>
          <w:bCs w:val="1"/>
          <w:color w:val="auto"/>
        </w:rPr>
        <w:t>WestRiver</w:t>
      </w:r>
      <w:r>
        <w:rPr>
          <w:rFonts w:ascii="Arial" w:cs="Arial" w:eastAsia="Arial" w:hAnsi="Arial"/>
          <w:sz w:val="17"/>
          <w:szCs w:val="17"/>
          <w:color w:val="auto"/>
        </w:rPr>
        <w:t>”), as a lender (SVB and WestRiver and each of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from time to time a party hereto are referred to herein collectively as the “</w:t>
      </w:r>
      <w:r>
        <w:rPr>
          <w:rFonts w:ascii="Arial" w:cs="Arial" w:eastAsia="Arial" w:hAnsi="Arial"/>
          <w:sz w:val="17"/>
          <w:szCs w:val="17"/>
          <w:b w:val="1"/>
          <w:bCs w:val="1"/>
          <w:color w:val="auto"/>
        </w:rPr>
        <w:t>Lenders</w:t>
      </w:r>
      <w:r>
        <w:rPr>
          <w:rFonts w:ascii="Arial" w:cs="Arial" w:eastAsia="Arial" w:hAnsi="Arial"/>
          <w:sz w:val="17"/>
          <w:szCs w:val="17"/>
          <w:color w:val="auto"/>
        </w:rPr>
        <w:t>” and each individually as a “</w:t>
      </w:r>
      <w:r>
        <w:rPr>
          <w:rFonts w:ascii="Arial" w:cs="Arial" w:eastAsia="Arial" w:hAnsi="Arial"/>
          <w:sz w:val="17"/>
          <w:szCs w:val="17"/>
          <w:b w:val="1"/>
          <w:bCs w:val="1"/>
          <w:color w:val="auto"/>
        </w:rPr>
        <w:t>Lender</w:t>
      </w:r>
      <w:r>
        <w:rPr>
          <w:rFonts w:ascii="Arial" w:cs="Arial" w:eastAsia="Arial" w:hAnsi="Arial"/>
          <w:sz w:val="17"/>
          <w:szCs w:val="17"/>
          <w:color w:val="auto"/>
        </w:rPr>
        <w:t xml:space="preserve">”), and (d) (i) </w:t>
      </w:r>
      <w:r>
        <w:rPr>
          <w:rFonts w:ascii="Arial" w:cs="Arial" w:eastAsia="Arial" w:hAnsi="Arial"/>
          <w:sz w:val="17"/>
          <w:szCs w:val="17"/>
          <w:b w:val="1"/>
          <w:bCs w:val="1"/>
          <w:color w:val="auto"/>
        </w:rPr>
        <w:t>ALEXO THERAPEUTICS INTERNATIONAL</w:t>
      </w:r>
      <w:r>
        <w:rPr>
          <w:rFonts w:ascii="Arial" w:cs="Arial" w:eastAsia="Arial" w:hAnsi="Arial"/>
          <w:sz w:val="17"/>
          <w:szCs w:val="17"/>
          <w:color w:val="auto"/>
        </w:rPr>
        <w:t>, an exempted company incorporated under the laws of the Cayman Islands (“</w:t>
      </w:r>
      <w:r>
        <w:rPr>
          <w:rFonts w:ascii="Arial" w:cs="Arial" w:eastAsia="Arial" w:hAnsi="Arial"/>
          <w:sz w:val="17"/>
          <w:szCs w:val="17"/>
          <w:b w:val="1"/>
          <w:bCs w:val="1"/>
          <w:color w:val="auto"/>
        </w:rPr>
        <w:t>Alexo</w:t>
      </w:r>
      <w:r>
        <w:rPr>
          <w:rFonts w:ascii="Arial" w:cs="Arial" w:eastAsia="Arial" w:hAnsi="Arial"/>
          <w:sz w:val="17"/>
          <w:szCs w:val="17"/>
          <w:color w:val="auto"/>
        </w:rPr>
        <w:t>”), and</w:t>
      </w:r>
    </w:p>
    <w:p>
      <w:pPr>
        <w:spacing w:after="0" w:line="5" w:lineRule="exact"/>
        <w:rPr>
          <w:sz w:val="20"/>
          <w:szCs w:val="20"/>
          <w:color w:val="auto"/>
        </w:rPr>
      </w:pPr>
    </w:p>
    <w:p>
      <w:pPr>
        <w:ind w:left="4" w:right="300" w:hanging="4"/>
        <w:spacing w:after="0" w:line="255" w:lineRule="auto"/>
        <w:tabs>
          <w:tab w:leader="none" w:pos="269"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SIRPANT THERAPEUTICS</w:t>
      </w:r>
      <w:r>
        <w:rPr>
          <w:rFonts w:ascii="Arial" w:cs="Arial" w:eastAsia="Arial" w:hAnsi="Arial"/>
          <w:sz w:val="18"/>
          <w:szCs w:val="18"/>
          <w:color w:val="auto"/>
        </w:rPr>
        <w:t>, an exempted company incorporated under the laws of the Cayman Islands (“</w:t>
      </w:r>
      <w:r>
        <w:rPr>
          <w:rFonts w:ascii="Arial" w:cs="Arial" w:eastAsia="Arial" w:hAnsi="Arial"/>
          <w:sz w:val="18"/>
          <w:szCs w:val="18"/>
          <w:b w:val="1"/>
          <w:bCs w:val="1"/>
          <w:color w:val="auto"/>
        </w:rPr>
        <w:t>Sirpant</w:t>
      </w:r>
      <w:r>
        <w:rPr>
          <w:rFonts w:ascii="Arial" w:cs="Arial" w:eastAsia="Arial" w:hAnsi="Arial"/>
          <w:sz w:val="18"/>
          <w:szCs w:val="18"/>
          <w:color w:val="auto"/>
        </w:rPr>
        <w:t>”; together with Alexo,</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and collectively, jointly and severally, the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Agent and the Lenders shall lend to Borrower, and Borrower shall repay Agent and the Lenders. The parties agree as follows:</w:t>
      </w:r>
    </w:p>
    <w:p>
      <w:pPr>
        <w:spacing w:after="0" w:line="294"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ACCOUNTING AND OTHER TERMS</w:t>
      </w:r>
    </w:p>
    <w:p>
      <w:pPr>
        <w:spacing w:after="0" w:line="121" w:lineRule="exact"/>
        <w:rPr>
          <w:sz w:val="20"/>
          <w:szCs w:val="20"/>
          <w:color w:val="auto"/>
        </w:rPr>
      </w:pPr>
    </w:p>
    <w:p>
      <w:pPr>
        <w:ind w:left="4" w:right="220" w:firstLine="440"/>
        <w:spacing w:after="0" w:line="273" w:lineRule="auto"/>
        <w:rPr>
          <w:sz w:val="20"/>
          <w:szCs w:val="20"/>
          <w:color w:val="auto"/>
        </w:rPr>
      </w:pPr>
      <w:r>
        <w:rPr>
          <w:rFonts w:ascii="Arial" w:cs="Arial" w:eastAsia="Arial" w:hAnsi="Arial"/>
          <w:sz w:val="17"/>
          <w:szCs w:val="17"/>
          <w:color w:val="auto"/>
        </w:rPr>
        <w:t>Accounting terms not defined in this Agreement shall be construed following GAAP. Calculations and determinations must be made following GAAP. In addition, any obligations of a Person under a lease (whether existing now or entered into in the future) that is not (or would not be) a capital lease obligation under GAAP as in effect as of the date of this Agreement shall not be treated as a capital lease obligation solely as a result of the adoption of changes in GAAP). Capitalized terms not otherwise defined in this Agreement shall have the meanings set forth in Section 14 of this Agreement. All other terms contained in this Agreement, unless otherwise indicated, shall have the meaning provided by the Code to the extent such terms are defined therein. All references to “Dollars” or “$” are United States Dollars, unless otherwise noted.</w:t>
      </w:r>
    </w:p>
    <w:p>
      <w:pPr>
        <w:spacing w:after="0" w:line="282"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LOAN AND TERMS OF PAYMENT</w:t>
      </w:r>
    </w:p>
    <w:p>
      <w:pPr>
        <w:spacing w:after="0" w:line="117"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Promise to Pay</w:t>
      </w:r>
      <w:r>
        <w:rPr>
          <w:rFonts w:ascii="Arial" w:cs="Arial" w:eastAsia="Arial" w:hAnsi="Arial"/>
          <w:sz w:val="18"/>
          <w:szCs w:val="18"/>
          <w:color w:val="auto"/>
        </w:rPr>
        <w:t>. Borrower hereby unconditionally promises to pay to Agent, for the ratable benefit of each Lender, the outstanding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all Credit Extensions advanced to Borrower by such Lender and accrued and unpaid interest thereon, together with any fees as and when due in accordance with this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Term Loan Advances.</w:t>
      </w:r>
    </w:p>
    <w:p>
      <w:pPr>
        <w:spacing w:after="0" w:line="229" w:lineRule="exact"/>
        <w:rPr>
          <w:sz w:val="20"/>
          <w:szCs w:val="20"/>
          <w:color w:val="auto"/>
        </w:rPr>
      </w:pPr>
    </w:p>
    <w:p>
      <w:pPr>
        <w:ind w:left="4" w:right="80" w:firstLine="987"/>
        <w:spacing w:after="0" w:line="254" w:lineRule="auto"/>
        <w:tabs>
          <w:tab w:leader="none" w:pos="1375"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upon Borrower’s request, the Lenders, severally and not jointly, shall make one (1) term loan advance to Borrower on or about the Effective Date in an original principal amount of Six Million Dollars ($6,000,000.00) according to each Lender’s Term Loan Commitment as set forth on Schedule 1 hereto (the “</w:t>
      </w:r>
      <w:r>
        <w:rPr>
          <w:rFonts w:ascii="Arial" w:cs="Arial" w:eastAsia="Arial" w:hAnsi="Arial"/>
          <w:sz w:val="18"/>
          <w:szCs w:val="18"/>
          <w:b w:val="1"/>
          <w:bCs w:val="1"/>
          <w:color w:val="auto"/>
        </w:rPr>
        <w:t>Term A Loan Advance</w:t>
      </w:r>
      <w:r>
        <w:rPr>
          <w:rFonts w:ascii="Arial" w:cs="Arial" w:eastAsia="Arial" w:hAnsi="Arial"/>
          <w:sz w:val="18"/>
          <w:szCs w:val="18"/>
          <w:color w:val="auto"/>
        </w:rPr>
        <w:t>”). Subject to the terms and conditions of this Agreement, upon Borrower’s request, during the Draw Period, the Lenders, severally and not jointly, shall make one (1) term loan advance available to Borrower in an original principal amount of Four Million Dollars ($4,000,000.00) according to each Lender’s Term Loan Commitment as set forth on Schedule 1 hereto (the “</w:t>
      </w:r>
      <w:r>
        <w:rPr>
          <w:rFonts w:ascii="Arial" w:cs="Arial" w:eastAsia="Arial" w:hAnsi="Arial"/>
          <w:sz w:val="18"/>
          <w:szCs w:val="18"/>
          <w:b w:val="1"/>
          <w:bCs w:val="1"/>
          <w:color w:val="auto"/>
        </w:rPr>
        <w:t>Term B Loan Advance</w:t>
      </w:r>
      <w:r>
        <w:rPr>
          <w:rFonts w:ascii="Arial" w:cs="Arial" w:eastAsia="Arial" w:hAnsi="Arial"/>
          <w:sz w:val="18"/>
          <w:szCs w:val="18"/>
          <w:color w:val="auto"/>
        </w:rPr>
        <w:t>”). The Term A Loan Advance and the Term B Loan Advance are hereinafter referred to singly as the “</w:t>
      </w:r>
      <w:r>
        <w:rPr>
          <w:rFonts w:ascii="Arial" w:cs="Arial" w:eastAsia="Arial" w:hAnsi="Arial"/>
          <w:sz w:val="18"/>
          <w:szCs w:val="18"/>
          <w:b w:val="1"/>
          <w:bCs w:val="1"/>
          <w:color w:val="auto"/>
        </w:rPr>
        <w:t>Term Loan Advance</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Loan Advances</w:t>
      </w:r>
      <w:r>
        <w:rPr>
          <w:rFonts w:ascii="Arial" w:cs="Arial" w:eastAsia="Arial" w:hAnsi="Arial"/>
          <w:sz w:val="18"/>
          <w:szCs w:val="18"/>
          <w:color w:val="auto"/>
        </w:rPr>
        <w:t>”. After repayment, no Term Loan Advance (or any portion thereof) may be reborrowed.</w:t>
      </w:r>
    </w:p>
    <w:p>
      <w:pPr>
        <w:spacing w:after="0" w:line="191" w:lineRule="exact"/>
        <w:rPr>
          <w:rFonts w:ascii="Arial" w:cs="Arial" w:eastAsia="Arial" w:hAnsi="Arial"/>
          <w:sz w:val="18"/>
          <w:szCs w:val="18"/>
          <w:color w:val="auto"/>
        </w:rPr>
      </w:pPr>
    </w:p>
    <w:p>
      <w:pPr>
        <w:ind w:left="4" w:right="40" w:firstLine="987"/>
        <w:spacing w:after="0" w:line="311" w:lineRule="auto"/>
        <w:tabs>
          <w:tab w:leader="none" w:pos="1385" w:val="left"/>
        </w:tabs>
        <w:numPr>
          <w:ilvl w:val="1"/>
          <w:numId w:val="236"/>
        </w:numPr>
        <w:rPr>
          <w:rFonts w:ascii="Arial" w:cs="Arial" w:eastAsia="Arial" w:hAnsi="Arial"/>
          <w:sz w:val="16"/>
          <w:szCs w:val="16"/>
          <w:color w:val="auto"/>
        </w:rPr>
      </w:pPr>
      <w:r>
        <w:rPr>
          <w:rFonts w:ascii="Arial" w:cs="Arial" w:eastAsia="Arial" w:hAnsi="Arial"/>
          <w:sz w:val="16"/>
          <w:szCs w:val="16"/>
          <w:u w:val="single" w:color="auto"/>
          <w:color w:val="auto"/>
        </w:rPr>
        <w:t>Interest Period</w:t>
      </w:r>
      <w:r>
        <w:rPr>
          <w:rFonts w:ascii="Arial" w:cs="Arial" w:eastAsia="Arial" w:hAnsi="Arial"/>
          <w:sz w:val="16"/>
          <w:szCs w:val="16"/>
          <w:color w:val="auto"/>
        </w:rPr>
        <w:t>. Commencing on the first (1</w:t>
      </w:r>
      <w:r>
        <w:rPr>
          <w:rFonts w:ascii="Arial" w:cs="Arial" w:eastAsia="Arial" w:hAnsi="Arial"/>
          <w:sz w:val="13"/>
          <w:szCs w:val="13"/>
          <w:color w:val="auto"/>
        </w:rPr>
        <w:t>st</w:t>
      </w:r>
      <w:r>
        <w:rPr>
          <w:rFonts w:ascii="Arial" w:cs="Arial" w:eastAsia="Arial" w:hAnsi="Arial"/>
          <w:sz w:val="16"/>
          <w:szCs w:val="16"/>
          <w:color w:val="auto"/>
        </w:rPr>
        <w:t>) Payment Date of the month following the month in which the Funding Date of the applicable Term Loan Advance occurs and continuing on the Payment Date of each month thereafter, Borrower shall make monthly payments of interest to Agent, for the account of the Lenders, in arrears, on the principal amount of each Term Loan Advance, at the rate set forth in Section 2.3(a).</w:t>
      </w:r>
    </w:p>
    <w:p>
      <w:pPr>
        <w:spacing w:after="0" w:line="148" w:lineRule="exact"/>
        <w:rPr>
          <w:rFonts w:ascii="Arial" w:cs="Arial" w:eastAsia="Arial" w:hAnsi="Arial"/>
          <w:sz w:val="16"/>
          <w:szCs w:val="16"/>
          <w:color w:val="auto"/>
        </w:rPr>
      </w:pPr>
    </w:p>
    <w:p>
      <w:pPr>
        <w:ind w:left="4" w:right="180" w:firstLine="987"/>
        <w:spacing w:after="0" w:line="274" w:lineRule="auto"/>
        <w:tabs>
          <w:tab w:leader="none" w:pos="1375" w:val="left"/>
        </w:tabs>
        <w:numPr>
          <w:ilvl w:val="1"/>
          <w:numId w:val="236"/>
        </w:numPr>
        <w:rPr>
          <w:rFonts w:ascii="Arial" w:cs="Arial" w:eastAsia="Arial" w:hAnsi="Arial"/>
          <w:sz w:val="17"/>
          <w:szCs w:val="17"/>
          <w:color w:val="auto"/>
        </w:rPr>
      </w:pPr>
      <w:r>
        <w:rPr>
          <w:rFonts w:ascii="Arial" w:cs="Arial" w:eastAsia="Arial" w:hAnsi="Arial"/>
          <w:sz w:val="17"/>
          <w:szCs w:val="17"/>
          <w:u w:val="single" w:color="auto"/>
          <w:color w:val="auto"/>
        </w:rPr>
        <w:t>Repayment of the Term Loan Advances</w:t>
      </w:r>
      <w:r>
        <w:rPr>
          <w:rFonts w:ascii="Arial" w:cs="Arial" w:eastAsia="Arial" w:hAnsi="Arial"/>
          <w:sz w:val="17"/>
          <w:szCs w:val="17"/>
          <w:color w:val="auto"/>
        </w:rPr>
        <w:t>. Commencing on the Term Loan Amortization Date, and continuing on each Payment Date thereafter, Borrower shall repay the aggregate outstanding Term Loan Advances to Agent, for the account of the Lenders, in (i) twenty-one</w:t>
      </w:r>
    </w:p>
    <w:p>
      <w:pPr>
        <w:ind w:left="4" w:right="320" w:hanging="4"/>
        <w:spacing w:after="0" w:line="255" w:lineRule="auto"/>
        <w:tabs>
          <w:tab w:leader="none" w:pos="34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consecutive equal monthly installments of principal, plus (ii) monthly payments of accrued interest at the rate set forth in Section 2.3(a). All outstanding principal and accrued and unpaid interest with respect to the Term Loan Advances, and all other outstanding Obligations under the Term Loan Advances, are due and payable in full on the Term Loan Maturity Date.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277" w:name="page278"/>
    <w:bookmarkEnd w:id="277"/>
    <w:p>
      <w:pPr>
        <w:ind w:left="4" w:right="60" w:firstLine="987"/>
        <w:spacing w:after="0" w:line="291" w:lineRule="auto"/>
        <w:tabs>
          <w:tab w:leader="none" w:pos="1385" w:val="left"/>
        </w:tabs>
        <w:numPr>
          <w:ilvl w:val="1"/>
          <w:numId w:val="2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Permitted Prepayment</w:t>
      </w:r>
      <w:r>
        <w:rPr>
          <w:rFonts w:ascii="Arial" w:cs="Arial" w:eastAsia="Arial" w:hAnsi="Arial"/>
          <w:sz w:val="16"/>
          <w:szCs w:val="16"/>
          <w:color w:val="auto"/>
        </w:rPr>
        <w:t>. Borrower shall have the option to prepay all, but not less than all, of the Term Loan Advances advanced by the Lenders under this Agreement, provided Borrower (i) provides written notice to Agent of its election to prepay the Term Loan Advances at least ten</w:t>
      </w:r>
    </w:p>
    <w:p>
      <w:pPr>
        <w:jc w:val="both"/>
        <w:ind w:left="4" w:right="160" w:hanging="4"/>
        <w:spacing w:after="0" w:line="281" w:lineRule="auto"/>
        <w:tabs>
          <w:tab w:leader="none" w:pos="34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days prior to such prepayment, and (ii) pays to Agent, for the account of the Lenders in accordance with its respective Pro Rata Share, on the date of such prepayment (A) the outstanding principal of the Term Loan Advances plus accrued and unpaid interest thereon, (B) the Prepayment Premium,</w:t>
      </w:r>
    </w:p>
    <w:p>
      <w:pPr>
        <w:spacing w:after="0" w:line="1" w:lineRule="exact"/>
        <w:rPr>
          <w:rFonts w:ascii="Arial" w:cs="Arial" w:eastAsia="Arial" w:hAnsi="Arial"/>
          <w:sz w:val="16"/>
          <w:szCs w:val="16"/>
          <w:color w:val="auto"/>
        </w:rPr>
      </w:pPr>
    </w:p>
    <w:p>
      <w:pPr>
        <w:ind w:left="4" w:right="220"/>
        <w:spacing w:after="0" w:line="260" w:lineRule="auto"/>
        <w:rPr>
          <w:rFonts w:ascii="Arial" w:cs="Arial" w:eastAsia="Arial" w:hAnsi="Arial"/>
          <w:sz w:val="16"/>
          <w:szCs w:val="16"/>
          <w:color w:val="auto"/>
        </w:rPr>
      </w:pPr>
      <w:r>
        <w:rPr>
          <w:rFonts w:ascii="Arial" w:cs="Arial" w:eastAsia="Arial" w:hAnsi="Arial"/>
          <w:sz w:val="18"/>
          <w:szCs w:val="18"/>
          <w:color w:val="auto"/>
        </w:rPr>
        <w:t>(C) the Final Payment and (D) all other sums, if any, that shall have become due and payable, including Lenders’ Expenses and interest at the Default Rate with respect to any past due amounts.</w:t>
      </w:r>
    </w:p>
    <w:p>
      <w:pPr>
        <w:spacing w:after="0" w:line="185" w:lineRule="exact"/>
        <w:rPr>
          <w:rFonts w:ascii="Arial" w:cs="Arial" w:eastAsia="Arial" w:hAnsi="Arial"/>
          <w:sz w:val="16"/>
          <w:szCs w:val="16"/>
          <w:color w:val="auto"/>
        </w:rPr>
      </w:pPr>
    </w:p>
    <w:p>
      <w:pPr>
        <w:ind w:left="4" w:right="200" w:firstLine="987"/>
        <w:spacing w:after="0" w:line="275" w:lineRule="auto"/>
        <w:tabs>
          <w:tab w:leader="none" w:pos="1375" w:val="left"/>
        </w:tabs>
        <w:numPr>
          <w:ilvl w:val="1"/>
          <w:numId w:val="239"/>
        </w:numPr>
        <w:rPr>
          <w:rFonts w:ascii="Arial" w:cs="Arial" w:eastAsia="Arial" w:hAnsi="Arial"/>
          <w:sz w:val="17"/>
          <w:szCs w:val="17"/>
          <w:color w:val="auto"/>
        </w:rPr>
      </w:pPr>
      <w:r>
        <w:rPr>
          <w:rFonts w:ascii="Arial" w:cs="Arial" w:eastAsia="Arial" w:hAnsi="Arial"/>
          <w:sz w:val="17"/>
          <w:szCs w:val="17"/>
          <w:u w:val="single" w:color="auto"/>
          <w:color w:val="auto"/>
        </w:rPr>
        <w:t>Mandatory Prepayment Upon an Acceleration</w:t>
      </w:r>
      <w:r>
        <w:rPr>
          <w:rFonts w:ascii="Arial" w:cs="Arial" w:eastAsia="Arial" w:hAnsi="Arial"/>
          <w:sz w:val="17"/>
          <w:szCs w:val="17"/>
          <w:color w:val="auto"/>
        </w:rPr>
        <w:t>. If the Term Loan Advances are accelerated by Agent, following the occurrence and during the continuance of an Event of Default, Borrower shall immediately pay to Agent, for the account of the Lenders in accordance with its respective Pro Rata Share, an amount equal to the sum of (i) all outstanding principal plus accrued and unpaid interest with respect to the Term Loan Advances, (ii) the Prepayment Premium, (iii) the Final Payment and (iv) all other sums, if any, that shall have become due and payable, including Lenders’ Expenses and interest at the Default Rate with respect to any past due amounts.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Payment of Interest on the Credit Extensions.</w:t>
      </w:r>
    </w:p>
    <w:p>
      <w:pPr>
        <w:spacing w:after="0" w:line="229" w:lineRule="exact"/>
        <w:rPr>
          <w:sz w:val="20"/>
          <w:szCs w:val="20"/>
          <w:color w:val="auto"/>
        </w:rPr>
      </w:pPr>
    </w:p>
    <w:p>
      <w:pPr>
        <w:ind w:left="4" w:right="20" w:firstLine="987"/>
        <w:spacing w:after="0" w:line="263" w:lineRule="auto"/>
        <w:tabs>
          <w:tab w:leader="none" w:pos="135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the principal amount outstanding under each Term Loan Advance shall accrue interest at a floating per annum rate equal to the greater of (i) seven percent (7.00%) and (ii) two percent (2.00%) above the Prime Rate, which interest, in each case, shall be payable monthly in accordance with Section 2.3(d) below.</w:t>
      </w:r>
    </w:p>
    <w:p>
      <w:pPr>
        <w:spacing w:after="0" w:line="183" w:lineRule="exact"/>
        <w:rPr>
          <w:rFonts w:ascii="Arial" w:cs="Arial" w:eastAsia="Arial" w:hAnsi="Arial"/>
          <w:sz w:val="18"/>
          <w:szCs w:val="18"/>
          <w:color w:val="auto"/>
        </w:rPr>
      </w:pPr>
    </w:p>
    <w:p>
      <w:pPr>
        <w:ind w:left="4" w:firstLine="987"/>
        <w:spacing w:after="0" w:line="255" w:lineRule="auto"/>
        <w:tabs>
          <w:tab w:leader="none" w:pos="138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bear interest at a rate per annum which is five percent (5.0%) above the rate that is otherwise applicable thereto (the “</w:t>
      </w:r>
      <w:r>
        <w:rPr>
          <w:rFonts w:ascii="Arial" w:cs="Arial" w:eastAsia="Arial" w:hAnsi="Arial"/>
          <w:sz w:val="18"/>
          <w:szCs w:val="18"/>
          <w:b w:val="1"/>
          <w:bCs w:val="1"/>
          <w:color w:val="auto"/>
        </w:rPr>
        <w:t>Default Rate</w:t>
      </w:r>
      <w:r>
        <w:rPr>
          <w:rFonts w:ascii="Arial" w:cs="Arial" w:eastAsia="Arial" w:hAnsi="Arial"/>
          <w:sz w:val="18"/>
          <w:szCs w:val="18"/>
          <w:color w:val="auto"/>
        </w:rPr>
        <w:t>”). Fees and expenses which are required to be paid by Borrower pursuant to the Loan Documents (including, without limitation, Lenders’ Expenses) but are not paid when due shall bear interest until paid at a rate equal to the highest rate applicable to the Obligations. Payment or acceptance of the increased interest rate provided in this Section 2.3(b) is not a permitted alternative to timely payment and shall not constitute a waiver of any Event of Default or otherwise prejudice or limit any rights or remedies of Agent or any Lender.</w:t>
      </w:r>
    </w:p>
    <w:p>
      <w:pPr>
        <w:spacing w:after="0" w:line="192" w:lineRule="exact"/>
        <w:rPr>
          <w:rFonts w:ascii="Arial" w:cs="Arial" w:eastAsia="Arial" w:hAnsi="Arial"/>
          <w:sz w:val="18"/>
          <w:szCs w:val="18"/>
          <w:color w:val="auto"/>
        </w:rPr>
      </w:pPr>
    </w:p>
    <w:p>
      <w:pPr>
        <w:ind w:left="4" w:right="600" w:firstLine="987"/>
        <w:spacing w:after="0" w:line="277" w:lineRule="auto"/>
        <w:tabs>
          <w:tab w:leader="none" w:pos="138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70" w:lineRule="exact"/>
        <w:rPr>
          <w:rFonts w:ascii="Arial" w:cs="Arial" w:eastAsia="Arial" w:hAnsi="Arial"/>
          <w:sz w:val="18"/>
          <w:szCs w:val="18"/>
          <w:color w:val="auto"/>
        </w:rPr>
      </w:pPr>
    </w:p>
    <w:p>
      <w:pPr>
        <w:ind w:left="4" w:right="60" w:firstLine="987"/>
        <w:spacing w:after="0" w:line="257" w:lineRule="auto"/>
        <w:tabs>
          <w:tab w:leader="none" w:pos="1345"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on the Payment Date and shall be computed on the basis of a 360-day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Fees</w:t>
      </w:r>
      <w:r>
        <w:rPr>
          <w:rFonts w:ascii="Arial" w:cs="Arial" w:eastAsia="Arial" w:hAnsi="Arial"/>
          <w:sz w:val="18"/>
          <w:szCs w:val="18"/>
          <w:color w:val="auto"/>
        </w:rPr>
        <w:t>. Borrower shall pay to Agent:</w:t>
      </w:r>
    </w:p>
    <w:p>
      <w:pPr>
        <w:spacing w:after="0" w:line="121" w:lineRule="exact"/>
        <w:rPr>
          <w:sz w:val="20"/>
          <w:szCs w:val="20"/>
          <w:color w:val="auto"/>
        </w:rPr>
      </w:pPr>
    </w:p>
    <w:p>
      <w:pPr>
        <w:ind w:left="4" w:right="260" w:firstLine="987"/>
        <w:spacing w:after="0" w:line="277" w:lineRule="auto"/>
        <w:tabs>
          <w:tab w:leader="none" w:pos="1345"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 to be shared between the Lenders pursuant to their respective Term Loan Commitment Percentages;</w:t>
      </w:r>
    </w:p>
    <w:p>
      <w:pPr>
        <w:spacing w:after="0" w:line="170" w:lineRule="exact"/>
        <w:rPr>
          <w:rFonts w:ascii="Arial" w:cs="Arial" w:eastAsia="Arial" w:hAnsi="Arial"/>
          <w:sz w:val="18"/>
          <w:szCs w:val="18"/>
          <w:color w:val="auto"/>
        </w:rPr>
      </w:pPr>
    </w:p>
    <w:p>
      <w:pPr>
        <w:ind w:left="4" w:right="20" w:firstLine="987"/>
        <w:spacing w:after="0" w:line="277" w:lineRule="auto"/>
        <w:tabs>
          <w:tab w:leader="none" w:pos="1385"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when due hereunder, to be shared between the Lenders pursuant to their respective Term Loan Commitment Percentages; and</w:t>
      </w:r>
    </w:p>
    <w:p>
      <w:pPr>
        <w:spacing w:after="0" w:line="170" w:lineRule="exact"/>
        <w:rPr>
          <w:rFonts w:ascii="Arial" w:cs="Arial" w:eastAsia="Arial" w:hAnsi="Arial"/>
          <w:sz w:val="18"/>
          <w:szCs w:val="18"/>
          <w:color w:val="auto"/>
        </w:rPr>
      </w:pPr>
    </w:p>
    <w:p>
      <w:pPr>
        <w:ind w:left="4" w:right="260" w:firstLine="987"/>
        <w:spacing w:after="0" w:line="342" w:lineRule="auto"/>
        <w:tabs>
          <w:tab w:leader="none" w:pos="1345" w:val="left"/>
        </w:tabs>
        <w:numPr>
          <w:ilvl w:val="0"/>
          <w:numId w:val="241"/>
        </w:numPr>
        <w:rPr>
          <w:rFonts w:ascii="Arial" w:cs="Arial" w:eastAsia="Arial" w:hAnsi="Arial"/>
          <w:sz w:val="16"/>
          <w:szCs w:val="16"/>
          <w:color w:val="auto"/>
        </w:rPr>
      </w:pPr>
      <w:r>
        <w:rPr>
          <w:rFonts w:ascii="Arial" w:cs="Arial" w:eastAsia="Arial" w:hAnsi="Arial"/>
          <w:sz w:val="16"/>
          <w:szCs w:val="16"/>
          <w:u w:val="single" w:color="auto"/>
          <w:color w:val="auto"/>
        </w:rPr>
        <w:t>Lenders’ Expenses</w:t>
      </w:r>
      <w:r>
        <w:rPr>
          <w:rFonts w:ascii="Arial" w:cs="Arial" w:eastAsia="Arial" w:hAnsi="Arial"/>
          <w:sz w:val="16"/>
          <w:szCs w:val="16"/>
          <w:color w:val="auto"/>
        </w:rPr>
        <w:t>. All Lenders’ Expenses (including reasonable and documented attorneys’ fees and expenses for documentation and negotiation of this Agreement) incurred through and after the Effective Date, when due (or, if no stated due date, upon demand by Agent).</w:t>
      </w:r>
    </w:p>
    <w:p>
      <w:pPr>
        <w:spacing w:after="0" w:line="124"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Unless otherwise provided in this Agreement or in a separate writing by Agent, Borrower shall not be entitled to any credit, rebate, or repayment of any fees earned by Agent or any Lender pursuant to this Agreement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278" w:name="page279"/>
    <w:bookmarkEnd w:id="278"/>
    <w:p>
      <w:pPr>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 termination of this Agreement or the suspension or termination of any Lender’s obligation to make loans and advances hereunder. Agent may deduct amounts owing by Borrower under the clauses of this Section 2.4 pursuant to the terms of Section 2.5(e). Agent shall provide Borrower written notice of deductions made from the Designated Deposit Account pursuant to the terms of the clauses of this Section 2.4.</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Payments; Pro Rata Treatment; Application of Payments; Debit of Accounts</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75" w:lineRule="auto"/>
        <w:tabs>
          <w:tab w:leader="none" w:pos="142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All payments (including prepayments) to be made by Borrower under any Loan Document shall be made to Agent for the account of Lenders, in immediately available funds in Dollars, without setoff or counterclaim, before 12:00 p.m. Pacific time on the date when due. Agent shall distribute such payments to Lenders in like funds as set forth in Section 2.6.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6" w:lineRule="exact"/>
        <w:rPr>
          <w:rFonts w:ascii="Arial" w:cs="Arial" w:eastAsia="Arial" w:hAnsi="Arial"/>
          <w:sz w:val="17"/>
          <w:szCs w:val="17"/>
          <w:color w:val="auto"/>
        </w:rPr>
      </w:pPr>
    </w:p>
    <w:p>
      <w:pPr>
        <w:ind w:right="880" w:firstLine="987"/>
        <w:spacing w:after="0" w:line="277" w:lineRule="auto"/>
        <w:tabs>
          <w:tab w:leader="none" w:pos="138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borrowing by Borrower from Lenders hereunder shall be made according to the respective Term Loan Commitment Percentages of the relevant Lenders.</w:t>
      </w:r>
    </w:p>
    <w:p>
      <w:pPr>
        <w:spacing w:after="0" w:line="170" w:lineRule="exact"/>
        <w:rPr>
          <w:rFonts w:ascii="Arial" w:cs="Arial" w:eastAsia="Arial" w:hAnsi="Arial"/>
          <w:sz w:val="18"/>
          <w:szCs w:val="18"/>
          <w:color w:val="auto"/>
        </w:rPr>
      </w:pPr>
    </w:p>
    <w:p>
      <w:pPr>
        <w:jc w:val="both"/>
        <w:ind w:right="140" w:firstLine="987"/>
        <w:spacing w:after="0" w:line="259" w:lineRule="auto"/>
        <w:tabs>
          <w:tab w:leader="none" w:pos="138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as otherwise provided herein, each payment (including each prepayment) by Borrower on account of principal or interest on the Term Loan Advances shall be applied according to each Lender’s Pro Rata Share of the outstanding principal amount of the Term Loan Advances. The amount of each principal prepayment of the Term Loan Advances shall be applied to reduce the then remaining installments of the Term Loan Advances based upon each Pro Rata Share of Term Loan Advances.</w:t>
      </w:r>
    </w:p>
    <w:p>
      <w:pPr>
        <w:spacing w:after="0" w:line="186" w:lineRule="exact"/>
        <w:rPr>
          <w:rFonts w:ascii="Arial" w:cs="Arial" w:eastAsia="Arial" w:hAnsi="Arial"/>
          <w:sz w:val="18"/>
          <w:szCs w:val="18"/>
          <w:color w:val="auto"/>
        </w:rPr>
      </w:pPr>
    </w:p>
    <w:p>
      <w:pPr>
        <w:ind w:right="220" w:firstLine="987"/>
        <w:spacing w:after="0" w:line="259" w:lineRule="auto"/>
        <w:tabs>
          <w:tab w:leader="none" w:pos="137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Agent has the exclusive right to determine the order and manner in which all payments with respect to the Obligations may be applied. Borrower shall have no right to specify the order or the accounts to which Agent shall allocate or apply any payments required to be made by Borrower to Agent or otherwise received by Agent or any Lender under this Agreement when any such allocation or application is not specified elsewhere in this Agreement.</w:t>
      </w:r>
    </w:p>
    <w:p>
      <w:pPr>
        <w:spacing w:after="0" w:line="186" w:lineRule="exact"/>
        <w:rPr>
          <w:rFonts w:ascii="Arial" w:cs="Arial" w:eastAsia="Arial" w:hAnsi="Arial"/>
          <w:sz w:val="18"/>
          <w:szCs w:val="18"/>
          <w:color w:val="auto"/>
        </w:rPr>
      </w:pPr>
    </w:p>
    <w:p>
      <w:pPr>
        <w:ind w:right="80" w:firstLine="987"/>
        <w:spacing w:after="0" w:line="277" w:lineRule="auto"/>
        <w:tabs>
          <w:tab w:leader="none" w:pos="137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Agent may debit any of Borrower’s deposit accounts, including the Designated Deposit Account, for principal and interest payments or any other amounts Borrower owes Agent or any Lender when due. These debits shall not constitute a set-off.</w:t>
      </w:r>
    </w:p>
    <w:p>
      <w:pPr>
        <w:spacing w:after="0" w:line="170" w:lineRule="exact"/>
        <w:rPr>
          <w:rFonts w:ascii="Arial" w:cs="Arial" w:eastAsia="Arial" w:hAnsi="Arial"/>
          <w:sz w:val="18"/>
          <w:szCs w:val="18"/>
          <w:color w:val="auto"/>
        </w:rPr>
      </w:pPr>
    </w:p>
    <w:p>
      <w:pPr>
        <w:ind w:firstLine="987"/>
        <w:spacing w:after="0" w:line="293" w:lineRule="auto"/>
        <w:tabs>
          <w:tab w:leader="none" w:pos="135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Unless Agent shall have been notified in writing by Borrower prior to the date of any payment due to be made by Borrower hereunder that Borrower will not make such payment to Agent, Agent may assume that Borrower is making such payment, and Agent may, but shall not be required to, in reliance upon such assumption, make available to Lenders their respective Pro Rata Share of a corresponding payment amount. If such payment is not made to Agent by Borrower within three (3) Business Days after such due date,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Agent or any Lender against Borrower.</w:t>
      </w:r>
    </w:p>
    <w:p>
      <w:pPr>
        <w:spacing w:after="0" w:line="160"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Settlement Procedures</w:t>
      </w:r>
      <w:r>
        <w:rPr>
          <w:rFonts w:ascii="Arial" w:cs="Arial" w:eastAsia="Arial" w:hAnsi="Arial"/>
          <w:sz w:val="18"/>
          <w:szCs w:val="18"/>
          <w:color w:val="auto"/>
        </w:rPr>
        <w:t>. If Agent receives any payment for the account of Lenders on or prior to 12:00 p.m. (Pacific time) on any Business Day,</w:t>
      </w:r>
      <w:r>
        <w:rPr>
          <w:rFonts w:ascii="Arial" w:cs="Arial" w:eastAsia="Arial" w:hAnsi="Arial"/>
          <w:sz w:val="18"/>
          <w:szCs w:val="18"/>
          <w:b w:val="1"/>
          <w:bCs w:val="1"/>
          <w:color w:val="auto"/>
        </w:rPr>
        <w:t xml:space="preserve"> </w:t>
      </w:r>
      <w:r>
        <w:rPr>
          <w:rFonts w:ascii="Arial" w:cs="Arial" w:eastAsia="Arial" w:hAnsi="Arial"/>
          <w:sz w:val="18"/>
          <w:szCs w:val="18"/>
          <w:color w:val="auto"/>
        </w:rPr>
        <w:t>Agent shall pay to each applicable Lender such Lender’s Pro Rata Share of such payment on such Business Day. If Agent receives any payment for the account of Lenders after 12:00 p.m. (Pacific time) on any Business Day, Agent shall pay to each applicable Lender such Lender’s Pro Rata Share of such payment on the next Business Day.</w:t>
      </w:r>
    </w:p>
    <w:p>
      <w:pPr>
        <w:spacing w:after="0" w:line="180"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Withholding</w:t>
      </w:r>
      <w:r>
        <w:rPr>
          <w:rFonts w:ascii="Arial" w:cs="Arial" w:eastAsia="Arial" w:hAnsi="Arial"/>
          <w:sz w:val="17"/>
          <w:szCs w:val="17"/>
          <w:color w:val="auto"/>
        </w:rPr>
        <w:t>. Payments received by Agent from Borrower under this Agreement will be made free and clear of and without deduction for any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Agent, Borrower hereby covenants and agrees that the amount due from Borrower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79" w:name="page280"/>
    <w:bookmarkEnd w:id="27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such payment or other sum payable hereunder will be increased to the extent necessary to ensure that, after the making of such required withholding or deduction, Agent receives a net sum equal to the sum which it would have received had no withholding or deduction been required, and Borrower shall pay the full amount withheld or deducted to the relevant Governmental Authority. Borrower will, upon request, furnish Agent with proof reasonably satisfactory to Agent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2.7 shall survive the termination of this Agreement.</w:t>
      </w:r>
    </w:p>
    <w:p>
      <w:pPr>
        <w:spacing w:after="0" w:line="299"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b w:val="1"/>
          <w:bCs w:val="1"/>
          <w:color w:val="auto"/>
        </w:rPr>
        <w:t>Conditions Precedent to Initial Credit Extension</w:t>
      </w:r>
      <w:r>
        <w:rPr>
          <w:rFonts w:ascii="Arial" w:cs="Arial" w:eastAsia="Arial" w:hAnsi="Arial"/>
          <w:sz w:val="17"/>
          <w:szCs w:val="17"/>
          <w:color w:val="auto"/>
        </w:rPr>
        <w:t>. Each Lender’s obligation to make the initial Credit Extension hereunder is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condition precedent that Agent shall have received, in form and substance satisfactory to Agent and the Lenders, such documents, and completion of such other matters, as Agent may reasonably deem necessary or appropriate, including, without limitation:</w:t>
      </w:r>
    </w:p>
    <w:p>
      <w:pPr>
        <w:spacing w:after="0" w:line="54" w:lineRule="exact"/>
        <w:rPr>
          <w:sz w:val="20"/>
          <w:szCs w:val="20"/>
          <w:color w:val="auto"/>
        </w:rPr>
      </w:pPr>
    </w:p>
    <w:p>
      <w:pPr>
        <w:ind w:left="1360" w:hanging="373"/>
        <w:spacing w:after="0"/>
        <w:tabs>
          <w:tab w:leader="none" w:pos="13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duly executed original signatures to the Warrant;</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duly executed original signatures to the Debenture together with all notices required under the Debenture;</w:t>
      </w:r>
    </w:p>
    <w:p>
      <w:pPr>
        <w:spacing w:after="0" w:line="225" w:lineRule="exact"/>
        <w:rPr>
          <w:rFonts w:ascii="Arial" w:cs="Arial" w:eastAsia="Arial" w:hAnsi="Arial"/>
          <w:sz w:val="18"/>
          <w:szCs w:val="18"/>
          <w:color w:val="auto"/>
        </w:rPr>
      </w:pPr>
    </w:p>
    <w:p>
      <w:pPr>
        <w:ind w:right="60" w:firstLine="987"/>
        <w:spacing w:after="0" w:line="263" w:lineRule="auto"/>
        <w:tabs>
          <w:tab w:leader="none" w:pos="138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Operating Documents of Borrower and a good standing certificate of each Borrower issued by the Registrar of Companies in the Cayman Islands as of a date no earlier than thirty (30) days prior to the Effective Date, register of directors and officers and register of mortgages and charges of each Borrower;</w:t>
      </w:r>
    </w:p>
    <w:p>
      <w:pPr>
        <w:spacing w:after="0" w:line="183" w:lineRule="exact"/>
        <w:rPr>
          <w:rFonts w:ascii="Arial" w:cs="Arial" w:eastAsia="Arial" w:hAnsi="Arial"/>
          <w:sz w:val="18"/>
          <w:szCs w:val="18"/>
          <w:color w:val="auto"/>
        </w:rPr>
      </w:pPr>
    </w:p>
    <w:p>
      <w:pPr>
        <w:ind w:left="1420" w:hanging="433"/>
        <w:spacing w:after="0"/>
        <w:tabs>
          <w:tab w:leader="none" w:pos="14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Operating Documents of Guarantor;</w:t>
      </w:r>
    </w:p>
    <w:p>
      <w:pPr>
        <w:spacing w:after="0" w:line="225" w:lineRule="exact"/>
        <w:rPr>
          <w:rFonts w:ascii="Arial" w:cs="Arial" w:eastAsia="Arial" w:hAnsi="Arial"/>
          <w:sz w:val="18"/>
          <w:szCs w:val="18"/>
          <w:color w:val="auto"/>
        </w:rPr>
      </w:pPr>
    </w:p>
    <w:p>
      <w:pPr>
        <w:ind w:right="160" w:firstLine="987"/>
        <w:spacing w:after="0" w:line="308" w:lineRule="auto"/>
        <w:tabs>
          <w:tab w:leader="none" w:pos="138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 secretary’s or director’s corporate borrowing certificate of each Borrower with respect to such Borrower’s Operating Documents, incumbency and director’s resolutions authorizing the execution and delivery of this Agreement and the other Loan Documents;</w:t>
      </w:r>
    </w:p>
    <w:p>
      <w:pPr>
        <w:spacing w:after="0" w:line="146" w:lineRule="exact"/>
        <w:rPr>
          <w:rFonts w:ascii="Arial" w:cs="Arial" w:eastAsia="Arial" w:hAnsi="Arial"/>
          <w:sz w:val="17"/>
          <w:szCs w:val="17"/>
          <w:color w:val="auto"/>
        </w:rPr>
      </w:pPr>
    </w:p>
    <w:p>
      <w:pPr>
        <w:ind w:right="300" w:firstLine="987"/>
        <w:spacing w:after="0" w:line="277" w:lineRule="auto"/>
        <w:tabs>
          <w:tab w:leader="none" w:pos="138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certificate of an officer of Guarantor with respect to articles, specimen signatures and resolutions authorizing the execution and delivery of the Guaranty, the Debenture and the other Loan Documents to which the Guarantor is a party;</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duly executed original signatures to the completed Borrowing Resolutions for each Borrower;</w:t>
      </w:r>
    </w:p>
    <w:p>
      <w:pPr>
        <w:spacing w:after="0" w:line="225" w:lineRule="exact"/>
        <w:rPr>
          <w:sz w:val="20"/>
          <w:szCs w:val="20"/>
          <w:color w:val="auto"/>
        </w:rPr>
      </w:pPr>
    </w:p>
    <w:p>
      <w:pPr>
        <w:jc w:val="both"/>
        <w:ind w:right="60" w:firstLine="987"/>
        <w:spacing w:after="0" w:line="263" w:lineRule="auto"/>
        <w:tabs>
          <w:tab w:leader="none" w:pos="145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Agent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3" w:lineRule="exact"/>
        <w:rPr>
          <w:rFonts w:ascii="Arial" w:cs="Arial" w:eastAsia="Arial" w:hAnsi="Arial"/>
          <w:sz w:val="18"/>
          <w:szCs w:val="18"/>
          <w:color w:val="auto"/>
        </w:rPr>
      </w:pPr>
    </w:p>
    <w:p>
      <w:pPr>
        <w:ind w:right="480" w:firstLine="987"/>
        <w:spacing w:after="0" w:line="277" w:lineRule="auto"/>
        <w:tabs>
          <w:tab w:leader="none" w:pos="147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searches at the Companies Registration Office in Ireland and High Court Central Office in respect of Guarantor together with satisfactory explanations for any acts appearing on such searches;</w:t>
      </w:r>
    </w:p>
    <w:p>
      <w:pPr>
        <w:spacing w:after="0" w:line="170" w:lineRule="exact"/>
        <w:rPr>
          <w:rFonts w:ascii="Arial" w:cs="Arial" w:eastAsia="Arial" w:hAnsi="Arial"/>
          <w:sz w:val="18"/>
          <w:szCs w:val="18"/>
          <w:color w:val="auto"/>
        </w:rPr>
      </w:pPr>
    </w:p>
    <w:p>
      <w:pPr>
        <w:ind w:left="1440" w:hanging="453"/>
        <w:spacing w:after="0"/>
        <w:tabs>
          <w:tab w:leader="none" w:pos="14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duly executed original signatures to the Collateral Assignment of License Agreement;</w:t>
      </w:r>
    </w:p>
    <w:p>
      <w:pPr>
        <w:spacing w:after="0" w:line="225" w:lineRule="exact"/>
        <w:rPr>
          <w:rFonts w:ascii="Arial" w:cs="Arial" w:eastAsia="Arial" w:hAnsi="Arial"/>
          <w:sz w:val="18"/>
          <w:szCs w:val="18"/>
          <w:color w:val="auto"/>
        </w:rPr>
      </w:pPr>
    </w:p>
    <w:p>
      <w:pPr>
        <w:ind w:left="1460" w:hanging="473"/>
        <w:spacing w:after="0"/>
        <w:tabs>
          <w:tab w:leader="none" w:pos="14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 certified copy of the Register of Mortgages and Charges of Borrower updated to reflect the security interests granted over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Collateral;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80" w:name="page281"/>
    <w:bookmarkEnd w:id="280"/>
    <w:p>
      <w:pPr>
        <w:ind w:left="1440" w:hanging="453"/>
        <w:spacing w:after="0"/>
        <w:tabs>
          <w:tab w:leader="none" w:pos="1440" w:val="left"/>
        </w:tabs>
        <w:numPr>
          <w:ilvl w:val="0"/>
          <w:numId w:val="24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legal opinion of Borrower’s Cayman Islands counsel in respect of Borrower, in form and substance acceptable to Lenders;</w:t>
      </w:r>
    </w:p>
    <w:p>
      <w:pPr>
        <w:spacing w:after="0" w:line="236" w:lineRule="exact"/>
        <w:rPr>
          <w:rFonts w:ascii="Arial" w:cs="Arial" w:eastAsia="Arial" w:hAnsi="Arial"/>
          <w:sz w:val="17"/>
          <w:szCs w:val="17"/>
          <w:color w:val="auto"/>
        </w:rPr>
      </w:pPr>
    </w:p>
    <w:p>
      <w:pPr>
        <w:ind w:left="1400" w:hanging="413"/>
        <w:spacing w:after="0"/>
        <w:tabs>
          <w:tab w:leader="none" w:pos="140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 legal opinion of SVB’s Irish counsel in respect of Guarantor (authority/enforceability), in form and substance acceptable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Lenders;</w:t>
      </w:r>
    </w:p>
    <w:p>
      <w:pPr>
        <w:spacing w:after="0" w:line="211" w:lineRule="exact"/>
        <w:rPr>
          <w:sz w:val="20"/>
          <w:szCs w:val="20"/>
          <w:color w:val="auto"/>
        </w:rPr>
      </w:pPr>
    </w:p>
    <w:p>
      <w:pPr>
        <w:ind w:left="1460" w:hanging="473"/>
        <w:spacing w:after="0"/>
        <w:tabs>
          <w:tab w:leader="none" w:pos="1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Perfection Certificate of Borrower and Guarantor, together with the duly executed original signatures thereto; and</w:t>
      </w:r>
    </w:p>
    <w:p>
      <w:pPr>
        <w:spacing w:after="0" w:line="225" w:lineRule="exact"/>
        <w:rPr>
          <w:rFonts w:ascii="Arial" w:cs="Arial" w:eastAsia="Arial" w:hAnsi="Arial"/>
          <w:sz w:val="18"/>
          <w:szCs w:val="18"/>
          <w:color w:val="auto"/>
        </w:rPr>
      </w:pPr>
    </w:p>
    <w:p>
      <w:pPr>
        <w:ind w:left="1460" w:hanging="473"/>
        <w:spacing w:after="0"/>
        <w:tabs>
          <w:tab w:leader="none" w:pos="1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2.4 hereof.</w:t>
      </w:r>
    </w:p>
    <w:p>
      <w:pPr>
        <w:spacing w:after="0" w:line="221"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Conditions Precedent to all Credit Extensions</w:t>
      </w:r>
      <w:r>
        <w:rPr>
          <w:rFonts w:ascii="Arial" w:cs="Arial" w:eastAsia="Arial" w:hAnsi="Arial"/>
          <w:sz w:val="18"/>
          <w:szCs w:val="18"/>
          <w:color w:val="auto"/>
        </w:rPr>
        <w:t>. Each Lender’s obligation to make each Credit Extension, including the initial Credit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is subject to the following conditions precedent:</w:t>
      </w:r>
    </w:p>
    <w:p>
      <w:pPr>
        <w:spacing w:after="0" w:line="58" w:lineRule="exact"/>
        <w:rPr>
          <w:sz w:val="20"/>
          <w:szCs w:val="20"/>
          <w:color w:val="auto"/>
        </w:rPr>
      </w:pPr>
    </w:p>
    <w:p>
      <w:pPr>
        <w:ind w:right="20" w:firstLine="987"/>
        <w:spacing w:after="0" w:line="277" w:lineRule="auto"/>
        <w:tabs>
          <w:tab w:leader="none" w:pos="13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timely receipt by the Lenders of (i) an executed Disbursement Letter; and (ii) an executed Payment/Advance Form and any materials and documents required by Section 3.4;</w:t>
      </w:r>
    </w:p>
    <w:p>
      <w:pPr>
        <w:spacing w:after="0" w:line="170" w:lineRule="exact"/>
        <w:rPr>
          <w:rFonts w:ascii="Arial" w:cs="Arial" w:eastAsia="Arial" w:hAnsi="Arial"/>
          <w:sz w:val="18"/>
          <w:szCs w:val="18"/>
          <w:color w:val="auto"/>
        </w:rPr>
      </w:pPr>
    </w:p>
    <w:p>
      <w:pPr>
        <w:ind w:firstLine="987"/>
        <w:spacing w:after="0" w:line="253" w:lineRule="auto"/>
        <w:tabs>
          <w:tab w:leader="none" w:pos="13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representations and warranties in this Agreement shall be true and correct in all material respects on the date of the Disbursement Letter (and the Payment/Advance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and correct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w:t>
      </w:r>
    </w:p>
    <w:p>
      <w:pPr>
        <w:spacing w:after="0" w:line="196" w:lineRule="exact"/>
        <w:rPr>
          <w:rFonts w:ascii="Arial" w:cs="Arial" w:eastAsia="Arial" w:hAnsi="Arial"/>
          <w:sz w:val="18"/>
          <w:szCs w:val="18"/>
          <w:color w:val="auto"/>
        </w:rPr>
      </w:pPr>
    </w:p>
    <w:p>
      <w:pPr>
        <w:ind w:right="240" w:firstLine="987"/>
        <w:spacing w:after="0" w:line="263" w:lineRule="auto"/>
        <w:tabs>
          <w:tab w:leader="none" w:pos="146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Agent and each Lender determine to its satisfaction that there has not been any material impairment in the general affairs, management, results of operation, financial condition or the prospect of repayment of the Obligations, or any material adverse deviation by Borrower from the most recent business plan of Borrower presented to and accepted by Agent and the Lenders.</w:t>
      </w:r>
    </w:p>
    <w:p>
      <w:pPr>
        <w:spacing w:after="0" w:line="180"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b w:val="1"/>
          <w:bCs w:val="1"/>
          <w:color w:val="auto"/>
        </w:rPr>
        <w:t>Covenant to Deliver</w:t>
      </w:r>
      <w:r>
        <w:rPr>
          <w:rFonts w:ascii="Arial" w:cs="Arial" w:eastAsia="Arial" w:hAnsi="Arial"/>
          <w:sz w:val="17"/>
          <w:szCs w:val="17"/>
          <w:color w:val="auto"/>
        </w:rPr>
        <w:t>. Borrower agrees to deliver to Agent and each Lender each item required to be delivered to Agent and each Lender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as a condition precedent to any Credit Extension. Borrower expressly agrees that a Credit Extension made prior to the receipt by Agent and each Lender of any such item shall not constitute a waiver by Agent or Lenders of Borrower’s obligation to deliver such item, and the making of any Credit Extension in the absence of a required item shall be in each Lender’s sole discretion.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Procedures for Borrowing.</w:t>
      </w:r>
    </w:p>
    <w:p>
      <w:pPr>
        <w:spacing w:after="0" w:line="229" w:lineRule="exact"/>
        <w:rPr>
          <w:sz w:val="20"/>
          <w:szCs w:val="20"/>
          <w:color w:val="auto"/>
        </w:rPr>
      </w:pPr>
    </w:p>
    <w:p>
      <w:pPr>
        <w:ind w:firstLine="987"/>
        <w:spacing w:after="0" w:line="254" w:lineRule="auto"/>
        <w:tabs>
          <w:tab w:leader="none" w:pos="139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Term Loan Advances</w:t>
      </w:r>
      <w:r>
        <w:rPr>
          <w:rFonts w:ascii="Arial" w:cs="Arial" w:eastAsia="Arial" w:hAnsi="Arial"/>
          <w:sz w:val="18"/>
          <w:szCs w:val="18"/>
          <w:color w:val="auto"/>
        </w:rPr>
        <w:t>. Subject to the prior satisfaction of all other applicable conditions to the making of a Credit Extension set forth in this Agreement, to obtain a Credit Extension, Borrower shall notify Agent (which notice shall be irrevocable) by electronic mail, facsimile, or telephone by 12:00 p.m. Pacific time at least five (5) Business Days before the proposed Funding Date of such Credit Extension. Together with any such electronic or facsimile notification, Borrower shall deliver to Agent by electronic mail or facsimile a completed Disbursement Letter (and Payment/Advance Form) executed by an Authorized Signer. Agent may rely on any telephone notice given by a person whom Agent believes is an Authorized Signer. On the Funding Date, Agent shall credit the Credit Extensions to the Designated Deposit Account. Agent may make Credit Extensions under this Agreement based on instructions from an Authorized Signer or without instructions if the Credit Extensions are necessary to meet Obligations which have become due.</w:t>
      </w:r>
    </w:p>
    <w:p>
      <w:pPr>
        <w:spacing w:after="0" w:line="191" w:lineRule="exact"/>
        <w:rPr>
          <w:rFonts w:ascii="Arial" w:cs="Arial" w:eastAsia="Arial" w:hAnsi="Arial"/>
          <w:sz w:val="18"/>
          <w:szCs w:val="18"/>
          <w:color w:val="auto"/>
        </w:rPr>
      </w:pPr>
    </w:p>
    <w:p>
      <w:pPr>
        <w:ind w:right="120" w:firstLine="987"/>
        <w:spacing w:after="0" w:line="277" w:lineRule="auto"/>
        <w:tabs>
          <w:tab w:leader="none" w:pos="157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Funding</w:t>
      </w:r>
      <w:r>
        <w:rPr>
          <w:rFonts w:ascii="Arial" w:cs="Arial" w:eastAsia="Arial" w:hAnsi="Arial"/>
          <w:sz w:val="18"/>
          <w:szCs w:val="18"/>
          <w:color w:val="auto"/>
        </w:rPr>
        <w:t>. In determining compliance with any condition hereunder to the making of a Credit Extension that, by its terms, must be fulfilled to the satisfaction of a Lender, Agent may presume that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81" w:name="page282"/>
    <w:bookmarkEnd w:id="281"/>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 is satisfactory to such Lender unless Agent shall have received notice to the contrary from such Lender prior to the making of such Credit Extension. Unless Agent shall have been notified in writing by any Lender prior to the date of any Credit Extension, that such Lender will not make the amount that would constitute its share of such borrowing available to Agent, Agent may assume that such Lender is making such amount available to Agent, and Agent may, in reliance upon such assumption, make available to Borrower a corresponding amount. If such amount is not made available to Agent by the required time on the Funding Date therefor, such Lender shall pay to Agent, on demand, such amount with interest thereon, at a rate equal to the greater of (i) the Federal Funds Effective Rate or (ii) a rate determined by Agent in accordance with banking industry rules on interbank compensation, for the period until such Lender makes such amount immediately available to Agent. If such Lender’s share of such Credit Extension is not made available to Agent by such Lender within five (5) Business Days after such Funding Date, Agent shall also be entitled to recover such amount with interest thereon at the rate per annum applicable to the Term Loan Advances, on demand, from Borrower.</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jc w:val="both"/>
        <w:ind w:right="120" w:firstLine="440"/>
        <w:spacing w:after="0" w:line="303" w:lineRule="auto"/>
        <w:rPr>
          <w:sz w:val="20"/>
          <w:szCs w:val="20"/>
          <w:color w:val="auto"/>
        </w:rPr>
      </w:pPr>
      <w:r>
        <w:rPr>
          <w:rFonts w:ascii="Arial" w:cs="Arial" w:eastAsia="Arial" w:hAnsi="Arial"/>
          <w:sz w:val="16"/>
          <w:szCs w:val="16"/>
          <w:b w:val="1"/>
          <w:bCs w:val="1"/>
          <w:color w:val="auto"/>
        </w:rPr>
        <w:t>Grant of Security Interest</w:t>
      </w:r>
      <w:r>
        <w:rPr>
          <w:rFonts w:ascii="Arial" w:cs="Arial" w:eastAsia="Arial" w:hAnsi="Arial"/>
          <w:sz w:val="16"/>
          <w:szCs w:val="16"/>
          <w:color w:val="auto"/>
        </w:rPr>
        <w:t>. Borrower hereby grants Agent, for the ratable benefit of the Lenders, to secure the payment and performance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of all of the Obligations, a continuing security interest in, and pledges to Agent, for the ratable benefit of the Lenders, the Collateral, wherever located, whether now owned or hereafter acquired or arising, and all proceeds and products thereof. For clarity, any reference to “Agent’s Lien” or any granting of collateral to Agent in this Agreement or any Loan Document means the Lien granted to Agent for the ratable benefit of the Lenders.</w:t>
      </w:r>
    </w:p>
    <w:p>
      <w:pPr>
        <w:spacing w:after="0" w:line="15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Borrower acknowledges that it previously has entered, and/or may in the future enter, into Bank Services Agreements with SVB. Regardless of the terms of any Bank Services Agreement, Borrower agrees that any amounts Borrower owes SVB thereunder shall be deemed to be Obligations hereunder and that it is the intent of Borrower and SVB to have all such Obligations secured by the first priority perfected security interest in the Collateral granted herein, and by any and all other security agreements, mortgages or other collateral granted to Agent by Borrower and/or Guarantor as security for the Obligations, now or in the future. The Collateral may also be subject to Permitted Liens.</w:t>
      </w:r>
    </w:p>
    <w:p>
      <w:pPr>
        <w:spacing w:after="0" w:line="176"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If this Agreement is terminated,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Agent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Agent shall terminate the security interest granted herein upon Borrower providing to SVB cash collateral acceptable to SVB in its good faith business judgment for Bank Services, if any. In the event such Bank Services consist of outstanding Letters of Credit, Borrower shall provide to SVB cash collateral in an amount equal to (x) if such Letters of Credit are denominated in Dollars, then at least one hundred five percent (105.0%); and (y) if such Letters of Credit are denominated in a Foreign Currency, then at least one hundred ten percent (110.0%), of the Dollar Equivalent of the face amount of all such Letters of Credit plus, in each case, all interest, fees, and costs due or to become due in connection therewith (as estimated by SVB in its business judgment), to secure all of the Obligations relating to such Letters of Credit.</w:t>
      </w:r>
    </w:p>
    <w:p>
      <w:pPr>
        <w:spacing w:after="0" w:line="164"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Priority of Security Interest</w:t>
      </w:r>
      <w:r>
        <w:rPr>
          <w:rFonts w:ascii="Arial" w:cs="Arial" w:eastAsia="Arial" w:hAnsi="Arial"/>
          <w:sz w:val="18"/>
          <w:szCs w:val="18"/>
          <w:color w:val="auto"/>
        </w:rPr>
        <w:t>. Borrower represents, warrants, and covenants that the security interests granted herein are and shall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be a first priority perfected security interests in the Collateral. The Collateral may also be subject to Permitted Liens. If Borrower shall acquire a commercial tort claim, Borrower shall promptly notify Agent in a writing signed by Borrower of the general details thereof and grant to Agent, for the ratable benefit of the Lenders, in such writing a security interest therein and in the proceeds thereof, all upon the terms of this Agreement, with such writing to be in form and substance reasonably satisfactory to Agent.</w:t>
      </w:r>
    </w:p>
    <w:p>
      <w:pPr>
        <w:spacing w:after="0" w:line="183"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Authorization to File Financing Statements</w:t>
      </w:r>
      <w:r>
        <w:rPr>
          <w:rFonts w:ascii="Arial" w:cs="Arial" w:eastAsia="Arial" w:hAnsi="Arial"/>
          <w:sz w:val="18"/>
          <w:szCs w:val="18"/>
          <w:color w:val="auto"/>
        </w:rPr>
        <w:t>. Borrower hereby authorizes Agent, on behalf of the Lenders, to file financing statements,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Borrower, with all appropriate jurisdictions to perfect or protect Agent’s and Lenders’ interest or rights hereunder, including a notice that any disposition of the Collateral, by Borrower or any other Person, shall be deemed to violate the rights of Agent under the Code. Such financing statements may indicate the Collateral as “all assets of the Debtor” or words of similar effect, or as being of an equal or lesser scope, or with greater detail, all in Agent’s discretion.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82" w:name="page283"/>
    <w:bookmarkEnd w:id="282"/>
    <w:p>
      <w:pPr>
        <w:ind w:left="4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AND WARRANTIES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represents and warrants as follows:</w:t>
      </w:r>
    </w:p>
    <w:p>
      <w:pPr>
        <w:spacing w:after="0" w:line="113"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Due Organization, Authorization; Power and Authority</w:t>
      </w:r>
      <w:r>
        <w:rPr>
          <w:rFonts w:ascii="Arial" w:cs="Arial" w:eastAsia="Arial" w:hAnsi="Arial"/>
          <w:sz w:val="16"/>
          <w:szCs w:val="16"/>
          <w:color w:val="auto"/>
        </w:rPr>
        <w:t>. Borrower is duly existing, incorporated and in good standing in its jurisdiction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formation or incorporation and (to the extent applicable) in good standing as a Registered Organization (as applicable) in its jurisdiction of formation or incorporation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each Borrower has delivered to Agent and each Lender a completed certificate signed by Borrower and Guarantor, entitled “Perfection Certificate” (the “</w:t>
      </w:r>
      <w:r>
        <w:rPr>
          <w:rFonts w:ascii="Arial" w:cs="Arial" w:eastAsia="Arial" w:hAnsi="Arial"/>
          <w:sz w:val="16"/>
          <w:szCs w:val="16"/>
          <w:b w:val="1"/>
          <w:bCs w:val="1"/>
          <w:color w:val="auto"/>
        </w:rPr>
        <w:t>Perfection Certificate</w:t>
      </w:r>
      <w:r>
        <w:rPr>
          <w:rFonts w:ascii="Arial" w:cs="Arial" w:eastAsia="Arial" w:hAnsi="Arial"/>
          <w:sz w:val="16"/>
          <w:szCs w:val="16"/>
          <w:color w:val="auto"/>
        </w:rPr>
        <w:t>”). Borrower represents and warrants to Agent and each Lender that (a) Borrower’s exact legal name is that indicated on the Perfection Certificate and on the signature page hereof; (b) Borrower is an organization of the type and is organized or incorporated in the jurisdiction set forth in the Perfection Certificate; (c) the Perfection Certificate accurately sets forth Borrower’s organizational identification or registration number or accurately states that Borrower has none; (d) the Perfection Certificate accurately sets forth Borrower’s registered office (if applicable), or, if more than one, its chief executive office as well as Borrower’s mailing address (if different than its chief executive office); (e) Borrower (and each of its predecessors) has not, in the past five (5) years, changed its jurisdiction of formation or incorporation, organizational structure or type, or any organizational number assigned by its jurisdiction; and (f) all other information set forth on the Perfection Certificate pertaining to Borrower and each of its Subsidiaries is accurate and complete (it being understood and agreed that Borrower may from time to time update certain information in the Perfection Certificate after the Effective Date to the extent permitted by one or more specific provisions in this Agreement and that the Perfection Certificate shall be deemed to be updated to reflect the incorporation of any information disclosed by Borrower to Agent in writing pursuant to Section 7.2 hereof). If Borrower is not now a Registered Organization but later becomes one, Borrower shall promptly notify Agent of such occurrence and provide Agent with Borrower’s organizational identification or registration number.</w:t>
      </w:r>
    </w:p>
    <w:p>
      <w:pPr>
        <w:spacing w:after="0" w:line="178"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The execution, delivery and performance by Borrower of the Loan Documents to which it is a party have been duly authorized by Borrower, and do not (i) conflict with any of Borrower’s Operating Documents or organizational/constitutional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on the part of Borrower (except such Governmental Approvals which have already been obtained and are in full force and effect, filings and registrations contemplated by this Agreement),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62"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Collateral</w:t>
      </w:r>
      <w:r>
        <w:rPr>
          <w:rFonts w:ascii="Arial" w:cs="Arial" w:eastAsia="Arial" w:hAnsi="Arial"/>
          <w:sz w:val="18"/>
          <w:szCs w:val="18"/>
          <w:color w:val="auto"/>
        </w:rPr>
        <w:t>. Borrower has good title to, rights in, and the power to transfer each item of the Collateral upon which it purports to grant a Lien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other Loan Documents, free and clear of any and all Liens except Permitted Liens. Borrower has no Collateral Accounts at or with any bank or financial institution other than SVB or SVB’s Affiliates except for the Collateral Accounts described in the Perfection Certificate delivered to Agent and each Lender in connection herewith and which Borrower has given Agent notice and taken such actions as are necessary to give Agent, for the ratable benefit of the Lenders, a perfected security interest therein, pursuant to the terms of Section 6.6(b). The Accounts are bona fide, existing obligations of the Account Debtors.</w:t>
      </w:r>
    </w:p>
    <w:p>
      <w:pPr>
        <w:spacing w:after="0" w:line="191"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or as permitted pursuant to Section 7.2. None of the components of the Collateral shall be maintained at locations other than as provided in the Perfection Certificate or as permitted pursuant to Section 7.2.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283" w:name="page284"/>
    <w:bookmarkEnd w:id="283"/>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noted on the Perfection Certificate, Borrower is not a party to, nor is bound by, any Restricted License.</w:t>
      </w:r>
    </w:p>
    <w:p>
      <w:pPr>
        <w:spacing w:after="0" w:line="221" w:lineRule="exact"/>
        <w:rPr>
          <w:sz w:val="20"/>
          <w:szCs w:val="20"/>
          <w:color w:val="auto"/>
        </w:rPr>
      </w:pPr>
    </w:p>
    <w:p>
      <w:pPr>
        <w:ind w:right="480" w:firstLine="440"/>
        <w:spacing w:after="0" w:line="347"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 There are no actions or proceedings pending or, to the knowledge of any Responsible Officer, threatened in writing by or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or any of its Subsidiaries involving more than, individually or in the aggregate, Two Hundred Fifty Thousand Dollars ($250,000.00).</w:t>
      </w:r>
    </w:p>
    <w:p>
      <w:pPr>
        <w:spacing w:after="0" w:line="116" w:lineRule="exact"/>
        <w:rPr>
          <w:sz w:val="20"/>
          <w:szCs w:val="20"/>
          <w:color w:val="auto"/>
        </w:rPr>
      </w:pPr>
    </w:p>
    <w:p>
      <w:pPr>
        <w:ind w:right="160" w:firstLine="440"/>
        <w:spacing w:after="0" w:line="258" w:lineRule="auto"/>
        <w:rPr>
          <w:sz w:val="20"/>
          <w:szCs w:val="20"/>
          <w:color w:val="auto"/>
        </w:rPr>
      </w:pPr>
      <w:r>
        <w:rPr>
          <w:rFonts w:ascii="Arial" w:cs="Arial" w:eastAsia="Arial" w:hAnsi="Arial"/>
          <w:sz w:val="18"/>
          <w:szCs w:val="18"/>
          <w:b w:val="1"/>
          <w:bCs w:val="1"/>
          <w:color w:val="auto"/>
        </w:rPr>
        <w:t>Financial Statements; Financial Condition</w:t>
      </w:r>
      <w:r>
        <w:rPr>
          <w:rFonts w:ascii="Arial" w:cs="Arial" w:eastAsia="Arial" w:hAnsi="Arial"/>
          <w:sz w:val="18"/>
          <w:szCs w:val="18"/>
          <w:color w:val="auto"/>
        </w:rPr>
        <w:t>. All consolidated and consolidating financial statements for ALX Ireland and its direct and indirect</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delivered to Agent and the Lenders fairly present in all material respects ALX Ireland’s and its direct and indirect Subsidiaries’ consolidated financial condition and each such entity’s consolidated results of operations. There has not been any material deterioration in ALX Ireland’s and its direct and indirect Subsidiaries’ consolidated financial condition since the date of the most recent financial statements submitted to Agent and the Lenders.</w:t>
      </w:r>
    </w:p>
    <w:p>
      <w:pPr>
        <w:spacing w:after="0" w:line="183"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Solvency</w:t>
      </w:r>
      <w:r>
        <w:rPr>
          <w:rFonts w:ascii="Arial" w:cs="Arial" w:eastAsia="Arial" w:hAnsi="Arial"/>
          <w:sz w:val="18"/>
          <w:szCs w:val="18"/>
          <w:color w:val="auto"/>
        </w:rPr>
        <w:t>. 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mature/fall due.</w:t>
      </w:r>
    </w:p>
    <w:p>
      <w:pPr>
        <w:spacing w:after="0" w:line="176"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b w:val="1"/>
          <w:bCs w:val="1"/>
          <w:color w:val="auto"/>
        </w:rPr>
        <w:t>Regulatory Compliance</w:t>
      </w:r>
      <w:r>
        <w:rPr>
          <w:rFonts w:ascii="Arial" w:cs="Arial" w:eastAsia="Arial" w:hAnsi="Arial"/>
          <w:sz w:val="16"/>
          <w:szCs w:val="16"/>
          <w:color w:val="auto"/>
        </w:rPr>
        <w:t>. 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could reasonably be expected to have a material adverse effect on its business. None of Borrower’s or any of its Subsidiaries’ properties or assets has been used by Borrower or any Subsidiary or, to Borrower’s knowledge, by previous Persons, in disposing, producing, storing, treating, or transporting any hazardous substance other than in compliance with all applicable laws.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do so would not reasonably be expected to have a material adverse effect on Borrower’s business.</w:t>
      </w:r>
    </w:p>
    <w:p>
      <w:pPr>
        <w:spacing w:after="0" w:line="166"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Subsidiaries; Investments</w:t>
      </w:r>
      <w:r>
        <w:rPr>
          <w:rFonts w:ascii="Arial" w:cs="Arial" w:eastAsia="Arial" w:hAnsi="Arial"/>
          <w:sz w:val="18"/>
          <w:szCs w:val="18"/>
          <w:color w:val="auto"/>
        </w:rPr>
        <w:t>. Borrower does not own any stock, partnership, or other ownership interest or other equity securities or shares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for Permitted Investments.</w:t>
      </w:r>
    </w:p>
    <w:p>
      <w:pPr>
        <w:spacing w:after="0" w:line="162"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b w:val="1"/>
          <w:bCs w:val="1"/>
          <w:color w:val="auto"/>
        </w:rPr>
        <w:t>Tax Returns and Payments; Pension Contributions</w:t>
      </w:r>
      <w:r>
        <w:rPr>
          <w:rFonts w:ascii="Arial" w:cs="Arial" w:eastAsia="Arial" w:hAnsi="Arial"/>
          <w:sz w:val="17"/>
          <w:szCs w:val="17"/>
          <w:color w:val="auto"/>
        </w:rPr>
        <w:t>. Borrower has timely filed all required tax returns and reports, and Borrower has timely</w:t>
      </w:r>
      <w:r>
        <w:rPr>
          <w:rFonts w:ascii="Arial" w:cs="Arial" w:eastAsia="Arial" w:hAnsi="Arial"/>
          <w:sz w:val="17"/>
          <w:szCs w:val="17"/>
          <w:b w:val="1"/>
          <w:bCs w:val="1"/>
          <w:color w:val="auto"/>
        </w:rPr>
        <w:t xml:space="preserve"> </w:t>
      </w:r>
      <w:r>
        <w:rPr>
          <w:rFonts w:ascii="Arial" w:cs="Arial" w:eastAsia="Arial" w:hAnsi="Arial"/>
          <w:sz w:val="17"/>
          <w:szCs w:val="17"/>
          <w:color w:val="auto"/>
        </w:rPr>
        <w:t>paid all national,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Fifty Thousand Dollars ($50,000.00).</w:t>
      </w:r>
    </w:p>
    <w:p>
      <w:pPr>
        <w:spacing w:after="0" w:line="172"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To the extent Borrower defers payment of any contested taxes, Borrower shall (i) notify Agent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in excess of Fifty Thousand Dollars ($50,000.00). Borrower has paid all amounts necessary to fund all present pension, profit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84" w:name="page285"/>
    <w:bookmarkEnd w:id="28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sharing and deferred compensation plans of Borrower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83"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Use of Proceeds</w:t>
      </w:r>
      <w:r>
        <w:rPr>
          <w:rFonts w:ascii="Arial" w:cs="Arial" w:eastAsia="Arial" w:hAnsi="Arial"/>
          <w:sz w:val="18"/>
          <w:szCs w:val="18"/>
          <w:color w:val="auto"/>
        </w:rPr>
        <w:t>. Borrower shall use the proceeds of the Credit Extensions as working capital and to fund its general business requirements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not for personal, family, household or agricultural purposes or for any purpose which would be prohibited under sections 82 or 239 of the Irish Companies Act 2014.</w:t>
      </w:r>
    </w:p>
    <w:p>
      <w:pPr>
        <w:spacing w:after="0" w:line="17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Full Disclosure</w:t>
      </w:r>
      <w:r>
        <w:rPr>
          <w:rFonts w:ascii="Arial" w:cs="Arial" w:eastAsia="Arial" w:hAnsi="Arial"/>
          <w:sz w:val="18"/>
          <w:szCs w:val="18"/>
          <w:color w:val="auto"/>
        </w:rPr>
        <w:t>. No written representation, warranty or other statement of Borrower in any certificate or written statement given to Agent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in connection with the Loan Documents, or the transactions contemplated thereby, as of the date such representation, warranty, or other statement was made, taken together with all such written certificates and written statements given to Agent or any Lender, contains any untrue statement of a material fact or omits to state a material fact necessary to make the statements contained in the certificates or statements not misleading (it being recognized by Agent and each Lender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9"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 xml:space="preserve">Definition of “Knowledge.” </w:t>
      </w:r>
      <w:r>
        <w:rPr>
          <w:rFonts w:ascii="Arial" w:cs="Arial" w:eastAsia="Arial" w:hAnsi="Arial"/>
          <w:sz w:val="18"/>
          <w:szCs w:val="18"/>
          <w:color w:val="auto"/>
        </w:rPr>
        <w:t>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any Responsible Officer.</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do all of the following:</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Government Compliance.</w:t>
      </w:r>
    </w:p>
    <w:p>
      <w:pPr>
        <w:spacing w:after="0" w:line="229" w:lineRule="exact"/>
        <w:rPr>
          <w:sz w:val="20"/>
          <w:szCs w:val="20"/>
          <w:color w:val="auto"/>
        </w:rPr>
      </w:pPr>
    </w:p>
    <w:p>
      <w:pPr>
        <w:ind w:right="240" w:firstLine="987"/>
        <w:spacing w:after="0" w:line="259" w:lineRule="auto"/>
        <w:tabs>
          <w:tab w:leader="none" w:pos="147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86" w:lineRule="exact"/>
        <w:rPr>
          <w:rFonts w:ascii="Arial" w:cs="Arial" w:eastAsia="Arial" w:hAnsi="Arial"/>
          <w:sz w:val="18"/>
          <w:szCs w:val="18"/>
          <w:color w:val="auto"/>
        </w:rPr>
      </w:pPr>
    </w:p>
    <w:p>
      <w:pPr>
        <w:ind w:right="60" w:firstLine="987"/>
        <w:spacing w:after="0" w:line="263" w:lineRule="auto"/>
        <w:tabs>
          <w:tab w:leader="none" w:pos="147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Agent, for the ratable benefit of the Lenders, in the Collateral. Subject to the prior sentence hereof, Borrower shall promptly provide copies of any such obtained Governmental Approvals to Agent.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Financial Statements, Reports, Certificates</w:t>
      </w:r>
      <w:r>
        <w:rPr>
          <w:rFonts w:ascii="Arial" w:cs="Arial" w:eastAsia="Arial" w:hAnsi="Arial"/>
          <w:sz w:val="18"/>
          <w:szCs w:val="18"/>
          <w:color w:val="auto"/>
        </w:rPr>
        <w:t>. Provide Agent and each Lender with the following:</w:t>
      </w:r>
    </w:p>
    <w:p>
      <w:pPr>
        <w:spacing w:after="0" w:line="121" w:lineRule="exact"/>
        <w:rPr>
          <w:sz w:val="20"/>
          <w:szCs w:val="20"/>
          <w:color w:val="auto"/>
        </w:rPr>
      </w:pPr>
    </w:p>
    <w:p>
      <w:pPr>
        <w:ind w:right="140" w:firstLine="987"/>
        <w:spacing w:after="0" w:line="259" w:lineRule="auto"/>
        <w:tabs>
          <w:tab w:leader="none" w:pos="1471"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Monthly Financial Statements</w:t>
      </w:r>
      <w:r>
        <w:rPr>
          <w:rFonts w:ascii="Arial" w:cs="Arial" w:eastAsia="Arial" w:hAnsi="Arial"/>
          <w:sz w:val="18"/>
          <w:szCs w:val="18"/>
          <w:color w:val="auto"/>
        </w:rPr>
        <w:t>. As soon as available, but no later than thirty (30) days after the last day of each month, company prepared consolidated and consolidating balance sheet and income statement covering ALX Ireland’s and its direct and indirect Subsidiaries’ consolidated operations for such month certified by a Responsible Officer and in a form of presentation reasonably acceptable to Agent (the “</w:t>
      </w:r>
      <w:r>
        <w:rPr>
          <w:rFonts w:ascii="Arial" w:cs="Arial" w:eastAsia="Arial" w:hAnsi="Arial"/>
          <w:sz w:val="18"/>
          <w:szCs w:val="18"/>
          <w:b w:val="1"/>
          <w:bCs w:val="1"/>
          <w:color w:val="auto"/>
        </w:rPr>
        <w:t>Monthly</w:t>
      </w:r>
      <w:r>
        <w:rPr>
          <w:rFonts w:ascii="Arial" w:cs="Arial" w:eastAsia="Arial" w:hAnsi="Arial"/>
          <w:sz w:val="18"/>
          <w:szCs w:val="18"/>
          <w:color w:val="auto"/>
        </w:rPr>
        <w:t xml:space="preserve"> </w:t>
      </w:r>
      <w:r>
        <w:rPr>
          <w:rFonts w:ascii="Arial" w:cs="Arial" w:eastAsia="Arial" w:hAnsi="Arial"/>
          <w:sz w:val="18"/>
          <w:szCs w:val="18"/>
          <w:b w:val="1"/>
          <w:bCs w:val="1"/>
          <w:color w:val="auto"/>
        </w:rPr>
        <w:t>Financial Statements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00" w:firstLine="987"/>
        <w:spacing w:after="0" w:line="279" w:lineRule="auto"/>
        <w:tabs>
          <w:tab w:leader="none" w:pos="1471"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Monthly Compliance Certificate</w:t>
      </w:r>
      <w:r>
        <w:rPr>
          <w:rFonts w:ascii="Arial" w:cs="Arial" w:eastAsia="Arial" w:hAnsi="Arial"/>
          <w:sz w:val="17"/>
          <w:szCs w:val="17"/>
          <w:color w:val="auto"/>
        </w:rPr>
        <w:t>. Within thirty (30) days after the last day of each month and together with the Monthly Financial Statements, a duly completed Compliance Certificate signed by a Responsible Officer, certifying that as of the end of such month, Borrower was in full compliance with all of the terms and conditions of this Agreement, and setting forth calculations showing compliance with the financial covenants (if any) set forth in this Agreement and such other information as Agent or the Lenders may reasonably request;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85" w:name="page286"/>
    <w:bookmarkEnd w:id="285"/>
    <w:p>
      <w:pPr>
        <w:ind w:left="4" w:right="20" w:firstLine="987"/>
        <w:spacing w:after="0" w:line="259" w:lineRule="auto"/>
        <w:tabs>
          <w:tab w:leader="none" w:pos="1415"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Board Projections</w:t>
      </w:r>
      <w:r>
        <w:rPr>
          <w:rFonts w:ascii="Arial" w:cs="Arial" w:eastAsia="Arial" w:hAnsi="Arial"/>
          <w:sz w:val="18"/>
          <w:szCs w:val="18"/>
          <w:color w:val="auto"/>
        </w:rPr>
        <w:t>. As soon as available, at least annually, and in any event no later than the earlier to occur of (i) sixty (60) days after the end of each fiscal year of ALX Ireland and (ii) ten (10) days after Board approval, and contemporaneously with any updates or changes thereto, annual Board-approved operating budget and financial projections with respect to ALX Ireland and its direct and indirect Subsidiaries, in a form of presentation reasonably acceptable to Agent;</w:t>
      </w:r>
    </w:p>
    <w:p>
      <w:pPr>
        <w:spacing w:after="0" w:line="186" w:lineRule="exact"/>
        <w:rPr>
          <w:rFonts w:ascii="Arial" w:cs="Arial" w:eastAsia="Arial" w:hAnsi="Arial"/>
          <w:sz w:val="18"/>
          <w:szCs w:val="18"/>
          <w:color w:val="auto"/>
        </w:rPr>
      </w:pPr>
    </w:p>
    <w:p>
      <w:pPr>
        <w:ind w:left="4" w:firstLine="987"/>
        <w:spacing w:after="0" w:line="273" w:lineRule="auto"/>
        <w:tabs>
          <w:tab w:leader="none" w:pos="1435"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Annual Audited Financial Statements</w:t>
      </w:r>
      <w:r>
        <w:rPr>
          <w:rFonts w:ascii="Arial" w:cs="Arial" w:eastAsia="Arial" w:hAnsi="Arial"/>
          <w:sz w:val="17"/>
          <w:szCs w:val="17"/>
          <w:color w:val="auto"/>
        </w:rPr>
        <w:t>. As soon as available, but no later than October 31</w:t>
      </w:r>
      <w:r>
        <w:rPr>
          <w:rFonts w:ascii="Arial" w:cs="Arial" w:eastAsia="Arial" w:hAnsi="Arial"/>
          <w:sz w:val="14"/>
          <w:szCs w:val="14"/>
          <w:color w:val="auto"/>
        </w:rPr>
        <w:t>st</w:t>
      </w:r>
      <w:r>
        <w:rPr>
          <w:rFonts w:ascii="Arial" w:cs="Arial" w:eastAsia="Arial" w:hAnsi="Arial"/>
          <w:sz w:val="17"/>
          <w:szCs w:val="17"/>
          <w:color w:val="auto"/>
        </w:rPr>
        <w:t xml:space="preserve"> of each year, beginning with ALX Ireland’s fiscal year ending December 31, 2019, audited consolidated financial statements prepared under GAAP, consistently applied, together with an unqualified opinion (other than a qualification as to going concern typical for venture backed companies similar to ALX Ireland) on the financial statements from an independent certified public accounting firm reasonably acceptable to Agent. Notwithstanding the foregoing, if the Board determines in its reasonable discretion not to require an audit for any fiscal year of ALX Ireland, then Agent shall accept company prepared annual consolidated financial statements no later than thirty (30) days after the end of such fiscal year of ALX Ireland;</w:t>
      </w:r>
    </w:p>
    <w:p>
      <w:pPr>
        <w:spacing w:after="0" w:line="177" w:lineRule="exact"/>
        <w:rPr>
          <w:rFonts w:ascii="Arial" w:cs="Arial" w:eastAsia="Arial" w:hAnsi="Arial"/>
          <w:sz w:val="17"/>
          <w:szCs w:val="17"/>
          <w:color w:val="auto"/>
        </w:rPr>
      </w:pPr>
    </w:p>
    <w:p>
      <w:pPr>
        <w:ind w:left="4" w:right="380" w:firstLine="987"/>
        <w:spacing w:after="0" w:line="277" w:lineRule="auto"/>
        <w:tabs>
          <w:tab w:leader="none" w:pos="1395" w:val="left"/>
        </w:tabs>
        <w:numPr>
          <w:ilvl w:val="1"/>
          <w:numId w:val="251"/>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five (5) days of delivery, copies of all statements, reports and notices made available to ALX Ireland’s security holders (in their capacity as such) or to any holders of Subordinated Debt (in their capacity as such);</w:t>
      </w:r>
    </w:p>
    <w:p>
      <w:pPr>
        <w:spacing w:after="0" w:line="170" w:lineRule="exact"/>
        <w:rPr>
          <w:rFonts w:ascii="Arial" w:cs="Arial" w:eastAsia="Arial" w:hAnsi="Arial"/>
          <w:sz w:val="18"/>
          <w:szCs w:val="18"/>
          <w:color w:val="auto"/>
        </w:rPr>
      </w:pPr>
    </w:p>
    <w:p>
      <w:pPr>
        <w:ind w:left="1464" w:hanging="473"/>
        <w:spacing w:after="0"/>
        <w:tabs>
          <w:tab w:leader="none" w:pos="1464" w:val="left"/>
        </w:tabs>
        <w:numPr>
          <w:ilvl w:val="1"/>
          <w:numId w:val="251"/>
        </w:numPr>
        <w:rPr>
          <w:rFonts w:ascii="Arial" w:cs="Arial" w:eastAsia="Arial" w:hAnsi="Arial"/>
          <w:sz w:val="17"/>
          <w:szCs w:val="17"/>
          <w:color w:val="auto"/>
        </w:rPr>
      </w:pPr>
      <w:r>
        <w:rPr>
          <w:rFonts w:ascii="Arial" w:cs="Arial" w:eastAsia="Arial" w:hAnsi="Arial"/>
          <w:sz w:val="17"/>
          <w:szCs w:val="17"/>
          <w:u w:val="single" w:color="auto"/>
          <w:color w:val="auto"/>
        </w:rPr>
        <w:t>SEC Filings</w:t>
      </w:r>
      <w:r>
        <w:rPr>
          <w:rFonts w:ascii="Arial" w:cs="Arial" w:eastAsia="Arial" w:hAnsi="Arial"/>
          <w:sz w:val="17"/>
          <w:szCs w:val="17"/>
          <w:color w:val="auto"/>
        </w:rPr>
        <w:t>. In the event that ALX Ireland becomes subject to the reporting requirements under the Exchange Act, within five</w:t>
      </w:r>
    </w:p>
    <w:p>
      <w:pPr>
        <w:spacing w:after="0" w:line="34" w:lineRule="exact"/>
        <w:rPr>
          <w:rFonts w:ascii="Arial" w:cs="Arial" w:eastAsia="Arial" w:hAnsi="Arial"/>
          <w:sz w:val="17"/>
          <w:szCs w:val="17"/>
          <w:color w:val="auto"/>
        </w:rPr>
      </w:pPr>
    </w:p>
    <w:p>
      <w:pPr>
        <w:ind w:left="4" w:right="80" w:hanging="4"/>
        <w:spacing w:after="0" w:line="290" w:lineRule="auto"/>
        <w:tabs>
          <w:tab w:leader="none" w:pos="259" w:val="left"/>
        </w:tabs>
        <w:numPr>
          <w:ilvl w:val="0"/>
          <w:numId w:val="252"/>
        </w:numPr>
        <w:rPr>
          <w:rFonts w:ascii="Arial" w:cs="Arial" w:eastAsia="Arial" w:hAnsi="Arial"/>
          <w:sz w:val="16"/>
          <w:szCs w:val="16"/>
          <w:color w:val="auto"/>
        </w:rPr>
      </w:pPr>
      <w:r>
        <w:rPr>
          <w:rFonts w:ascii="Arial" w:cs="Arial" w:eastAsia="Arial" w:hAnsi="Arial"/>
          <w:sz w:val="16"/>
          <w:szCs w:val="16"/>
          <w:color w:val="auto"/>
        </w:rPr>
        <w:t>days of filing, copies of all periodic and other reports, proxy statements and other materials filed by ALX Ireland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ALX Ireland posts such documents, or provides a link thereto, on ALX Ireland’s website on the internet at ALX Ireland’s website address; provided, however, Borrower shall promptly notify Agent and the Lenders in writing (which may be by electronic mail) of the posting of any such documents;</w:t>
      </w:r>
    </w:p>
    <w:p>
      <w:pPr>
        <w:spacing w:after="0" w:line="163" w:lineRule="exact"/>
        <w:rPr>
          <w:rFonts w:ascii="Arial" w:cs="Arial" w:eastAsia="Arial" w:hAnsi="Arial"/>
          <w:sz w:val="16"/>
          <w:szCs w:val="16"/>
          <w:color w:val="auto"/>
        </w:rPr>
      </w:pPr>
    </w:p>
    <w:p>
      <w:pPr>
        <w:ind w:left="4" w:right="220" w:firstLine="987"/>
        <w:spacing w:after="0" w:line="263" w:lineRule="auto"/>
        <w:tabs>
          <w:tab w:leader="none" w:pos="1475"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A prompt report of any legal actions pending or threatened in writing against Borrower or any of its Subsidiaries that could reasonably be expected to result in damages or costs to Borrower or any of its Subsidiaries of, individually or in the aggregate, Two Hundred Fifty Thousand Dollars ($250,000.00) or more;</w:t>
      </w:r>
    </w:p>
    <w:p>
      <w:pPr>
        <w:spacing w:after="0" w:line="183" w:lineRule="exact"/>
        <w:rPr>
          <w:rFonts w:ascii="Arial" w:cs="Arial" w:eastAsia="Arial" w:hAnsi="Arial"/>
          <w:sz w:val="18"/>
          <w:szCs w:val="18"/>
          <w:color w:val="auto"/>
        </w:rPr>
      </w:pPr>
    </w:p>
    <w:p>
      <w:pPr>
        <w:ind w:left="4" w:firstLine="987"/>
        <w:spacing w:after="0" w:line="259" w:lineRule="auto"/>
        <w:tabs>
          <w:tab w:leader="none" w:pos="1555"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Beneficial Ownership Information</w:t>
      </w:r>
      <w:r>
        <w:rPr>
          <w:rFonts w:ascii="Arial" w:cs="Arial" w:eastAsia="Arial" w:hAnsi="Arial"/>
          <w:sz w:val="18"/>
          <w:szCs w:val="18"/>
          <w:color w:val="auto"/>
        </w:rPr>
        <w:t>. Prompt written notice of any changes to the beneficial ownership information set out in Section 14 of the Perfection Certificate. Borrower understands and acknowledges that each Lender relies on such true, accurate and up-to-date beneficial ownership information to meet such Lender’s regulatory obligations to obtain, verify and record information about the beneficial owners of its legal entity customers; and</w:t>
      </w:r>
    </w:p>
    <w:p>
      <w:pPr>
        <w:spacing w:after="0" w:line="186" w:lineRule="exact"/>
        <w:rPr>
          <w:rFonts w:ascii="Arial" w:cs="Arial" w:eastAsia="Arial" w:hAnsi="Arial"/>
          <w:sz w:val="18"/>
          <w:szCs w:val="18"/>
          <w:color w:val="auto"/>
        </w:rPr>
      </w:pPr>
    </w:p>
    <w:p>
      <w:pPr>
        <w:ind w:left="1464" w:hanging="473"/>
        <w:spacing w:after="0"/>
        <w:tabs>
          <w:tab w:leader="none" w:pos="1464"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Other financial information reasonably requested by Agent or any Lender.</w:t>
      </w:r>
    </w:p>
    <w:p>
      <w:pPr>
        <w:spacing w:after="0" w:line="221" w:lineRule="exact"/>
        <w:rPr>
          <w:sz w:val="20"/>
          <w:szCs w:val="20"/>
          <w:color w:val="auto"/>
        </w:rPr>
      </w:pPr>
    </w:p>
    <w:p>
      <w:pPr>
        <w:ind w:left="4" w:right="40" w:firstLine="440"/>
        <w:spacing w:after="0" w:line="314" w:lineRule="auto"/>
        <w:rPr>
          <w:sz w:val="20"/>
          <w:szCs w:val="20"/>
          <w:color w:val="auto"/>
        </w:rPr>
      </w:pPr>
      <w:r>
        <w:rPr>
          <w:rFonts w:ascii="Arial" w:cs="Arial" w:eastAsia="Arial" w:hAnsi="Arial"/>
          <w:sz w:val="16"/>
          <w:szCs w:val="16"/>
          <w:b w:val="1"/>
          <w:bCs w:val="1"/>
          <w:color w:val="auto"/>
        </w:rPr>
        <w:t>Inventory; Returns</w:t>
      </w:r>
      <w:r>
        <w:rPr>
          <w:rFonts w:ascii="Arial" w:cs="Arial" w:eastAsia="Arial" w:hAnsi="Arial"/>
          <w:sz w:val="16"/>
          <w:szCs w:val="16"/>
          <w:color w:val="auto"/>
        </w:rPr>
        <w:t>. Keep all Inventory in good and marketable condition, free from material defects. Returns and allowances between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and its Account Debtors shall follow Borrower’s customary practices as they exist at the Effective Date. Borrower must promptly notify Agent of all returns, recoveries, disputes and claims that involve more than Two Hundred Fifty Thousand Dollars ($250,000.00), individually or in the aggregate.</w:t>
      </w:r>
    </w:p>
    <w:p>
      <w:pPr>
        <w:spacing w:after="0" w:line="142"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8"/>
          <w:szCs w:val="18"/>
          <w:b w:val="1"/>
          <w:bCs w:val="1"/>
          <w:color w:val="auto"/>
        </w:rPr>
        <w:t>Taxes; Pensions</w:t>
      </w:r>
      <w:r>
        <w:rPr>
          <w:rFonts w:ascii="Arial" w:cs="Arial" w:eastAsia="Arial" w:hAnsi="Arial"/>
          <w:sz w:val="18"/>
          <w:szCs w:val="18"/>
          <w:color w:val="auto"/>
        </w:rPr>
        <w:t>. 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pay, all foreign, federal, state and local taxes, assessments, deposits and contributions owed by Borrower and each of its Subsidiaries, except for deferred payment of any taxes contested pursuant to the terms of Section 5.8 hereof, and shall deliver to Agent, on demand, appropriate certificates attesting to such payments, and pay all amounts necessary to fund all present pension, profit sharing and deferred compensation plans in accordance with their terms.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86" w:name="page287"/>
    <w:bookmarkEnd w:id="286"/>
    <w:p>
      <w:pPr>
        <w:ind w:left="4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w:t>
      </w:r>
    </w:p>
    <w:p>
      <w:pPr>
        <w:spacing w:after="0" w:line="229" w:lineRule="exact"/>
        <w:rPr>
          <w:sz w:val="20"/>
          <w:szCs w:val="20"/>
          <w:color w:val="auto"/>
        </w:rPr>
      </w:pPr>
    </w:p>
    <w:p>
      <w:pPr>
        <w:ind w:left="4" w:firstLine="987"/>
        <w:spacing w:after="0" w:line="296" w:lineRule="auto"/>
        <w:tabs>
          <w:tab w:leader="none" w:pos="147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Keep its business and the Collateral insured for risks and in amounts standard for companies in Borrower’s industry and location and as Agent may reasonably request. Insurance policies shall be in a form, with financially sound and reputable insurance companies that are not Affiliates of Borrower, and in amounts that are reasonably satisfactory to Agent. All property policies shall have a lender’s loss payable endorsement showing Agent as the sole lender loss payee. All liability policies shall show, or have endorsements showing, Agent as an additional insured. Agent shall be named as lender loss payee and/or additional insured with respect to any such insurance providing coverage in respect of any Collateral.</w:t>
      </w:r>
    </w:p>
    <w:p>
      <w:pPr>
        <w:spacing w:after="0" w:line="161" w:lineRule="exact"/>
        <w:rPr>
          <w:rFonts w:ascii="Arial" w:cs="Arial" w:eastAsia="Arial" w:hAnsi="Arial"/>
          <w:sz w:val="16"/>
          <w:szCs w:val="16"/>
          <w:color w:val="auto"/>
        </w:rPr>
      </w:pPr>
    </w:p>
    <w:p>
      <w:pPr>
        <w:ind w:left="4" w:right="560" w:firstLine="987"/>
        <w:spacing w:after="0" w:line="277" w:lineRule="auto"/>
        <w:tabs>
          <w:tab w:leader="none" w:pos="14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Agent’s option, payable to Agent for the ratable benefit of the Lenders on account of the Obligations.</w:t>
      </w:r>
    </w:p>
    <w:p>
      <w:pPr>
        <w:spacing w:after="0" w:line="170" w:lineRule="exact"/>
        <w:rPr>
          <w:sz w:val="20"/>
          <w:szCs w:val="20"/>
          <w:color w:val="auto"/>
        </w:rPr>
      </w:pPr>
    </w:p>
    <w:p>
      <w:pPr>
        <w:ind w:left="4" w:right="100" w:firstLine="987"/>
        <w:spacing w:after="0" w:line="255" w:lineRule="auto"/>
        <w:tabs>
          <w:tab w:leader="none" w:pos="152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At Agent’s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Agent, that it will give Agent thirty (30) days prior written notice before any such policy or policies shall be materially altered or canceled. If Borrower fails to obtain insurance as required under this Section 6.5 or to pay any amount or furnish any required proof of payment to third persons and Agent, Agent may make all or part of such payment or obtain such insurance policies required in this Section 6.5, and take any action under the policies Agent deems prudent.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Operating Accounts.</w:t>
      </w:r>
    </w:p>
    <w:p>
      <w:pPr>
        <w:spacing w:after="0" w:line="229" w:lineRule="exact"/>
        <w:rPr>
          <w:sz w:val="20"/>
          <w:szCs w:val="20"/>
          <w:color w:val="auto"/>
        </w:rPr>
      </w:pPr>
    </w:p>
    <w:p>
      <w:pPr>
        <w:ind w:left="4" w:right="440" w:firstLine="987"/>
        <w:spacing w:after="0" w:line="342" w:lineRule="auto"/>
        <w:tabs>
          <w:tab w:leader="none" w:pos="156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Maintain all of its and all of its Subsidiaries’ operating accounts and excess cash with SVB and SVB’s Affiliates. In addition, Borrower shall conduct all of its primary banking facilities with SVB, including, without limitation, letters of credit and business credit cards.</w:t>
      </w:r>
    </w:p>
    <w:p>
      <w:pPr>
        <w:spacing w:after="0" w:line="123" w:lineRule="exact"/>
        <w:rPr>
          <w:rFonts w:ascii="Arial" w:cs="Arial" w:eastAsia="Arial" w:hAnsi="Arial"/>
          <w:sz w:val="16"/>
          <w:szCs w:val="16"/>
          <w:color w:val="auto"/>
        </w:rPr>
      </w:pPr>
    </w:p>
    <w:p>
      <w:pPr>
        <w:ind w:left="4" w:right="260" w:firstLine="987"/>
        <w:spacing w:after="0" w:line="272" w:lineRule="auto"/>
        <w:tabs>
          <w:tab w:leader="none" w:pos="153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Provide Agent five (5) days prior written notice before establishing any Collateral Account at or with any bank or financial institution other than SVB or SVB’s Affiliates. For each Collateral Account that Borrower at any time maintains, Borrower shall cause the applicable bank or financial institution (other than SVB) at or with which any Collateral Account is maintained to execute and deliver a Control Agreement or other appropriate instrument with respect to such Collateral Account to perfect Agent’s Lien in such Collateral Account in accordance with the terms hereunder which Control Agreement may not be terminated without the prior written consent of the Lenders. The provisions of the previous sentence shall not apply to deposit accounts exclusively used for payroll, payroll taxes and other employee wage and benefit payments to or for the benefit of Borrower’s employees and identified to Agent and the Lenders by Borrower as such.</w:t>
      </w:r>
    </w:p>
    <w:p>
      <w:pPr>
        <w:spacing w:after="0" w:line="17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Protection of Intellectual Property Rights.</w:t>
      </w:r>
    </w:p>
    <w:p>
      <w:pPr>
        <w:spacing w:after="0" w:line="229" w:lineRule="exact"/>
        <w:rPr>
          <w:sz w:val="20"/>
          <w:szCs w:val="20"/>
          <w:color w:val="auto"/>
        </w:rPr>
      </w:pPr>
    </w:p>
    <w:p>
      <w:pPr>
        <w:ind w:left="1564" w:hanging="573"/>
        <w:spacing w:after="0"/>
        <w:tabs>
          <w:tab w:leader="none" w:pos="1564" w:val="left"/>
        </w:tabs>
        <w:numPr>
          <w:ilvl w:val="1"/>
          <w:numId w:val="256"/>
        </w:numPr>
        <w:rPr>
          <w:rFonts w:ascii="Arial" w:cs="Arial" w:eastAsia="Arial" w:hAnsi="Arial"/>
          <w:sz w:val="17"/>
          <w:szCs w:val="17"/>
          <w:color w:val="auto"/>
        </w:rPr>
      </w:pPr>
      <w:r>
        <w:rPr>
          <w:rFonts w:ascii="Arial" w:cs="Arial" w:eastAsia="Arial" w:hAnsi="Arial"/>
          <w:sz w:val="17"/>
          <w:szCs w:val="17"/>
          <w:color w:val="auto"/>
        </w:rPr>
        <w:t>(i) Protect, defend and maintain the validity and enforceability of its Intellectual Property material to Borrower’s business;</w:t>
      </w:r>
    </w:p>
    <w:p>
      <w:pPr>
        <w:spacing w:after="0" w:line="34" w:lineRule="exact"/>
        <w:rPr>
          <w:rFonts w:ascii="Arial" w:cs="Arial" w:eastAsia="Arial" w:hAnsi="Arial"/>
          <w:sz w:val="17"/>
          <w:szCs w:val="17"/>
          <w:color w:val="auto"/>
        </w:rPr>
      </w:pPr>
    </w:p>
    <w:p>
      <w:pPr>
        <w:jc w:val="both"/>
        <w:ind w:left="4" w:right="140" w:hanging="4"/>
        <w:spacing w:after="0" w:line="255" w:lineRule="auto"/>
        <w:tabs>
          <w:tab w:leader="none" w:pos="26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promptly advise Agent in writing of material infringements or any other event that could reasonably be expected to materially and adversely affect the value of its Intellectual Property material to Borrower’s business; and (iii) not allow any Intellectual Property material to Borrower’s business to be abandoned, forfeited or dedicated to the public without Agent’s written consent.</w:t>
      </w:r>
    </w:p>
    <w:p>
      <w:pPr>
        <w:spacing w:after="0" w:line="189" w:lineRule="exact"/>
        <w:rPr>
          <w:rFonts w:ascii="Arial" w:cs="Arial" w:eastAsia="Arial" w:hAnsi="Arial"/>
          <w:sz w:val="18"/>
          <w:szCs w:val="18"/>
          <w:color w:val="auto"/>
        </w:rPr>
      </w:pPr>
    </w:p>
    <w:p>
      <w:pPr>
        <w:ind w:left="1524" w:hanging="533"/>
        <w:spacing w:after="0"/>
        <w:tabs>
          <w:tab w:leader="none" w:pos="1524" w:val="left"/>
        </w:tabs>
        <w:numPr>
          <w:ilvl w:val="1"/>
          <w:numId w:val="257"/>
        </w:numPr>
        <w:rPr>
          <w:rFonts w:ascii="Arial" w:cs="Arial" w:eastAsia="Arial" w:hAnsi="Arial"/>
          <w:sz w:val="17"/>
          <w:szCs w:val="17"/>
          <w:color w:val="auto"/>
        </w:rPr>
      </w:pPr>
      <w:r>
        <w:rPr>
          <w:rFonts w:ascii="Arial" w:cs="Arial" w:eastAsia="Arial" w:hAnsi="Arial"/>
          <w:sz w:val="17"/>
          <w:szCs w:val="17"/>
          <w:color w:val="auto"/>
        </w:rPr>
        <w:t>Provide written notice to Agent within ten (10) days of entering or becoming bound by any Restricted License (other than</w:t>
      </w:r>
    </w:p>
    <w:p>
      <w:pPr>
        <w:spacing w:after="0" w:line="35"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over-the-counter software that is commercially available to the public). Borrower shall take such steps as Agent reasonably requests to obtain the consent of, or waiver by, any person whose consent or waiver is necessary for (i) any Restricted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Agent’s and the Lenders’ rights and remedies under this Agreement and the other Loan Documents.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0" w:right="459" w:bottom="1440" w:gutter="0" w:footer="0" w:header="0"/>
        </w:sectPr>
      </w:pPr>
    </w:p>
    <w:bookmarkStart w:id="287" w:name="page288"/>
    <w:bookmarkEnd w:id="287"/>
    <w:p>
      <w:pPr>
        <w:ind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Litigation Cooperation</w:t>
      </w:r>
      <w:r>
        <w:rPr>
          <w:rFonts w:ascii="Arial" w:cs="Arial" w:eastAsia="Arial" w:hAnsi="Arial"/>
          <w:sz w:val="18"/>
          <w:szCs w:val="18"/>
          <w:color w:val="auto"/>
        </w:rPr>
        <w:t>. From the date hereof and continuing through the termination of this Agreement, make available to Agent,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Agent or any Lender, Borrower and its officers, employees and agents and Borrower’s books and records, to the extent that Agent and/or the Lenders may deem them reasonably necessary to prosecute or defend any third-party suit or proceeding instituted by or against Agent and/or any Lender with respect to any Collateral or relating to Borrower.</w:t>
      </w:r>
    </w:p>
    <w:p>
      <w:pPr>
        <w:spacing w:after="0" w:line="180"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b w:val="1"/>
          <w:bCs w:val="1"/>
          <w:color w:val="auto"/>
        </w:rPr>
        <w:t>Access to Collateral; Books and Records</w:t>
      </w:r>
      <w:r>
        <w:rPr>
          <w:rFonts w:ascii="Arial" w:cs="Arial" w:eastAsia="Arial" w:hAnsi="Arial"/>
          <w:sz w:val="16"/>
          <w:szCs w:val="16"/>
          <w:color w:val="auto"/>
        </w:rPr>
        <w:t>. Allow Agent, or its agents, at reasonable times, on one (1) Business Day’s notice (provided no notice</w:t>
      </w:r>
      <w:r>
        <w:rPr>
          <w:rFonts w:ascii="Arial" w:cs="Arial" w:eastAsia="Arial" w:hAnsi="Arial"/>
          <w:sz w:val="16"/>
          <w:szCs w:val="16"/>
          <w:b w:val="1"/>
          <w:bCs w:val="1"/>
          <w:color w:val="auto"/>
        </w:rPr>
        <w:t xml:space="preserve"> </w:t>
      </w:r>
      <w:r>
        <w:rPr>
          <w:rFonts w:ascii="Arial" w:cs="Arial" w:eastAsia="Arial" w:hAnsi="Arial"/>
          <w:sz w:val="16"/>
          <w:szCs w:val="16"/>
          <w:color w:val="auto"/>
        </w:rPr>
        <w:t>is required if an Event of Default has occurred and is continuing), to inspect the Collateral and audit and copy Borrower’ Books. Such inspections or audits shall be conducted no more often than once every twelve (12) months (or more frequently as Agent in its sole but reasonable discretion determines that conditions warrant) unless an Event of Default has occurred and is continuing in which case such inspections and audits shall occur as often as Agent shall determine is necessary. The foregoing inspections and audits shall be at Borrower’ expense and the charge therefor shall be One Thousand Dollars ($1,000.00) per person per day (or such higher amount as shall represent Agent’s then-current standard charge for the same), plus reasonable out-of-pocket expenses. In the event Borrower and Agent schedule an audit more than eight (8) days in advance, and Borrower cancels or seeks to reschedule the audit with less than eight (8) days written notice to Agent, then (without limiting any of Agent’s or any Lender’s rights or remedies) Borrower shall pay Agent a fee of Two Thousand Dollars ($2,000.00) plus any out-of-pocket expenses incurred by Agent to compensate Agent for the anticipated costs and expenses of the cancellation or rescheduling.</w:t>
      </w:r>
    </w:p>
    <w:p>
      <w:pPr>
        <w:spacing w:after="0" w:line="161" w:lineRule="exact"/>
        <w:rPr>
          <w:sz w:val="20"/>
          <w:szCs w:val="20"/>
          <w:color w:val="auto"/>
        </w:rPr>
      </w:pPr>
    </w:p>
    <w:p>
      <w:pPr>
        <w:ind w:right="40" w:firstLine="440"/>
        <w:spacing w:after="0" w:line="274" w:lineRule="auto"/>
        <w:rPr>
          <w:sz w:val="20"/>
          <w:szCs w:val="20"/>
          <w:color w:val="auto"/>
        </w:rPr>
      </w:pPr>
      <w:r>
        <w:rPr>
          <w:rFonts w:ascii="Arial" w:cs="Arial" w:eastAsia="Arial" w:hAnsi="Arial"/>
          <w:sz w:val="17"/>
          <w:szCs w:val="17"/>
          <w:b w:val="1"/>
          <w:bCs w:val="1"/>
          <w:color w:val="auto"/>
        </w:rPr>
        <w:t>Further Assurances</w:t>
      </w:r>
      <w:r>
        <w:rPr>
          <w:rFonts w:ascii="Arial" w:cs="Arial" w:eastAsia="Arial" w:hAnsi="Arial"/>
          <w:sz w:val="17"/>
          <w:szCs w:val="17"/>
          <w:color w:val="auto"/>
        </w:rPr>
        <w:t>. Execute any further instruments and take further action as Agent and the Lenders reasonably request to perfect or continue</w:t>
      </w:r>
      <w:r>
        <w:rPr>
          <w:rFonts w:ascii="Arial" w:cs="Arial" w:eastAsia="Arial" w:hAnsi="Arial"/>
          <w:sz w:val="17"/>
          <w:szCs w:val="17"/>
          <w:b w:val="1"/>
          <w:bCs w:val="1"/>
          <w:color w:val="auto"/>
        </w:rPr>
        <w:t xml:space="preserve"> </w:t>
      </w:r>
      <w:r>
        <w:rPr>
          <w:rFonts w:ascii="Arial" w:cs="Arial" w:eastAsia="Arial" w:hAnsi="Arial"/>
          <w:sz w:val="17"/>
          <w:szCs w:val="17"/>
          <w:color w:val="auto"/>
        </w:rPr>
        <w:t>Agent’s Lien in the Collateral or to effect the purposes of this Agreement, including but not limited to, updating its Register of Mortgages and Charges to reflect the security interests granted over the Collateral. Deliver to Agent and the Lenders,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173"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6.11 Post-Closing Conditions</w:t>
      </w:r>
      <w:r>
        <w:rPr>
          <w:rFonts w:ascii="Arial" w:cs="Arial" w:eastAsia="Arial" w:hAnsi="Arial"/>
          <w:sz w:val="18"/>
          <w:szCs w:val="18"/>
          <w:color w:val="auto"/>
        </w:rPr>
        <w:t>. Within thirty (30) days after the Effective Date, Borrower shall deliver to Agent, evidence satisfactory to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insurance policies and endorsements required by Section 6.5 hereof are in full force and effect, together with appropriate evidence showing lender loss payable and/or additional insured clauses or endorsements in favor of Agent.</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Borrower shall not do any of the following without the prior written consent of the Lenders: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Dispositions</w:t>
      </w:r>
      <w:r>
        <w:rPr>
          <w:rFonts w:ascii="Arial" w:cs="Arial" w:eastAsia="Arial" w:hAnsi="Arial"/>
          <w:sz w:val="17"/>
          <w:szCs w:val="17"/>
          <w:color w:val="auto"/>
        </w:rPr>
        <w:t>. Convey, sell, lease, transfer, assign, or otherwise dispose of (including, without limitation, pursuant to a Division) (collectively,</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or permit any of its Subsidiaries to Transfer, all or any part of its business or property, except for Transfers (a) of Inventory in the ordinary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course of business; (b) of worn-out or obsolete Equipment that is, in the reasonable judgment of Borrower, no longer economically practicable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maintain or useful in the ordinary course of business of Borrower; (c) consisting of Permitted Liens, Permitted Investments, and transactions of the type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described in and permitted under Section 7.7; (d) of non-exclusive licenses for the use of the property of Borrower or its Subsidiaries in the ordinary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course of business and licenses that could not result in a legal transfer of title of the licensed property but that may be exclusive in respects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territory and that may be exclusive as to territory only as to discreet geographical areas outside of the United States; and (e) of other personal property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an aggregate value not to exceed One Hundred Thousand Dollars ($100,000.00) in any twelve (12) month period.</w:t>
      </w:r>
    </w:p>
    <w:p>
      <w:pPr>
        <w:spacing w:after="0" w:line="207" w:lineRule="exact"/>
        <w:rPr>
          <w:sz w:val="20"/>
          <w:szCs w:val="20"/>
          <w:color w:val="auto"/>
        </w:rPr>
      </w:pPr>
    </w:p>
    <w:p>
      <w:pPr>
        <w:jc w:val="both"/>
        <w:ind w:right="100" w:firstLine="440"/>
        <w:spacing w:after="0" w:line="281" w:lineRule="auto"/>
        <w:rPr>
          <w:sz w:val="20"/>
          <w:szCs w:val="20"/>
          <w:color w:val="auto"/>
        </w:rPr>
      </w:pPr>
      <w:r>
        <w:rPr>
          <w:rFonts w:ascii="Arial" w:cs="Arial" w:eastAsia="Arial" w:hAnsi="Arial"/>
          <w:sz w:val="17"/>
          <w:szCs w:val="17"/>
          <w:b w:val="1"/>
          <w:bCs w:val="1"/>
          <w:color w:val="auto"/>
        </w:rPr>
        <w:t>Changes in Business, Management, Control, or Business Locations</w:t>
      </w:r>
      <w:r>
        <w:rPr>
          <w:rFonts w:ascii="Arial" w:cs="Arial" w:eastAsia="Arial" w:hAnsi="Arial"/>
          <w:sz w:val="17"/>
          <w:szCs w:val="17"/>
          <w:color w:val="auto"/>
        </w:rPr>
        <w:t>. (a) Engage in or permit any of its Subsidiaries to engage in any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other than the businesses currently engaged in by Borrower and such Subsidiary, as applicable, or reasonably related thereto; (b) liquidate, wind-up or dissolve; (c) fail to provide notice to Agent and Lenders of any Key Person departing from or ceasing to be employed by Borrower within five (5) days after such Key Person’s departure from Borrower; or (d) permit or suffer any Change in Control.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288" w:name="page289"/>
    <w:bookmarkEnd w:id="288"/>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shall not, without at least fifteen (15) days prior written notice to Agent: (1) add any new offices or business locations, including</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warehouses (unless such new offices or business locations (other than clinical trial sites) contain less than Fifty Thousand Dollars ($50,000.00) in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Borrower’s assets or property) or deliver any portion of the Collateral valued, individually or in the aggregate, in excess of Fifty Thousand Dollars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($50,000.00) to a bailee at a location other than (x) to a bailee and at a location already disclosed in the Perfection Certificate or (y) to a clinical trial site,</w:t>
      </w:r>
    </w:p>
    <w:p>
      <w:pPr>
        <w:spacing w:after="0" w:line="32" w:lineRule="exact"/>
        <w:rPr>
          <w:sz w:val="20"/>
          <w:szCs w:val="20"/>
          <w:color w:val="auto"/>
        </w:rPr>
      </w:pPr>
    </w:p>
    <w:p>
      <w:pPr>
        <w:ind w:left="4" w:hanging="4"/>
        <w:spacing w:after="0" w:line="268" w:lineRule="auto"/>
        <w:tabs>
          <w:tab w:leader="none" w:pos="259" w:val="left"/>
        </w:tabs>
        <w:numPr>
          <w:ilvl w:val="0"/>
          <w:numId w:val="258"/>
        </w:numPr>
        <w:rPr>
          <w:rFonts w:ascii="Arial" w:cs="Arial" w:eastAsia="Arial" w:hAnsi="Arial"/>
          <w:sz w:val="17"/>
          <w:szCs w:val="17"/>
          <w:color w:val="auto"/>
        </w:rPr>
      </w:pPr>
      <w:r>
        <w:rPr>
          <w:rFonts w:ascii="Arial" w:cs="Arial" w:eastAsia="Arial" w:hAnsi="Arial"/>
          <w:sz w:val="17"/>
          <w:szCs w:val="17"/>
          <w:color w:val="auto"/>
        </w:rPr>
        <w:t>change its jurisdiction of organization, (3) change its organizational structure or type, (4) change its legal name, or (5) change any organizational number (if any) assigned by its jurisdiction of organization. If Borrower intends to add any new offices or business locations, including warehouses, containing in excess of Fifty Thousand Dollars ($50,000.00) of Borrower’s assets or property, then Borrower will use commercially reasonable efforts to cause such landlord to execute and deliver a landlord consent in form and substance reasonably satisfactory to Agent. If Borrower intends to deliver any portion of the Collateral valued, individually or in the aggregate, in excess of Fifty Thousand Dollars ($50,000.00)) to a bailee (other than clinical trial sites), and Agent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reasonably satisfactory to Agent.</w:t>
      </w:r>
    </w:p>
    <w:p>
      <w:pPr>
        <w:spacing w:after="0" w:line="179" w:lineRule="exact"/>
        <w:rPr>
          <w:sz w:val="20"/>
          <w:szCs w:val="20"/>
          <w:color w:val="auto"/>
        </w:rPr>
      </w:pPr>
    </w:p>
    <w:p>
      <w:pPr>
        <w:jc w:val="both"/>
        <w:ind w:left="4" w:right="220" w:firstLine="440"/>
        <w:spacing w:after="0" w:line="314" w:lineRule="auto"/>
        <w:rPr>
          <w:sz w:val="20"/>
          <w:szCs w:val="20"/>
          <w:color w:val="auto"/>
        </w:rPr>
      </w:pPr>
      <w:r>
        <w:rPr>
          <w:rFonts w:ascii="Arial" w:cs="Arial" w:eastAsia="Arial" w:hAnsi="Arial"/>
          <w:sz w:val="16"/>
          <w:szCs w:val="16"/>
          <w:b w:val="1"/>
          <w:bCs w:val="1"/>
          <w:color w:val="auto"/>
        </w:rPr>
        <w:t>Mergers or Acquisitions</w:t>
      </w:r>
      <w:r>
        <w:rPr>
          <w:rFonts w:ascii="Arial" w:cs="Arial" w:eastAsia="Arial" w:hAnsi="Arial"/>
          <w:sz w:val="16"/>
          <w:szCs w:val="16"/>
          <w:color w:val="auto"/>
        </w:rPr>
        <w:t>. Merge or consolidate, or permit any of its Subsidiaries to merge or consolidate, with any other Person, or acquire,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 any of its Subsidiaries to acquire, all or substantially all of the capital stock or property of another Person (including, without limitation, by the formation of any Subsidiary or pursuant to a Division). A Subsidiary may merge or consolidate into another Subsidiary or into Borrower.</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248"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b w:val="1"/>
          <w:bCs w:val="1"/>
          <w:color w:val="auto"/>
        </w:rPr>
        <w:t>Encumbrance</w:t>
      </w:r>
      <w:r>
        <w:rPr>
          <w:rFonts w:ascii="Arial" w:cs="Arial" w:eastAsia="Arial" w:hAnsi="Arial"/>
          <w:sz w:val="17"/>
          <w:szCs w:val="17"/>
          <w:color w:val="auto"/>
        </w:rPr>
        <w:t>. Create, incur, allow, or suffer any Lien on any of its property, or assign or convey any right to receive income, including the sale</w:t>
      </w:r>
      <w:r>
        <w:rPr>
          <w:rFonts w:ascii="Arial" w:cs="Arial" w:eastAsia="Arial" w:hAnsi="Arial"/>
          <w:sz w:val="17"/>
          <w:szCs w:val="17"/>
          <w:b w:val="1"/>
          <w:bCs w:val="1"/>
          <w:color w:val="auto"/>
        </w:rPr>
        <w:t xml:space="preserve"> </w:t>
      </w:r>
      <w:r>
        <w:rPr>
          <w:rFonts w:ascii="Arial" w:cs="Arial" w:eastAsia="Arial" w:hAnsi="Arial"/>
          <w:sz w:val="17"/>
          <w:szCs w:val="17"/>
          <w:color w:val="auto"/>
        </w:rPr>
        <w:t>of any Accounts, or permit any of its Subsidiaries to do so, except for Permitted Liens and Transfers permitted by Section 7.1, permit any Collateral not to be subject to the first priority security interest granted herein (which Collateral may be subject to Permitted Liens), or enter into any agreement, document, instrument or other arrangement (except with or in favor of Agent, for the ratable benefit of the Lenders)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 and customary restrictions on assignment, transfer and encumbrances in license agreements under which Borrower or a Subsidiary is the licensee.</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Maintenance of Collateral Accounts</w:t>
      </w:r>
      <w:r>
        <w:rPr>
          <w:rFonts w:ascii="Arial" w:cs="Arial" w:eastAsia="Arial" w:hAnsi="Arial"/>
          <w:sz w:val="18"/>
          <w:szCs w:val="18"/>
          <w:color w:val="auto"/>
        </w:rPr>
        <w:t>. Maintain any Collateral Account except pursuant to the terms of Section 6.6(b) hereof.</w:t>
      </w:r>
    </w:p>
    <w:p>
      <w:pPr>
        <w:spacing w:after="0" w:line="225"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b w:val="1"/>
          <w:bCs w:val="1"/>
          <w:color w:val="auto"/>
        </w:rPr>
        <w:t>Distributions; Investments</w:t>
      </w:r>
      <w:r>
        <w:rPr>
          <w:rFonts w:ascii="Arial" w:cs="Arial" w:eastAsia="Arial" w:hAnsi="Arial"/>
          <w:sz w:val="17"/>
          <w:szCs w:val="17"/>
          <w:color w:val="auto"/>
        </w:rPr>
        <w:t>. (a) Pay any dividends or make any distribution or payment or redeem, retire or purchase any capital stock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Borrower may (i) convert any of its convertible securities into other securities pursuant to the terms of such convertible securities or otherwise in exchange thereof and (ii) pay dividends solely in common stock; or (b) directly or indirectly make any Investment (including, without limitation, by the formation of any Subsidiary), or permit any of its Subsidiaries to do so, other than Permitted Investments.</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Transactions with Affiliates</w:t>
      </w:r>
      <w:r>
        <w:rPr>
          <w:rFonts w:ascii="Arial" w:cs="Arial" w:eastAsia="Arial" w:hAnsi="Arial"/>
          <w:sz w:val="16"/>
          <w:szCs w:val="16"/>
          <w:color w:val="auto"/>
        </w:rPr>
        <w:t>. Directly or indirectly enter into or permit to exist any material transaction with any Affiliate of Borrower, except for</w:t>
      </w:r>
    </w:p>
    <w:p>
      <w:pPr>
        <w:spacing w:after="0" w:line="50" w:lineRule="exact"/>
        <w:rPr>
          <w:sz w:val="20"/>
          <w:szCs w:val="20"/>
          <w:color w:val="auto"/>
        </w:rPr>
      </w:pPr>
    </w:p>
    <w:p>
      <w:pPr>
        <w:ind w:left="4" w:right="60" w:hanging="4"/>
        <w:spacing w:after="0" w:line="253" w:lineRule="auto"/>
        <w:tabs>
          <w:tab w:leader="none" w:pos="24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transactions that are in the ordinary course of Borrower’s business, upon fair and reasonable terms that are no less favorable to Borrower than would be obtained in an arm’s length transaction with a non-affiliated Person, (b) reasonable and customary compensation-related transactions or agreements or indemnification agreements in the ordinary course of business or otherwise approved by the Board or by Agent, and (c) transactions of the type described in and permitted under Section 7.7.</w:t>
      </w:r>
    </w:p>
    <w:p>
      <w:pPr>
        <w:spacing w:after="0" w:line="189" w:lineRule="exact"/>
        <w:rPr>
          <w:sz w:val="20"/>
          <w:szCs w:val="20"/>
          <w:color w:val="auto"/>
        </w:rPr>
      </w:pPr>
    </w:p>
    <w:p>
      <w:pPr>
        <w:ind w:left="4" w:right="320" w:firstLine="440"/>
        <w:spacing w:after="0" w:line="261" w:lineRule="auto"/>
        <w:rPr>
          <w:sz w:val="20"/>
          <w:szCs w:val="20"/>
          <w:color w:val="auto"/>
        </w:rPr>
      </w:pPr>
      <w:r>
        <w:rPr>
          <w:rFonts w:ascii="Arial" w:cs="Arial" w:eastAsia="Arial" w:hAnsi="Arial"/>
          <w:sz w:val="18"/>
          <w:szCs w:val="18"/>
          <w:b w:val="1"/>
          <w:bCs w:val="1"/>
          <w:color w:val="auto"/>
        </w:rPr>
        <w:t>Subordinated Debt</w:t>
      </w:r>
      <w:r>
        <w:rPr>
          <w:rFonts w:ascii="Arial" w:cs="Arial" w:eastAsia="Arial" w:hAnsi="Arial"/>
          <w:sz w:val="18"/>
          <w:szCs w:val="18"/>
          <w:color w:val="auto"/>
        </w:rPr>
        <w:t>. (a) Make or permit any payment on any Subordinated Debt, except under the terms of the subordination, intercreditor,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Agent and the Lenders.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89" w:name="page290"/>
    <w:bookmarkEnd w:id="289"/>
    <w:p>
      <w:pPr>
        <w:ind w:left="4" w:right="20"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w:t>
      </w:r>
      <w:r>
        <w:rPr>
          <w:rFonts w:ascii="Arial" w:cs="Arial" w:eastAsia="Arial" w:hAnsi="Arial"/>
          <w:sz w:val="17"/>
          <w:szCs w:val="17"/>
          <w:color w:val="auto"/>
        </w:rPr>
        <w:t>. Become an “investment company” or a company controlled by an “investment company”, under the Investment Company Act of</w:t>
      </w:r>
      <w:r>
        <w:rPr>
          <w:rFonts w:ascii="Arial" w:cs="Arial" w:eastAsia="Arial" w:hAnsi="Arial"/>
          <w:sz w:val="17"/>
          <w:szCs w:val="17"/>
          <w:b w:val="1"/>
          <w:bCs w:val="1"/>
          <w:color w:val="auto"/>
        </w:rPr>
        <w:t xml:space="preserve"> </w:t>
      </w:r>
      <w:r>
        <w:rPr>
          <w:rFonts w:ascii="Arial" w:cs="Arial" w:eastAsia="Arial" w:hAnsi="Arial"/>
          <w:sz w:val="17"/>
          <w:szCs w:val="17"/>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the failure of any of the conditions described in clauses (a) through (c) which could reasonably be expected to have a material adverse effect on Borrower’s business, or permit any of its Subsidiaries to do so; or violate any other law or regulation, if the violation could reasonably be expected to have a material adverse effect on Borrower’s business;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85"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117" w:lineRule="exact"/>
        <w:rPr>
          <w:sz w:val="20"/>
          <w:szCs w:val="20"/>
          <w:color w:val="auto"/>
        </w:rPr>
      </w:pPr>
    </w:p>
    <w:p>
      <w:pPr>
        <w:ind w:left="4" w:right="80" w:firstLine="440"/>
        <w:spacing w:after="0" w:line="261" w:lineRule="auto"/>
        <w:rPr>
          <w:sz w:val="20"/>
          <w:szCs w:val="20"/>
          <w:color w:val="auto"/>
        </w:rPr>
      </w:pPr>
      <w:r>
        <w:rPr>
          <w:rFonts w:ascii="Arial" w:cs="Arial" w:eastAsia="Arial" w:hAnsi="Arial"/>
          <w:sz w:val="18"/>
          <w:szCs w:val="18"/>
          <w:b w:val="1"/>
          <w:bCs w:val="1"/>
          <w:color w:val="auto"/>
        </w:rPr>
        <w:t>Payment Default</w:t>
      </w:r>
      <w:r>
        <w:rPr>
          <w:rFonts w:ascii="Arial" w:cs="Arial" w:eastAsia="Arial" w:hAnsi="Arial"/>
          <w:sz w:val="18"/>
          <w:szCs w:val="18"/>
          <w:color w:val="auto"/>
        </w:rPr>
        <w:t>. Borrower fails to (a) make any payment of principal or interest on any Credit Extension when due,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Covenant Default.</w:t>
      </w:r>
    </w:p>
    <w:p>
      <w:pPr>
        <w:spacing w:after="0" w:line="229" w:lineRule="exact"/>
        <w:rPr>
          <w:sz w:val="20"/>
          <w:szCs w:val="20"/>
          <w:color w:val="auto"/>
        </w:rPr>
      </w:pPr>
    </w:p>
    <w:p>
      <w:pPr>
        <w:ind w:left="984"/>
        <w:spacing w:after="0"/>
        <w:tabs>
          <w:tab w:leader="none" w:pos="13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Borrower fails or neglects to perform any obligation in Sections 6.2, 6.4, 6.5, 6.6, 6.7(b), or 6.11, or violates any covenant in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7; or</w:t>
      </w:r>
    </w:p>
    <w:p>
      <w:pPr>
        <w:spacing w:after="0" w:line="211" w:lineRule="exact"/>
        <w:rPr>
          <w:sz w:val="20"/>
          <w:szCs w:val="20"/>
          <w:color w:val="auto"/>
        </w:rPr>
      </w:pPr>
    </w:p>
    <w:p>
      <w:pPr>
        <w:ind w:left="4" w:firstLine="987"/>
        <w:spacing w:after="0" w:line="271" w:lineRule="auto"/>
        <w:tabs>
          <w:tab w:leader="none" w:pos="138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Material Adverse Change</w:t>
      </w:r>
      <w:r>
        <w:rPr>
          <w:rFonts w:ascii="Arial" w:cs="Arial" w:eastAsia="Arial" w:hAnsi="Arial"/>
          <w:sz w:val="18"/>
          <w:szCs w:val="18"/>
          <w:color w:val="auto"/>
        </w:rPr>
        <w:t>. A Material Adverse Change occurs;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Attachment; Levy; Restraint on Business.</w:t>
      </w:r>
    </w:p>
    <w:p>
      <w:pPr>
        <w:spacing w:after="0" w:line="229" w:lineRule="exact"/>
        <w:rPr>
          <w:sz w:val="20"/>
          <w:szCs w:val="20"/>
          <w:color w:val="auto"/>
        </w:rPr>
      </w:pPr>
    </w:p>
    <w:p>
      <w:pPr>
        <w:jc w:val="both"/>
        <w:ind w:left="4" w:right="60" w:firstLine="987"/>
        <w:spacing w:after="0" w:line="279" w:lineRule="auto"/>
        <w:tabs>
          <w:tab w:leader="none" w:pos="1375" w:val="left"/>
        </w:tabs>
        <w:numPr>
          <w:ilvl w:val="1"/>
          <w:numId w:val="261"/>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71" w:lineRule="exact"/>
        <w:rPr>
          <w:rFonts w:ascii="Arial" w:cs="Arial" w:eastAsia="Arial" w:hAnsi="Arial"/>
          <w:sz w:val="17"/>
          <w:szCs w:val="17"/>
          <w:color w:val="auto"/>
        </w:rPr>
      </w:pPr>
    </w:p>
    <w:p>
      <w:pPr>
        <w:ind w:left="1384" w:hanging="393"/>
        <w:spacing w:after="0"/>
        <w:tabs>
          <w:tab w:leader="none" w:pos="1384" w:val="left"/>
        </w:tabs>
        <w:numPr>
          <w:ilvl w:val="1"/>
          <w:numId w:val="261"/>
        </w:numPr>
        <w:rPr>
          <w:rFonts w:ascii="Arial" w:cs="Arial" w:eastAsia="Arial" w:hAnsi="Arial"/>
          <w:sz w:val="17"/>
          <w:szCs w:val="17"/>
          <w:color w:val="auto"/>
        </w:rPr>
      </w:pPr>
      <w:r>
        <w:rPr>
          <w:rFonts w:ascii="Arial" w:cs="Arial" w:eastAsia="Arial" w:hAnsi="Arial"/>
          <w:sz w:val="17"/>
          <w:szCs w:val="17"/>
          <w:color w:val="auto"/>
        </w:rPr>
        <w:t>(i) any material portion of Borrower’s assets is attached, seized, levied on, or comes into possession of a trustee or receiver, or</w:t>
      </w:r>
    </w:p>
    <w:p>
      <w:pPr>
        <w:spacing w:after="0" w:line="34" w:lineRule="exact"/>
        <w:rPr>
          <w:rFonts w:ascii="Arial" w:cs="Arial" w:eastAsia="Arial" w:hAnsi="Arial"/>
          <w:sz w:val="17"/>
          <w:szCs w:val="17"/>
          <w:color w:val="auto"/>
        </w:rPr>
      </w:pPr>
    </w:p>
    <w:p>
      <w:pPr>
        <w:ind w:left="264" w:hanging="264"/>
        <w:spacing w:after="0"/>
        <w:tabs>
          <w:tab w:leader="none" w:pos="26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court order enjoins, restrains, or prevents Borrower from conducting all or any material part of its business;</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0" w:right="479" w:bottom="1440" w:gutter="0" w:footer="0" w:header="0"/>
        </w:sectPr>
      </w:pPr>
    </w:p>
    <w:bookmarkStart w:id="290" w:name="page291"/>
    <w:bookmarkEnd w:id="290"/>
    <w:p>
      <w:pPr>
        <w:ind w:right="80"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Insolvency</w:t>
      </w:r>
      <w:r>
        <w:rPr>
          <w:rFonts w:ascii="Arial" w:cs="Arial" w:eastAsia="Arial" w:hAnsi="Arial"/>
          <w:sz w:val="16"/>
          <w:szCs w:val="16"/>
          <w:color w:val="auto"/>
        </w:rPr>
        <w:t>. (a) Borrower is unable to pay its debts (including trade debts) as they become due or otherwise becomes insolvent; (b)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begins an Insolvency Proceeding; or (c) an Insolvency Proceeding is begun against Borrower and is not dismissed or stayed within thirty (30) days (but no Credit Extensions shall be made while any of the conditions described in clause (a) exist and/or until any Insolvency Proceeding is dismissed);</w:t>
      </w:r>
    </w:p>
    <w:p>
      <w:pPr>
        <w:spacing w:after="0" w:line="142"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Other Agreement</w:t>
      </w:r>
      <w:r>
        <w:rPr>
          <w:rFonts w:ascii="Arial" w:cs="Arial" w:eastAsia="Arial" w:hAnsi="Arial"/>
          <w:sz w:val="17"/>
          <w:szCs w:val="17"/>
          <w:color w:val="auto"/>
        </w:rPr>
        <w:t>s. There is, under any agreement to which Borrower or any Guarantor is a party with a third party or parties, (a) any default</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individually or in the aggregate in excess of Two Hundred Fifty Thousand Dollars ($250,000.00); or (b) any breach or default by Borrower or Guarantor, the result of which could reasonably be expected to have a material adverse effect on Borrower’s or any Guarantor’s business;</w:t>
      </w:r>
    </w:p>
    <w:p>
      <w:pPr>
        <w:spacing w:after="0" w:line="165"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Judgments; Penalties</w:t>
      </w:r>
      <w:r>
        <w:rPr>
          <w:rFonts w:ascii="Arial" w:cs="Arial" w:eastAsia="Arial" w:hAnsi="Arial"/>
          <w:sz w:val="17"/>
          <w:szCs w:val="17"/>
          <w:color w:val="auto"/>
        </w:rPr>
        <w:t>. One or more fines, penalties or final judgments, orders or decrees for the payment of money in an amount, individually or</w:t>
      </w:r>
      <w:r>
        <w:rPr>
          <w:rFonts w:ascii="Arial" w:cs="Arial" w:eastAsia="Arial" w:hAnsi="Arial"/>
          <w:sz w:val="17"/>
          <w:szCs w:val="17"/>
          <w:b w:val="1"/>
          <w:bCs w:val="1"/>
          <w:color w:val="auto"/>
        </w:rPr>
        <w:t xml:space="preserve"> </w:t>
      </w:r>
      <w:r>
        <w:rPr>
          <w:rFonts w:ascii="Arial" w:cs="Arial" w:eastAsia="Arial" w:hAnsi="Arial"/>
          <w:sz w:val="17"/>
          <w:szCs w:val="17"/>
          <w:color w:val="auto"/>
        </w:rPr>
        <w:t>in the aggregate, of at least Fifty Thousand Dollars ($50,000.00)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Misrepresentations</w:t>
      </w:r>
      <w:r>
        <w:rPr>
          <w:rFonts w:ascii="Arial" w:cs="Arial" w:eastAsia="Arial" w:hAnsi="Arial"/>
          <w:sz w:val="16"/>
          <w:szCs w:val="16"/>
          <w:color w:val="auto"/>
        </w:rPr>
        <w:t>. Borrower or any Person acting for Borrower makes any representation, warranty, or other statement now or later in this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Agreement, any Loan Document or in any writing delivered to Agent or any Lender or to induce Agent or any Lender to enter this Agreement or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 Document, and such representation, warranty, or other statement is incorrect in any material respect when made;</w:t>
      </w:r>
    </w:p>
    <w:p>
      <w:pPr>
        <w:spacing w:after="0" w:line="207"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 xml:space="preserve">Guaranty. </w:t>
      </w:r>
      <w:r>
        <w:rPr>
          <w:rFonts w:ascii="Arial" w:cs="Arial" w:eastAsia="Arial" w:hAnsi="Arial"/>
          <w:sz w:val="18"/>
          <w:szCs w:val="18"/>
          <w:color w:val="auto"/>
        </w:rPr>
        <w:t>(a)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 (c) any circumstance described in Sections 8.3, 8.4, 8.5, 8.6, 8.7, or 8.8 of this Agreement occurs with respect to any Guarantor, (d) the liquidation, winding up, or termination of existence of any Guarantor; or (e) (i) a material impairment in the perfection or priority of Agent’s, for the ratable benefit of the Lenders’, Lien in the collateral provided by Guarantor or in the value of such collateral or (ii) a material adverse change in the general affairs, management, results of operation, financial condition or the prospect of repayment of the Obligations occurs with respect to any Guarantor;</w:t>
      </w:r>
    </w:p>
    <w:p>
      <w:pPr>
        <w:spacing w:after="0" w:line="187" w:lineRule="exact"/>
        <w:rPr>
          <w:sz w:val="20"/>
          <w:szCs w:val="20"/>
          <w:color w:val="auto"/>
        </w:rPr>
      </w:pPr>
    </w:p>
    <w:p>
      <w:pPr>
        <w:jc w:val="both"/>
        <w:ind w:firstLine="440"/>
        <w:spacing w:after="0" w:line="261" w:lineRule="auto"/>
        <w:rPr>
          <w:sz w:val="20"/>
          <w:szCs w:val="20"/>
          <w:color w:val="auto"/>
        </w:rPr>
      </w:pPr>
      <w:r>
        <w:rPr>
          <w:rFonts w:ascii="Arial" w:cs="Arial" w:eastAsia="Arial" w:hAnsi="Arial"/>
          <w:sz w:val="18"/>
          <w:szCs w:val="18"/>
          <w:b w:val="1"/>
          <w:bCs w:val="1"/>
          <w:color w:val="auto"/>
        </w:rPr>
        <w:t>Subordinated Debt</w:t>
      </w:r>
      <w:r>
        <w:rPr>
          <w:rFonts w:ascii="Arial" w:cs="Arial" w:eastAsia="Arial" w:hAnsi="Arial"/>
          <w:sz w:val="18"/>
          <w:szCs w:val="18"/>
          <w:color w:val="auto"/>
        </w:rPr>
        <w:t>. Any subordination, intercreditor, or other similar agreement evidencing the subordination of any Subordinated Debt shall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be 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w:t>
      </w:r>
    </w:p>
    <w:p>
      <w:pPr>
        <w:spacing w:after="0" w:line="180"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b w:val="1"/>
          <w:bCs w:val="1"/>
          <w:color w:val="auto"/>
        </w:rPr>
        <w:t>Governmental Approvals</w:t>
      </w:r>
      <w:r>
        <w:rPr>
          <w:rFonts w:ascii="Arial" w:cs="Arial" w:eastAsia="Arial" w:hAnsi="Arial"/>
          <w:sz w:val="18"/>
          <w:szCs w:val="18"/>
          <w:color w:val="auto"/>
        </w:rPr>
        <w:t>. Any Governmental Approval shall have been (a)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 or could reasonably be expected to cause, a Material Adverse Change, or (ii) adversely affects the legal qualifications of Borrower or any of its Subsidiaries to hold such Governmental Approval in any applicable jurisdiction and such revocation, rescission, suspension, modification or non-renewal could reasonably be expected to adversely affect the status of or legal qualifications of Borrower or any of its Subsidiaries to hold any Governmental Approval in any other jurisdiction; or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Termination of the License Agreement</w:t>
      </w:r>
      <w:r>
        <w:rPr>
          <w:rFonts w:ascii="Arial" w:cs="Arial" w:eastAsia="Arial" w:hAnsi="Arial"/>
          <w:sz w:val="18"/>
          <w:szCs w:val="18"/>
          <w:color w:val="auto"/>
        </w:rPr>
        <w:t>. The License Agreement is terminated without the prior written consent of the Lenders.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0" w:right="479" w:bottom="1440" w:gutter="0" w:footer="0" w:header="0"/>
        </w:sectPr>
      </w:pPr>
    </w:p>
    <w:bookmarkStart w:id="291" w:name="page292"/>
    <w:bookmarkEnd w:id="291"/>
    <w:p>
      <w:pPr>
        <w:ind w:left="4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AND REMEDIES</w:t>
      </w:r>
    </w:p>
    <w:p>
      <w:pPr>
        <w:spacing w:after="0" w:line="117" w:lineRule="exact"/>
        <w:rPr>
          <w:sz w:val="20"/>
          <w:szCs w:val="20"/>
          <w:color w:val="auto"/>
        </w:rPr>
      </w:pPr>
    </w:p>
    <w:p>
      <w:pPr>
        <w:ind w:right="540" w:firstLine="440"/>
        <w:spacing w:after="0" w:line="266" w:lineRule="auto"/>
        <w:rPr>
          <w:sz w:val="20"/>
          <w:szCs w:val="20"/>
          <w:color w:val="auto"/>
        </w:rPr>
      </w:pPr>
      <w:r>
        <w:rPr>
          <w:rFonts w:ascii="Arial" w:cs="Arial" w:eastAsia="Arial" w:hAnsi="Arial"/>
          <w:sz w:val="18"/>
          <w:szCs w:val="18"/>
          <w:b w:val="1"/>
          <w:bCs w:val="1"/>
          <w:color w:val="auto"/>
        </w:rPr>
        <w:t>Rights and Remedies</w:t>
      </w:r>
      <w:r>
        <w:rPr>
          <w:rFonts w:ascii="Arial" w:cs="Arial" w:eastAsia="Arial" w:hAnsi="Arial"/>
          <w:sz w:val="18"/>
          <w:szCs w:val="18"/>
          <w:color w:val="auto"/>
        </w:rPr>
        <w:t>. Upon the occurrence and during the continuance of an Event of Default, Agent, in accordance with the Lender</w:t>
      </w:r>
      <w:r>
        <w:rPr>
          <w:rFonts w:ascii="Arial" w:cs="Arial" w:eastAsia="Arial" w:hAnsi="Arial"/>
          <w:sz w:val="18"/>
          <w:szCs w:val="18"/>
          <w:b w:val="1"/>
          <w:bCs w:val="1"/>
          <w:color w:val="auto"/>
        </w:rPr>
        <w:t xml:space="preserve"> </w:t>
      </w:r>
      <w:r>
        <w:rPr>
          <w:rFonts w:ascii="Arial" w:cs="Arial" w:eastAsia="Arial" w:hAnsi="Arial"/>
          <w:sz w:val="18"/>
          <w:szCs w:val="18"/>
          <w:color w:val="auto"/>
        </w:rPr>
        <w:t>Intercreditor Agreement or, if such rights and remedies are not addressed in the Lender Intercreditor Agreement, as directed by Lenders having a majority of the Obligations, may, without notice or demand, do any or all of the following:</w:t>
      </w:r>
    </w:p>
    <w:p>
      <w:pPr>
        <w:spacing w:after="0" w:line="72" w:lineRule="exact"/>
        <w:rPr>
          <w:sz w:val="20"/>
          <w:szCs w:val="20"/>
          <w:color w:val="auto"/>
        </w:rPr>
      </w:pPr>
    </w:p>
    <w:p>
      <w:pPr>
        <w:ind w:right="100" w:firstLine="987"/>
        <w:spacing w:after="0" w:line="277" w:lineRule="auto"/>
        <w:tabs>
          <w:tab w:leader="none" w:pos="146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Agent or any Lender);</w:t>
      </w:r>
    </w:p>
    <w:p>
      <w:pPr>
        <w:spacing w:after="0" w:line="170" w:lineRule="exact"/>
        <w:rPr>
          <w:rFonts w:ascii="Arial" w:cs="Arial" w:eastAsia="Arial" w:hAnsi="Arial"/>
          <w:sz w:val="18"/>
          <w:szCs w:val="18"/>
          <w:color w:val="auto"/>
        </w:rPr>
      </w:pPr>
    </w:p>
    <w:p>
      <w:pPr>
        <w:ind w:right="420" w:firstLine="987"/>
        <w:spacing w:after="0" w:line="277" w:lineRule="auto"/>
        <w:tabs>
          <w:tab w:leader="none" w:pos="156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stop advancing money or extending credit for Borrower’s benefit under this Agreement or under any other agreement among Borrower, Agent, and/or any Lenders;</w:t>
      </w:r>
    </w:p>
    <w:p>
      <w:pPr>
        <w:spacing w:after="0" w:line="170" w:lineRule="exact"/>
        <w:rPr>
          <w:rFonts w:ascii="Arial" w:cs="Arial" w:eastAsia="Arial" w:hAnsi="Arial"/>
          <w:sz w:val="18"/>
          <w:szCs w:val="18"/>
          <w:color w:val="auto"/>
        </w:rPr>
      </w:pPr>
    </w:p>
    <w:p>
      <w:pPr>
        <w:ind w:right="40" w:firstLine="987"/>
        <w:spacing w:after="0" w:line="254" w:lineRule="auto"/>
        <w:tabs>
          <w:tab w:leader="none" w:pos="156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demand that Borrower (i) deposit cash with SVB in an amount equal to at least (A) one hundred five percent (105.0%) of the Dollar Equivalent of the aggregate face amount of all Letters of Credit denominated in Dollars remaining undrawn, and (B) one hundred ten percent (110.0%) of the Dollar Equivalent of the aggregate face amount of all Letters of Credit denominated in a Foreign Currency remaining undrawn (plus, in each case, all interest, fees, and costs due or to become due in connection therewith (as estimated by SVB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94" w:lineRule="exact"/>
        <w:rPr>
          <w:rFonts w:ascii="Arial" w:cs="Arial" w:eastAsia="Arial" w:hAnsi="Arial"/>
          <w:sz w:val="18"/>
          <w:szCs w:val="18"/>
          <w:color w:val="auto"/>
        </w:rPr>
      </w:pPr>
    </w:p>
    <w:p>
      <w:pPr>
        <w:ind w:left="1440" w:hanging="453"/>
        <w:spacing w:after="0"/>
        <w:tabs>
          <w:tab w:leader="none" w:pos="14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rFonts w:ascii="Arial" w:cs="Arial" w:eastAsia="Arial" w:hAnsi="Arial"/>
          <w:sz w:val="18"/>
          <w:szCs w:val="18"/>
          <w:color w:val="auto"/>
        </w:rPr>
      </w:pPr>
    </w:p>
    <w:p>
      <w:pPr>
        <w:ind w:firstLine="987"/>
        <w:spacing w:after="0" w:line="257" w:lineRule="auto"/>
        <w:tabs>
          <w:tab w:leader="none" w:pos="144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verify the amount of, demand payment of and performance under, and collect any Accounts and General Intangibles, settle or adjust disputes and claims directly with Account Debtors for amounts on terms and in any order that Agent and/or the Lenders consider advisable, and notify any Person owing Borrower money of Agent’s security interest in such funds. Borrower shall collect all payments in trust for Agent, for the ratable benefit of the Lenders and, if requested by Agent, immediately deliver the payments to Agent, for the ratable benefit of the Lenders in the form received from the Account Debtor, with proper endorsements for deposit;</w:t>
      </w:r>
    </w:p>
    <w:p>
      <w:pPr>
        <w:spacing w:after="0" w:line="187" w:lineRule="exact"/>
        <w:rPr>
          <w:rFonts w:ascii="Arial" w:cs="Arial" w:eastAsia="Arial" w:hAnsi="Arial"/>
          <w:sz w:val="18"/>
          <w:szCs w:val="18"/>
          <w:color w:val="auto"/>
        </w:rPr>
      </w:pPr>
    </w:p>
    <w:p>
      <w:pPr>
        <w:ind w:right="40" w:firstLine="987"/>
        <w:spacing w:after="0" w:line="275" w:lineRule="auto"/>
        <w:tabs>
          <w:tab w:leader="none" w:pos="1561" w:val="left"/>
        </w:tabs>
        <w:numPr>
          <w:ilvl w:val="0"/>
          <w:numId w:val="263"/>
        </w:numPr>
        <w:rPr>
          <w:rFonts w:ascii="Arial" w:cs="Arial" w:eastAsia="Arial" w:hAnsi="Arial"/>
          <w:sz w:val="17"/>
          <w:szCs w:val="17"/>
          <w:color w:val="auto"/>
        </w:rPr>
      </w:pPr>
      <w:r>
        <w:rPr>
          <w:rFonts w:ascii="Arial" w:cs="Arial" w:eastAsia="Arial" w:hAnsi="Arial"/>
          <w:sz w:val="17"/>
          <w:szCs w:val="17"/>
          <w:color w:val="auto"/>
        </w:rPr>
        <w:t>make any payments and do any acts Agent or any Lender considers necessary or reasonable to protect the Collateral and/or its security interest in the Collateral. Borrower shall assemble the Collateral if Agent requests and make it available as Agent designates. Agent may enter premises where the Collateral is located, take and maintain possession of any part of the Collateral, and pay, purchase, contest, or compromise any Lien which appears to be prior or superior to its security interest or charges and pay all expenses incurred. Borrower grants Agent a license to enter and occupy any of its premises, without charge, to exercise any of Agent’s rights or remedies;</w:t>
      </w:r>
    </w:p>
    <w:p>
      <w:pPr>
        <w:spacing w:after="0" w:line="176" w:lineRule="exact"/>
        <w:rPr>
          <w:rFonts w:ascii="Arial" w:cs="Arial" w:eastAsia="Arial" w:hAnsi="Arial"/>
          <w:sz w:val="17"/>
          <w:szCs w:val="17"/>
          <w:color w:val="auto"/>
        </w:rPr>
      </w:pPr>
    </w:p>
    <w:p>
      <w:pPr>
        <w:ind w:right="320" w:firstLine="987"/>
        <w:spacing w:after="0" w:line="277" w:lineRule="auto"/>
        <w:tabs>
          <w:tab w:leader="none" w:pos="1441"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Agent owing to or for the credit or the account of Borrower;</w:t>
      </w:r>
    </w:p>
    <w:p>
      <w:pPr>
        <w:spacing w:after="0" w:line="170" w:lineRule="exact"/>
        <w:rPr>
          <w:rFonts w:ascii="Arial" w:cs="Arial" w:eastAsia="Arial" w:hAnsi="Arial"/>
          <w:sz w:val="18"/>
          <w:szCs w:val="18"/>
          <w:color w:val="auto"/>
        </w:rPr>
      </w:pPr>
    </w:p>
    <w:p>
      <w:pPr>
        <w:ind w:firstLine="987"/>
        <w:spacing w:after="0" w:line="296" w:lineRule="auto"/>
        <w:tabs>
          <w:tab w:leader="none" w:pos="171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ship, reclaim, recover, store, finish, maintain, repair, prepare for sale, advertise for sale, and sell the Collateral. Agent, for the benefit of the Lenders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Borrower’s rights under all licenses and all franchise agreements inure to Agent, for the ratable benefit of the Lenders;</w:t>
      </w:r>
    </w:p>
    <w:p>
      <w:pPr>
        <w:spacing w:after="0" w:line="161" w:lineRule="exact"/>
        <w:rPr>
          <w:rFonts w:ascii="Arial" w:cs="Arial" w:eastAsia="Arial" w:hAnsi="Arial"/>
          <w:sz w:val="16"/>
          <w:szCs w:val="16"/>
          <w:color w:val="auto"/>
        </w:rPr>
      </w:pPr>
    </w:p>
    <w:p>
      <w:pPr>
        <w:ind w:right="380" w:firstLine="987"/>
        <w:spacing w:after="0" w:line="342" w:lineRule="auto"/>
        <w:tabs>
          <w:tab w:leader="none" w:pos="1561" w:val="left"/>
        </w:tabs>
        <w:numPr>
          <w:ilvl w:val="0"/>
          <w:numId w:val="263"/>
        </w:numPr>
        <w:rPr>
          <w:rFonts w:ascii="Arial" w:cs="Arial" w:eastAsia="Arial" w:hAnsi="Arial"/>
          <w:sz w:val="16"/>
          <w:szCs w:val="16"/>
          <w:color w:val="auto"/>
        </w:rPr>
      </w:pPr>
      <w:r>
        <w:rPr>
          <w:rFonts w:ascii="Arial" w:cs="Arial" w:eastAsia="Arial" w:hAnsi="Arial"/>
          <w:sz w:val="16"/>
          <w:szCs w:val="16"/>
          <w:color w:val="auto"/>
        </w:rPr>
        <w:t>place a “hold” on any account maintained with Agent or Lenders and/or deliver a notice of exclusive control, any entitlement order, or other directions or instructions pursuant to any Control Agreement or similar agreements providing control of any Collateral;</w:t>
      </w:r>
    </w:p>
    <w:p>
      <w:pPr>
        <w:spacing w:after="0" w:line="123" w:lineRule="exact"/>
        <w:rPr>
          <w:rFonts w:ascii="Arial" w:cs="Arial" w:eastAsia="Arial" w:hAnsi="Arial"/>
          <w:sz w:val="16"/>
          <w:szCs w:val="16"/>
          <w:color w:val="auto"/>
        </w:rPr>
      </w:pPr>
    </w:p>
    <w:p>
      <w:pPr>
        <w:ind w:left="1560" w:hanging="573"/>
        <w:spacing w:after="0"/>
        <w:tabs>
          <w:tab w:leader="none" w:pos="15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0" w:right="499" w:bottom="1440" w:gutter="0" w:footer="0" w:header="0"/>
        </w:sectPr>
      </w:pPr>
    </w:p>
    <w:bookmarkStart w:id="292" w:name="page293"/>
    <w:bookmarkEnd w:id="292"/>
    <w:p>
      <w:pPr>
        <w:ind w:left="4" w:right="280" w:firstLine="987"/>
        <w:spacing w:after="0" w:line="277" w:lineRule="auto"/>
        <w:tabs>
          <w:tab w:leader="none" w:pos="1565"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all rights and remedies available to Agent and the Lenders under the Loan Documents or at law or equity, including all remedies provided under the Code (including disposal of the Collateral pursuant to the terms thereof).</w:t>
      </w:r>
    </w:p>
    <w:p>
      <w:pPr>
        <w:spacing w:after="0" w:line="166" w:lineRule="exact"/>
        <w:rPr>
          <w:sz w:val="20"/>
          <w:szCs w:val="20"/>
          <w:color w:val="auto"/>
        </w:rPr>
      </w:pPr>
    </w:p>
    <w:p>
      <w:pPr>
        <w:ind w:left="4" w:right="20" w:firstLine="440"/>
        <w:spacing w:after="0" w:line="293" w:lineRule="auto"/>
        <w:rPr>
          <w:sz w:val="20"/>
          <w:szCs w:val="20"/>
          <w:color w:val="auto"/>
        </w:rPr>
      </w:pPr>
      <w:r>
        <w:rPr>
          <w:rFonts w:ascii="Arial" w:cs="Arial" w:eastAsia="Arial" w:hAnsi="Arial"/>
          <w:sz w:val="16"/>
          <w:szCs w:val="16"/>
          <w:b w:val="1"/>
          <w:bCs w:val="1"/>
          <w:color w:val="auto"/>
        </w:rPr>
        <w:t>Power of Attorney</w:t>
      </w:r>
      <w:r>
        <w:rPr>
          <w:rFonts w:ascii="Arial" w:cs="Arial" w:eastAsia="Arial" w:hAnsi="Arial"/>
          <w:sz w:val="16"/>
          <w:szCs w:val="16"/>
          <w:color w:val="auto"/>
        </w:rPr>
        <w:t>. Borrower hereby irrevocably appoints Agent, for the benefit of the Lenders, as its lawful attorney-in-fact, exercisable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occurrence and during the continuance of an Event of Default, to: (a) endorse Borrower’s name on any checks or other forms of payment or security;</w:t>
      </w:r>
    </w:p>
    <w:p>
      <w:pPr>
        <w:spacing w:after="0" w:line="1" w:lineRule="exact"/>
        <w:rPr>
          <w:sz w:val="20"/>
          <w:szCs w:val="20"/>
          <w:color w:val="auto"/>
        </w:rPr>
      </w:pPr>
    </w:p>
    <w:p>
      <w:pPr>
        <w:ind w:left="4" w:hanging="4"/>
        <w:spacing w:after="0" w:line="286" w:lineRule="auto"/>
        <w:tabs>
          <w:tab w:leader="none" w:pos="25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sign Borrower’s name on any invoice or bill of lading for any Account or drafts against Account Debtors; (c) settle and adjust disputes and claims about the Accounts directly with Account Debtors, for amounts and on terms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Agent or a third party as the Code permits. Borrower hereby appoints Agent as its lawful attorney-in-fact to sign Borrower’s name on any documents necessary to perfect or continue the perfection of Agent’s security interest in the Collateral regardless of whether an Event of Default has occurred until all Obligations (other than inchoate indemnity obligations) have been satisfied in full and Lenders are under no further obligation to make Credit Extensions hereunder. Agent’s foregoing appointment as Borrower’s attorney in fact, and all of Agent’s rights and powers, coupled with an interest, are irrevocable until all Obligations have been fully repaid and performed and each Lender’s obligation to provide Credit Extensions terminates.</w:t>
      </w:r>
    </w:p>
    <w:p>
      <w:pPr>
        <w:spacing w:after="0" w:line="168" w:lineRule="exact"/>
        <w:rPr>
          <w:sz w:val="20"/>
          <w:szCs w:val="20"/>
          <w:color w:val="auto"/>
        </w:rPr>
      </w:pPr>
    </w:p>
    <w:p>
      <w:pPr>
        <w:ind w:left="4" w:right="100" w:firstLine="440"/>
        <w:spacing w:after="0" w:line="294" w:lineRule="auto"/>
        <w:rPr>
          <w:sz w:val="20"/>
          <w:szCs w:val="20"/>
          <w:color w:val="auto"/>
        </w:rPr>
      </w:pPr>
      <w:r>
        <w:rPr>
          <w:rFonts w:ascii="Arial" w:cs="Arial" w:eastAsia="Arial" w:hAnsi="Arial"/>
          <w:sz w:val="16"/>
          <w:szCs w:val="16"/>
          <w:b w:val="1"/>
          <w:bCs w:val="1"/>
          <w:color w:val="auto"/>
        </w:rPr>
        <w:t>Protective Payments</w:t>
      </w:r>
      <w:r>
        <w:rPr>
          <w:rFonts w:ascii="Arial" w:cs="Arial" w:eastAsia="Arial" w:hAnsi="Arial"/>
          <w:sz w:val="16"/>
          <w:szCs w:val="16"/>
          <w:color w:val="auto"/>
        </w:rPr>
        <w:t>. If Borrower fails to obtain the insurance called for by Section 6.5 or fails to pay any premium thereon or fails to pay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amount which Borrower is obligated to pay under this Agreement or any other Loan Document or which may be required to preserve the Collateral, Agent may obtain such insurance or make such payment, and all amounts so paid by Agent are Lenders’ Expenses and immediately due and payable, bearing interest at the then highest rate applicable to the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or Lender’s waiver of any Event of Default.</w:t>
      </w:r>
    </w:p>
    <w:p>
      <w:pPr>
        <w:spacing w:after="0" w:line="160"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b w:val="1"/>
          <w:bCs w:val="1"/>
          <w:color w:val="auto"/>
        </w:rPr>
        <w:t>Application of Payments and Proceeds Upon Default</w:t>
      </w:r>
      <w:r>
        <w:rPr>
          <w:rFonts w:ascii="Arial" w:cs="Arial" w:eastAsia="Arial" w:hAnsi="Arial"/>
          <w:sz w:val="18"/>
          <w:szCs w:val="18"/>
          <w:color w:val="auto"/>
        </w:rPr>
        <w:t>. If an Event of Default has occurred and is continuing, Agent shall have the right to apply</w:t>
      </w:r>
      <w:r>
        <w:rPr>
          <w:rFonts w:ascii="Arial" w:cs="Arial" w:eastAsia="Arial" w:hAnsi="Arial"/>
          <w:sz w:val="18"/>
          <w:szCs w:val="18"/>
          <w:b w:val="1"/>
          <w:bCs w:val="1"/>
          <w:color w:val="auto"/>
        </w:rPr>
        <w:t xml:space="preserve"> </w:t>
      </w:r>
      <w:r>
        <w:rPr>
          <w:rFonts w:ascii="Arial" w:cs="Arial" w:eastAsia="Arial" w:hAnsi="Arial"/>
          <w:sz w:val="18"/>
          <w:szCs w:val="18"/>
          <w:color w:val="auto"/>
        </w:rPr>
        <w:t>in any order any funds in its possession, whether from Borrower’s account balances, payments, proceeds realized as the result of any collection of Accounts or other disposition of the Collateral, or otherwise, to the Obligations. Agent shall pay any surplus to Borrower by credit to the Designated Deposit Account or to other Persons legally entitled thereto; Borrower shall remain liable to Agent and the Lenders for any deficiency. If Agent, directly or indirectly, enters into a deferred payment or other credit transaction with any purchaser at any sale of Collateral, Agent shall have the option, exercisable at any time, of either reducing the Obligations by the principal amount of the purchase price or deferring the reduction of the Obligations until the actual receipt by Agent of cash therefor.</w:t>
      </w:r>
    </w:p>
    <w:p>
      <w:pPr>
        <w:spacing w:after="0" w:line="189" w:lineRule="exact"/>
        <w:rPr>
          <w:sz w:val="20"/>
          <w:szCs w:val="20"/>
          <w:color w:val="auto"/>
        </w:rPr>
      </w:pPr>
    </w:p>
    <w:p>
      <w:pPr>
        <w:ind w:left="4" w:right="180" w:firstLine="440"/>
        <w:spacing w:after="0" w:line="261" w:lineRule="auto"/>
        <w:rPr>
          <w:sz w:val="20"/>
          <w:szCs w:val="20"/>
          <w:color w:val="auto"/>
        </w:rPr>
      </w:pPr>
      <w:r>
        <w:rPr>
          <w:rFonts w:ascii="Arial" w:cs="Arial" w:eastAsia="Arial" w:hAnsi="Arial"/>
          <w:sz w:val="18"/>
          <w:szCs w:val="18"/>
          <w:b w:val="1"/>
          <w:bCs w:val="1"/>
          <w:color w:val="auto"/>
        </w:rPr>
        <w:t>Liability for Collateral</w:t>
      </w:r>
      <w:r>
        <w:rPr>
          <w:rFonts w:ascii="Arial" w:cs="Arial" w:eastAsia="Arial" w:hAnsi="Arial"/>
          <w:sz w:val="18"/>
          <w:szCs w:val="18"/>
          <w:color w:val="auto"/>
        </w:rPr>
        <w:t>. So long as Agent and Lenders comply with reasonable banking practices regarding the safekeeping of the Collateral in</w:t>
      </w:r>
      <w:r>
        <w:rPr>
          <w:rFonts w:ascii="Arial" w:cs="Arial" w:eastAsia="Arial" w:hAnsi="Arial"/>
          <w:sz w:val="18"/>
          <w:szCs w:val="18"/>
          <w:b w:val="1"/>
          <w:bCs w:val="1"/>
          <w:color w:val="auto"/>
        </w:rPr>
        <w:t xml:space="preserve"> </w:t>
      </w:r>
      <w:r>
        <w:rPr>
          <w:rFonts w:ascii="Arial" w:cs="Arial" w:eastAsia="Arial" w:hAnsi="Arial"/>
          <w:sz w:val="18"/>
          <w:szCs w:val="18"/>
          <w:color w:val="auto"/>
        </w:rPr>
        <w:t>their possession or under the control of Agent and/or Lenders, Agent and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b w:val="1"/>
          <w:bCs w:val="1"/>
          <w:color w:val="auto"/>
        </w:rPr>
        <w:t>No Waiver; Remedies Cumulative</w:t>
      </w:r>
      <w:r>
        <w:rPr>
          <w:rFonts w:ascii="Arial" w:cs="Arial" w:eastAsia="Arial" w:hAnsi="Arial"/>
          <w:sz w:val="16"/>
          <w:szCs w:val="16"/>
          <w:color w:val="auto"/>
        </w:rPr>
        <w:t>. Agent’s and any Lender’s failure, at any time or times, to require strict performance by Borrower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Agreement or any other Loan Document shall not waive, affect, or diminish any right of Agent or any Lender thereafter to demand strict performance and compliance herewith or therewith. No waiver hereunder shall be effective unless signed by the party granting the waiver and then is only effective for the specific instance and purpose for which it is given. Agent’s and each Lender’s rights and remedies under this Agreement and the other Loan Documents are cumulative. Agent and each Lender have all rights and remedies provided under the Code, by law, or in equity. Agent’s or any Lender’s exercise of one right or remedy is not an election and shall not preclude Agent or any Lender from exercising any other remedy under this Agreement or any other Loan Document or other remedy available at law or in equity, and Agent’s or any Lender’s waiver of any Event of Default is not a continuing waiver. Agent’s or any Lender’s delay in exercising any remedy is not a waiver, election, or acquiescence.</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293" w:name="page294"/>
    <w:bookmarkEnd w:id="293"/>
    <w:p>
      <w:pPr>
        <w:jc w:val="both"/>
        <w:ind w:right="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Demand Waiver</w:t>
      </w:r>
      <w:r>
        <w:rPr>
          <w:rFonts w:ascii="Arial" w:cs="Arial" w:eastAsia="Arial" w:hAnsi="Arial"/>
          <w:sz w:val="18"/>
          <w:szCs w:val="18"/>
          <w:color w:val="auto"/>
        </w:rPr>
        <w:t>. Borrower waives demand, notice of default or dishonor, notice of payment and nonpayment, notice of any default, nonpayment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at maturity, release, compromise, settlement, extension, or renewal of accounts, documents, instruments, chattel paper, and guarantees held by Agent on which Borrower is liable.</w:t>
      </w:r>
    </w:p>
    <w:p>
      <w:pPr>
        <w:spacing w:after="0" w:line="17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Borrower Liability. </w:t>
      </w:r>
      <w:r>
        <w:rPr>
          <w:rFonts w:ascii="Arial" w:cs="Arial" w:eastAsia="Arial" w:hAnsi="Arial"/>
          <w:sz w:val="17"/>
          <w:szCs w:val="17"/>
          <w:color w:val="auto"/>
        </w:rPr>
        <w:t>Each Borrower may, acting singly, request Credit Extensions hereunder. Each Borrower hereby appoints each other as agent</w:t>
      </w:r>
      <w:r>
        <w:rPr>
          <w:rFonts w:ascii="Arial" w:cs="Arial" w:eastAsia="Arial" w:hAnsi="Arial"/>
          <w:sz w:val="17"/>
          <w:szCs w:val="17"/>
          <w:b w:val="1"/>
          <w:bCs w:val="1"/>
          <w:color w:val="auto"/>
        </w:rPr>
        <w:t xml:space="preserve"> </w:t>
      </w:r>
      <w:r>
        <w:rPr>
          <w:rFonts w:ascii="Arial" w:cs="Arial" w:eastAsia="Arial" w:hAnsi="Arial"/>
          <w:sz w:val="17"/>
          <w:szCs w:val="17"/>
          <w:color w:val="auto"/>
        </w:rPr>
        <w:t>for itself for all purposes hereunder, including with respect to requesting Credit Extensions hereunder. Each Borrower hereunder shall be jointly and severally obligated to repay all Credit Extensions made hereunder, regardless of which Borrower actually receives said Credit Extension, as if each Borrower hereunder directly received all Credit Extensions. To the extent not prohibited by applicable law, each Borrower waives (a) any suretyship defenses available to it under the Code or any other applicable law, including, without limitation, the benefit of California Civil Code Section 2815 permitting revocation as to future transactions and the benefit of California Civil Code Sections 1432, 2809, 2810, 2819, 2839, 2845, 2847, 2848, 2849, 2850, and 2899 and 3433, and (b) any right to require Agent or the Lenders to: (i) proceed against any Borrower or any other person; (ii) proceed against or exhaust any security; or (iii) pursue any other remedy. Agent and Lenders may exercise or not exercise any right or remedy it has against any Borrower or any security it holds (including the right to foreclose or realize its security by judicial or non-judicial sale) without affecting any Borrower’s liability.</w:t>
      </w:r>
    </w:p>
    <w:p>
      <w:pPr>
        <w:spacing w:after="0" w:line="181"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Notwithstanding any other provision of this Agreement or other related document, each Borrower irrevocably waives all rights that it may have at law or in equity (including, without limitation, any law subrogating Borrower to the rights of Agent or the Lenders under this Agreement) to seek contribution, indemnification or any other form of reimbursement from any other Borrower, or any other Person now or hereafter primarily or secondarily liable for any of the Obligations, for any payment made by Borrower with respect to the Obligations in connection with this Agreement or otherwise and all rights that it might have to benefit from, or to participate in, any security for the Obligations as a result of any payment made by Borrower with respect to the Obligations in connection with this Agreement or otherwise. Any agreement providing for indemnification, reimbursement or any other arrangement prohibited under this Section 9.8 shall be null and void. If any payment is made to a Borrower in contravention of this Section 9.8, such Borrower shall hold such payment in trust for Agent and such payment shall be promptly delivered to Agent for application to the Obligations, whether matured or unmatured.</w:t>
      </w:r>
    </w:p>
    <w:p>
      <w:pPr>
        <w:spacing w:after="0" w:line="196"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Each Borrower is entering into this Agreement, and making all representations and warranties hereunder, on a joint and several basis, and all covenants, agreements and undertakings herein expressed or implied on the part of each Borrower shall be deemed to be joint and several.</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AGENT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Appointment and Authority.</w:t>
      </w:r>
    </w:p>
    <w:p>
      <w:pPr>
        <w:spacing w:after="0" w:line="229" w:lineRule="exact"/>
        <w:rPr>
          <w:sz w:val="20"/>
          <w:szCs w:val="20"/>
          <w:color w:val="auto"/>
        </w:rPr>
      </w:pPr>
    </w:p>
    <w:p>
      <w:pPr>
        <w:jc w:val="both"/>
        <w:ind w:right="220" w:firstLine="987"/>
        <w:spacing w:after="0" w:line="263" w:lineRule="auto"/>
        <w:tabs>
          <w:tab w:leader="none" w:pos="156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Lender hereby irrevocably appoints SVB to act on its behalf as Agent hereunder and under the other Loan Documents and authorizes Agent to take such actions on its behalf and to exercise such powers as are delegated to Agent by the terms hereof or thereof, together with such actions and powers as are reasonably incidental thereto.</w:t>
      </w:r>
    </w:p>
    <w:p>
      <w:pPr>
        <w:spacing w:after="0" w:line="183" w:lineRule="exact"/>
        <w:rPr>
          <w:rFonts w:ascii="Arial" w:cs="Arial" w:eastAsia="Arial" w:hAnsi="Arial"/>
          <w:sz w:val="18"/>
          <w:szCs w:val="18"/>
          <w:color w:val="auto"/>
        </w:rPr>
      </w:pPr>
    </w:p>
    <w:p>
      <w:pPr>
        <w:ind w:right="40" w:firstLine="987"/>
        <w:spacing w:after="0" w:line="257" w:lineRule="auto"/>
        <w:tabs>
          <w:tab w:leader="none" w:pos="146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provisions of this Section 10 are solely for the benefit of Agent and Lenders, and Borrower shall not have rights as a third party beneficiary of any of such provisions. Notwithstanding any provision to the contrary elsewhere in this Agreement, Agent shall not have any duties or responsibilities to any Lender or any other Person, except those expressly set forth herein, or any fiduciary relationship with any Lender, and no implied covenants, functions, responsibilities, duties, obligations or liabilities shall be read into this Agreement or any other Loan Document or otherwise exist against Agent.</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7"/>
          <w:szCs w:val="17"/>
          <w:b w:val="1"/>
          <w:bCs w:val="1"/>
          <w:color w:val="auto"/>
        </w:rPr>
        <w:t>Delegation of Duties</w:t>
      </w:r>
      <w:r>
        <w:rPr>
          <w:rFonts w:ascii="Arial" w:cs="Arial" w:eastAsia="Arial" w:hAnsi="Arial"/>
          <w:sz w:val="17"/>
          <w:szCs w:val="17"/>
          <w:color w:val="auto"/>
        </w:rPr>
        <w:t>. Agent may perform any and all of its duties and exercise its rights and powers hereunder or under any other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 by or through any one or more sub-agents appointed by Agent. Agent and any such sub-agent may perform any and all of its duties and exercise its rights and powers by or through their respective Indemnified Persons. The exculpatory provisions of this Section 10.2 shall apply to any such sub-agent and to the Indemnified Persons of Agent and any such sub-agent, and shall apply to their respective activities in connection with the syndication of the credit facilities provided for herein as well as activities as Agent.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94" w:name="page295"/>
    <w:bookmarkEnd w:id="294"/>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Exculpatory Provisions</w:t>
      </w:r>
      <w:r>
        <w:rPr>
          <w:rFonts w:ascii="Arial" w:cs="Arial" w:eastAsia="Arial" w:hAnsi="Arial"/>
          <w:sz w:val="16"/>
          <w:szCs w:val="16"/>
          <w:color w:val="auto"/>
        </w:rPr>
        <w:t>. Agent shall have no duties or obligations except those expressly set forth herein and in the other Loan Documents.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Without limiting the generality of the foregoing, Agent shall not:</w:t>
      </w:r>
    </w:p>
    <w:p>
      <w:pPr>
        <w:spacing w:after="0" w:line="103"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8"/>
          <w:szCs w:val="18"/>
          <w:color w:val="auto"/>
        </w:rPr>
        <w:t>(sss)</w:t>
      </w:r>
      <w:r>
        <w:rPr>
          <w:sz w:val="20"/>
          <w:szCs w:val="20"/>
          <w:color w:val="auto"/>
        </w:rPr>
        <w:tab/>
      </w:r>
      <w:r>
        <w:rPr>
          <w:rFonts w:ascii="Arial" w:cs="Arial" w:eastAsia="Arial" w:hAnsi="Arial"/>
          <w:sz w:val="16"/>
          <w:szCs w:val="16"/>
          <w:color w:val="auto"/>
        </w:rPr>
        <w:t>be subject to any fiduciary, trust, agency or other similar duties, regardless of whether any Event of Default has occurred and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continuing;</w:t>
      </w:r>
    </w:p>
    <w:p>
      <w:pPr>
        <w:spacing w:after="0" w:line="211" w:lineRule="exact"/>
        <w:rPr>
          <w:sz w:val="20"/>
          <w:szCs w:val="20"/>
          <w:color w:val="auto"/>
        </w:rPr>
      </w:pPr>
    </w:p>
    <w:p>
      <w:pPr>
        <w:ind w:right="200" w:firstLine="987"/>
        <w:spacing w:after="0" w:line="259" w:lineRule="auto"/>
        <w:tabs>
          <w:tab w:leader="none" w:pos="144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have any duty to take any discretionary action or exercise any discretionary powers, except discretionary rights and powers expressly contemplated hereby or by the other Loan Documents that Agent is required to exercise as directed in writing by the Lenders, as applicable;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Agent shall not be required to take any action that, in its opinion or the opinion of its counsel, may expose Agent to liability or that is contrary to any Loan Document or applicable law; and</w:t>
      </w:r>
    </w:p>
    <w:p>
      <w:pPr>
        <w:spacing w:after="0" w:line="186" w:lineRule="exact"/>
        <w:rPr>
          <w:rFonts w:ascii="Arial" w:cs="Arial" w:eastAsia="Arial" w:hAnsi="Arial"/>
          <w:sz w:val="18"/>
          <w:szCs w:val="18"/>
          <w:color w:val="auto"/>
        </w:rPr>
      </w:pPr>
    </w:p>
    <w:p>
      <w:pPr>
        <w:jc w:val="both"/>
        <w:ind w:right="100" w:firstLine="987"/>
        <w:spacing w:after="0" w:line="263" w:lineRule="auto"/>
        <w:tabs>
          <w:tab w:leader="none" w:pos="1561"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except as expressly set forth herein and in the other Loan Documents, have any duty to disclose, and Agent shall not be liable for the failure to disclose, any information relating to Borrower or any of its Affiliates that is communicated to or obtained by any Person serving as Agent or any of its Affiliates in any capacity.</w:t>
      </w:r>
    </w:p>
    <w:p>
      <w:pPr>
        <w:spacing w:after="0" w:line="18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Agent shall not be liable for any action taken or not taken by it (i) with the consent or at the request of the Lenders (or as Agent shall believe in good faith shall be necessary, under the circumstances as provided in Section 13.7) or (ii) in the absence of its own gross negligence or willful misconduct.</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Event of Default, (iv) the validity, enforceability, effectiveness or genuineness of this Agreement, any other Loan Document or any other agreement, instrument or document or (v) the satisfaction of any condition set forth in Section 3 or elsewhere herein, other than to confirm receipt of items expressly required to be delivered to Agent.</w:t>
      </w:r>
    </w:p>
    <w:p>
      <w:pPr>
        <w:spacing w:after="0" w:line="17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Reliance by Agent</w:t>
      </w:r>
      <w:r>
        <w:rPr>
          <w:rFonts w:ascii="Arial" w:cs="Arial" w:eastAsia="Arial" w:hAnsi="Arial"/>
          <w:sz w:val="17"/>
          <w:szCs w:val="17"/>
          <w:color w:val="auto"/>
        </w:rPr>
        <w:t>. Agent shall be entitled to rely upon, and shall not incur any liability for relying upon, any notice, request, certificate, consent,</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instrument, document or other writing (including any electronic message, internet or intranet website posting or other distribution) believed by it to be genuine and to have been signed, sent or otherwise authenticated by the proper Person. Agent also may rely upon any statement made to it orally or by telephone and believed by it to have been made by the proper Person, and shall not incur any liability for relying thereon. Agent may consult with legal counsel (who may be counsel for Borrower), independent accountants and other experts selected by it, and shall not be liable for any action taken or not taken by it in accordance with the advice of any such counsel, accountants or experts. In determining compliance with any condition hereunder to the making of a Credit Extension that, by its terms, must be fulfilled to the satisfaction of a Lender, Agent may presume that such condition is satisfactory to such Lender unless Agent shall have received notice to the contrary from such Lender prior to the making of such Credit Extension. Agent shall in all cases be fully protected in acting, or in refraining from acting, under this Agreement and the other Loan Documents in accordance with a request of the Lenders, and such request and any action taken or failure to act pursuant thereto shall be binding upon Lenders and all future holders of the Credit Extensions.</w:t>
      </w:r>
    </w:p>
    <w:p>
      <w:pPr>
        <w:spacing w:after="0" w:line="182"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Notice of Default</w:t>
      </w:r>
      <w:r>
        <w:rPr>
          <w:rFonts w:ascii="Arial" w:cs="Arial" w:eastAsia="Arial" w:hAnsi="Arial"/>
          <w:sz w:val="18"/>
          <w:szCs w:val="18"/>
          <w:color w:val="auto"/>
        </w:rPr>
        <w:t>. Agent shall not be deemed to have knowledge or notice of the occurrence of any Event of Default (except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defaults in the payment of principal, interest or fees required to be paid to Agent for the account of Lenders), unless Agent has received notice from a Lender or Borrower referring to this Agreement, describing such Event of Default and stating that such notice is a “notice of default”. In the event that Agent receives such a notice, Agent shall give notice thereof to Lenders. Agent shall take such action with respect to such Event of Default as shall be reasonably directed by the Lenders.</w:t>
      </w:r>
    </w:p>
    <w:p>
      <w:pPr>
        <w:spacing w:after="0" w:line="183" w:lineRule="exact"/>
        <w:rPr>
          <w:sz w:val="20"/>
          <w:szCs w:val="20"/>
          <w:color w:val="auto"/>
        </w:rPr>
      </w:pPr>
    </w:p>
    <w:p>
      <w:pPr>
        <w:ind w:right="80" w:firstLine="440"/>
        <w:spacing w:after="0" w:line="303" w:lineRule="auto"/>
        <w:rPr>
          <w:sz w:val="20"/>
          <w:szCs w:val="20"/>
          <w:color w:val="auto"/>
        </w:rPr>
      </w:pPr>
      <w:r>
        <w:rPr>
          <w:rFonts w:ascii="Arial" w:cs="Arial" w:eastAsia="Arial" w:hAnsi="Arial"/>
          <w:sz w:val="16"/>
          <w:szCs w:val="16"/>
          <w:b w:val="1"/>
          <w:bCs w:val="1"/>
          <w:color w:val="auto"/>
        </w:rPr>
        <w:t>Non-Reliance on Agent and Other Lenders</w:t>
      </w:r>
      <w:r>
        <w:rPr>
          <w:rFonts w:ascii="Arial" w:cs="Arial" w:eastAsia="Arial" w:hAnsi="Arial"/>
          <w:sz w:val="16"/>
          <w:szCs w:val="16"/>
          <w:color w:val="auto"/>
        </w:rPr>
        <w:t>. Each Lender expressly acknowledges that neither Agent nor any of its officers,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agents, attorneys in fact or affiliates has made any representations or warranties to it and that no act by Agent hereafter taken, including any review of the affairs of a Group Member or any Affiliate of a Group Member, shall be deemed to constitute any representation or warranty by Agent to any Lender. Each Lender represents to Agent that it has, independently and without reliance upon Agent or any other Lender, and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295" w:name="page296"/>
    <w:bookmarkEnd w:id="295"/>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based on such documents and information as it has deemed appropriate, made its own appraisal of, and investigation into, the business, operations, property, financial and other condition and creditworthiness of the Group Members and their Affiliates and made its own decision to make its Credit Extensions hereunder and enter into this Agreement. Each Lender also represents that it will, independently and without reliance upon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Lenders by Agent hereunder,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Agent or any of its officers, directors, employees, agents, attorneys in fact or Affiliates.</w:t>
      </w:r>
    </w:p>
    <w:p>
      <w:pPr>
        <w:spacing w:after="0" w:line="181"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 Each Lender agrees to indemnify Agent in its capacity as such (to the extent not reimbursed by Borrower and without limiting</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 of Borrower to do so in accordance with the terms hereof, according to its Term Loan Commitment Percentage in effect on the date on which indemnification is sought under this Section 10.7 (or, if indemnification is sought after the date upon which the Commitments shall have terminated and the Obligations shall have been paid in full, in accordance with its Term Loan Commitment Percentage immediately prior to such date), from and against any and all liabilities, obligations, losses, damages, penalties, actions, judgments, suits, costs, expenses or disbursements of any kind whatsoever that may at any time (whether before or after the payment of the Credit Extensions) be imposed on, incurred by or asserted against Agent in any way relating to or arising out of, the Commitments, this Agreement, any of the other Loan Documents or any documents contemplated by or referred to herein or therein or the transactions contemplated hereby or thereby or any action taken or omitted by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Agent’s gross negligence or willful misconduct. The agreements in this Section shall survive the payment of the Credit Extensions and all other amounts payable hereunder.</w:t>
      </w:r>
    </w:p>
    <w:p>
      <w:pPr>
        <w:spacing w:after="0" w:line="179"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Agent in Its Individual Capacity</w:t>
      </w:r>
      <w:r>
        <w:rPr>
          <w:rFonts w:ascii="Arial" w:cs="Arial" w:eastAsia="Arial" w:hAnsi="Arial"/>
          <w:sz w:val="18"/>
          <w:szCs w:val="18"/>
          <w:color w:val="auto"/>
        </w:rPr>
        <w:t>. The Person serving as Agent hereunder shall have the same rights and powers in its capacity as a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Lender and may exercise the same as though it were not Agent and the term “Lender” or “Lenders” shall, unless otherwise expressly indicated or unless the context otherwise requires, include each such Person serving as Agent hereunder in its individual capacity. Such Person and its Affiliates may accept deposits from, lend money to, act as the financial advisor or in any other advisory capacity for and generally engage in any kind of business with Borrower, any Guarantor or any Subsidiary or other Affiliate thereof as if such Person were not Agent hereunder and without any duty to account therefor to Lenders.</w:t>
      </w:r>
    </w:p>
    <w:p>
      <w:pPr>
        <w:spacing w:after="0" w:line="18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b w:val="1"/>
          <w:bCs w:val="1"/>
          <w:color w:val="auto"/>
        </w:rPr>
        <w:t>Successor Agent</w:t>
      </w:r>
      <w:r>
        <w:rPr>
          <w:rFonts w:ascii="Arial" w:cs="Arial" w:eastAsia="Arial" w:hAnsi="Arial"/>
          <w:sz w:val="16"/>
          <w:szCs w:val="16"/>
          <w:color w:val="auto"/>
        </w:rPr>
        <w:t>. Agent may at any time give notice of its resignation to Lenders and Borrower, which resignation shall not be effective until the</w:t>
      </w:r>
      <w:r>
        <w:rPr>
          <w:rFonts w:ascii="Arial" w:cs="Arial" w:eastAsia="Arial" w:hAnsi="Arial"/>
          <w:sz w:val="16"/>
          <w:szCs w:val="16"/>
          <w:b w:val="1"/>
          <w:bCs w:val="1"/>
          <w:color w:val="auto"/>
        </w:rPr>
        <w:t xml:space="preserve"> </w:t>
      </w:r>
      <w:r>
        <w:rPr>
          <w:rFonts w:ascii="Arial" w:cs="Arial" w:eastAsia="Arial" w:hAnsi="Arial"/>
          <w:sz w:val="16"/>
          <w:szCs w:val="16"/>
          <w:color w:val="auto"/>
        </w:rPr>
        <w:t>time at which the majority of the Lenders have delivered to Agent their written consent to such resignation. Upon receipt of any such notice of resignation, the Lenders shall have the right, in consultation with Borrower, to appoint a successor, which shall be a financial institution with an office in the State of California, or an Affiliate of any such bank with an office in the State of California. If no such successor shall have been so appointed by the Lenders and shall have accepted such appointment within thirty (30) days after the retiring Agent has received the written consent of the majority of the Lenders to such resignation, then the retiring Agent may on behalf of Lenders, appoint a successor Agent meeting the qualifications set forth above; provided that in no event shall any such successor Agent be a Defaulting Lender and provided further that if the retiring Agent shall notify Borrower and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security held by Agent on behalf of the Lenders under any of the Loan Documents, the retiring Agent shall continue to hold such collateral security until such time as a successor Agent is appointed and such collateral security is assigned to such successor Agent) and (2) all payments, communications and determinations provided to be made by, to or through Agent shall instead be made by or to each Lender directly, until such time as the Lenders appoint a successor Agent as provided for above in this Section 10.9. Upon the acceptance of a successor’s appointment as Agent hereunder, such successor shall succeed to and become vested with all of the rights, powers, privileges and duties of the retiring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96" w:name="page297"/>
    <w:bookmarkEnd w:id="296"/>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retired) Agent, and the retiring Agent shall be discharged from all of its duties and obligations hereunder or under the other Loan Documents (if not already discharged therefrom as provided above in this Section 10.9). The fees payable by Borrower to a successor Agent shall be the same as those payable to its predecessor unless otherwise agreed between Borrower and such successor. After the retiring Agent’s resignation hereunder and under the other Loan Documents, the provisions of this Section 10 shall continue in effect for the benefit of such retiring Agent, its sub-agents and their respective Indemnified Persons in respect of any actions taken or omitted to be taken by any of them while the retiring Agent was acting as Agent.</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Defaulting Lender.</w:t>
      </w:r>
    </w:p>
    <w:p>
      <w:pPr>
        <w:spacing w:after="0" w:line="229" w:lineRule="exact"/>
        <w:rPr>
          <w:sz w:val="20"/>
          <w:szCs w:val="20"/>
          <w:color w:val="auto"/>
        </w:rPr>
      </w:pPr>
    </w:p>
    <w:p>
      <w:pPr>
        <w:ind w:right="180" w:firstLine="987"/>
        <w:spacing w:after="0" w:line="308" w:lineRule="auto"/>
        <w:tabs>
          <w:tab w:leader="none" w:pos="1561" w:val="left"/>
        </w:tabs>
        <w:numPr>
          <w:ilvl w:val="0"/>
          <w:numId w:val="268"/>
        </w:numPr>
        <w:rPr>
          <w:rFonts w:ascii="Arial" w:cs="Arial" w:eastAsia="Arial" w:hAnsi="Arial"/>
          <w:sz w:val="17"/>
          <w:szCs w:val="17"/>
          <w:color w:val="auto"/>
        </w:rPr>
      </w:pPr>
      <w:r>
        <w:rPr>
          <w:rFonts w:ascii="Arial" w:cs="Arial" w:eastAsia="Arial" w:hAnsi="Arial"/>
          <w:sz w:val="17"/>
          <w:szCs w:val="17"/>
          <w:u w:val="single" w:color="auto"/>
          <w:color w:val="auto"/>
        </w:rPr>
        <w:t>Defaulting Lender Adjustments</w:t>
      </w:r>
      <w:r>
        <w:rPr>
          <w:rFonts w:ascii="Arial" w:cs="Arial" w:eastAsia="Arial" w:hAnsi="Arial"/>
          <w:sz w:val="17"/>
          <w:szCs w:val="17"/>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38" w:lineRule="exact"/>
        <w:rPr>
          <w:rFonts w:ascii="Arial" w:cs="Arial" w:eastAsia="Arial" w:hAnsi="Arial"/>
          <w:sz w:val="17"/>
          <w:szCs w:val="17"/>
          <w:color w:val="auto"/>
        </w:rPr>
      </w:pPr>
    </w:p>
    <w:p>
      <w:pPr>
        <w:ind w:left="1420" w:right="220" w:firstLine="391"/>
        <w:spacing w:after="0" w:line="277" w:lineRule="auto"/>
        <w:tabs>
          <w:tab w:leader="none" w:pos="2153"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Such Defaulting Lender’s right to approve or disapprove any amendment, waiver or consent with respect to this Agreement shall be restricted as long as said Lender is a Defaulting Lender.</w:t>
      </w:r>
    </w:p>
    <w:p>
      <w:pPr>
        <w:spacing w:after="0" w:line="62" w:lineRule="exact"/>
        <w:rPr>
          <w:rFonts w:ascii="Arial" w:cs="Arial" w:eastAsia="Arial" w:hAnsi="Arial"/>
          <w:sz w:val="18"/>
          <w:szCs w:val="18"/>
          <w:color w:val="auto"/>
        </w:rPr>
      </w:pPr>
    </w:p>
    <w:p>
      <w:pPr>
        <w:ind w:left="1420" w:firstLine="391"/>
        <w:spacing w:after="0" w:line="285" w:lineRule="auto"/>
        <w:tabs>
          <w:tab w:leader="none" w:pos="2203"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Agent for the account of such Defaulting Lender (whether voluntary or mandatory, at maturity, pursuant to Section 8 or otherwise, and including any amounts made available to the Agent by such Defaulting Lender pursuant to Section 13.10), shall be applied at such time or times as may be determined by the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Borrower may request (so long as no Event of Default exists), to the funding of any Term Loan Advance in respect of which such Defaulting Lender has failed to fund its portion thereof as required by this Agreement, as determined by the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Agent and Borrower, to be held in a Deposit Account and released pro rata to satisfy such Defaulting Lender’s potential future funding obligations with respect to Term Loan Advances under this Agreement;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so long as no Event of Default has occurred and is continuing,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such payment is a payment of the principal amount of any Term Loan Advances in respect of which such Defaulting Lender has not fully funded its appropriate share and (B) such Term Loan Advances were made at a time when the conditions set forth in Section 3.1 were satisfied or waived, such payment shall be applied solely to pay the Term Loan Advances of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Term Loan Advances of such Defaulting Lender until such time as all Term Loan Advances are held by the Lenders pro rata in accordance with the Term Loan Commitments under this Agreement. Any payments, prepayments or other amounts paid or payable to a Defaulting Lender that are applied (or held) to pay amounts owed by a Defaulting Lender pursuant to this Section 10.10(a)(ii) shall be deemed paid to and redirected by such Defaulting Lender, and each Lender irrevocably consents hereto.</w:t>
      </w:r>
    </w:p>
    <w:p>
      <w:pPr>
        <w:spacing w:after="0" w:line="60" w:lineRule="exact"/>
        <w:rPr>
          <w:rFonts w:ascii="Arial" w:cs="Arial" w:eastAsia="Arial" w:hAnsi="Arial"/>
          <w:sz w:val="16"/>
          <w:szCs w:val="16"/>
          <w:color w:val="auto"/>
        </w:rPr>
      </w:pPr>
    </w:p>
    <w:p>
      <w:pPr>
        <w:ind w:left="1420" w:right="100" w:firstLine="391"/>
        <w:spacing w:after="0" w:line="263" w:lineRule="auto"/>
        <w:tabs>
          <w:tab w:leader="none" w:pos="2253"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No Defaulting Lender shall be entitled to receive any fee pursuant to Section 2.4(a) or Section 2.4(b) for any period during which such Lender is a Defaulting Lender (and Borrower shall not be required to pay any such fee that otherwise would have been required to have been paid to such Defaulting Lender).</w:t>
      </w:r>
    </w:p>
    <w:p>
      <w:pPr>
        <w:spacing w:after="0" w:line="183" w:lineRule="exact"/>
        <w:rPr>
          <w:rFonts w:ascii="Arial" w:cs="Arial" w:eastAsia="Arial" w:hAnsi="Arial"/>
          <w:sz w:val="18"/>
          <w:szCs w:val="18"/>
          <w:color w:val="auto"/>
        </w:rPr>
      </w:pPr>
    </w:p>
    <w:p>
      <w:pPr>
        <w:ind w:right="140" w:firstLine="987"/>
        <w:spacing w:after="0" w:line="259" w:lineRule="auto"/>
        <w:tabs>
          <w:tab w:leader="none" w:pos="1681"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Defaulting Lender Cure</w:t>
      </w:r>
      <w:r>
        <w:rPr>
          <w:rFonts w:ascii="Arial" w:cs="Arial" w:eastAsia="Arial" w:hAnsi="Arial"/>
          <w:sz w:val="18"/>
          <w:szCs w:val="18"/>
          <w:color w:val="auto"/>
        </w:rPr>
        <w:t>. If Borrower and Agent agree in writing that a Lender is no longer a Defaulting Lender, Agent will so notify the parties hereto, whereupon as of the effective date specified in such notice and subject to any conditions set forth therein, such Lender will, to the extent applicable, purchase at par that portion of outstanding Term Loan Advances of the other Lenders or take such other actions as Agent may determine to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97" w:name="page298"/>
    <w:bookmarkEnd w:id="297"/>
    <w:p>
      <w:pPr>
        <w:ind w:left="4"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necessary to cause the Term Loan Advances to be held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by the Lenders in accordance with their respective Term Loan Commitment Percentages,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76" w:lineRule="exact"/>
        <w:rPr>
          <w:sz w:val="20"/>
          <w:szCs w:val="20"/>
          <w:color w:val="auto"/>
        </w:rPr>
      </w:pPr>
    </w:p>
    <w:p>
      <w:pPr>
        <w:ind w:left="4" w:right="80" w:firstLine="987"/>
        <w:spacing w:after="0" w:line="255" w:lineRule="auto"/>
        <w:tabs>
          <w:tab w:leader="none" w:pos="156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Termination of Defaulting Lender</w:t>
      </w:r>
      <w:r>
        <w:rPr>
          <w:rFonts w:ascii="Arial" w:cs="Arial" w:eastAsia="Arial" w:hAnsi="Arial"/>
          <w:sz w:val="18"/>
          <w:szCs w:val="18"/>
          <w:color w:val="auto"/>
        </w:rPr>
        <w:t xml:space="preserve">. Borrower may terminate the unused amount of the Term Loan Commitment of any Lender that is a Defaulting Lender upon not less than ten (10) Business Days’ prior notice to Agent (which shall promptly notify the Lenders thereof), and in such event the provisions of Section 10.10(a)(ii) will apply to all amounts thereafter paid by Borrower for the account of such Defaulting Lender under this Agreement (whether on account of principal, interest, fees, indemnity or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Event of Default shall have occurred and be continuing, and (ii) such termination shall not be deemed to be a waiver or release of any claim Borrower, Agent or any Lender may have against such Defaulting Lender.</w:t>
      </w:r>
    </w:p>
    <w:p>
      <w:pPr>
        <w:spacing w:after="0" w:line="192" w:lineRule="exact"/>
        <w:rPr>
          <w:rFonts w:ascii="Arial" w:cs="Arial" w:eastAsia="Arial" w:hAnsi="Arial"/>
          <w:sz w:val="18"/>
          <w:szCs w:val="18"/>
          <w:color w:val="auto"/>
        </w:rPr>
      </w:pPr>
    </w:p>
    <w:p>
      <w:pPr>
        <w:ind w:left="4" w:firstLine="987"/>
        <w:spacing w:after="0" w:line="275" w:lineRule="auto"/>
        <w:tabs>
          <w:tab w:leader="none" w:pos="156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If the Person serving as Agent is a Defaulting Lender pursuant to clause (d) of the definition thereof, the non-Defaulting Lenders may, to the extent permitted by applicable law, by notice in writing to Borrower and such Person, remove such Person as Agent and, in consultation with Borrower, appoint a successor. If no such successor shall have been so appointed by the non-Defaulting Lenders and shall have accepted such appointment within thirty (30) days (or such earlier day as shall be agreed by the non-Defaulting Lenders) (the “</w:t>
      </w:r>
      <w:r>
        <w:rPr>
          <w:rFonts w:ascii="Arial" w:cs="Arial" w:eastAsia="Arial" w:hAnsi="Arial"/>
          <w:sz w:val="17"/>
          <w:szCs w:val="17"/>
          <w:b w:val="1"/>
          <w:bCs w:val="1"/>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280"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w:t>
      </w:r>
    </w:p>
    <w:p>
      <w:pPr>
        <w:spacing w:after="0" w:line="1" w:lineRule="exact"/>
        <w:rPr>
          <w:sz w:val="20"/>
          <w:szCs w:val="20"/>
          <w:color w:val="auto"/>
        </w:rPr>
      </w:pPr>
    </w:p>
    <w:p>
      <w:pPr>
        <w:ind w:left="4" w:right="80" w:hanging="4"/>
        <w:spacing w:after="0" w:line="255" w:lineRule="auto"/>
        <w:tabs>
          <w:tab w:leader="none" w:pos="25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Agent or Borrower may change its mailing or electronic mail address or facsimile number by giving the other party written notice thereof in accordance with the terms of this Section 11.</w:t>
      </w:r>
    </w:p>
    <w:p>
      <w:pPr>
        <w:sectPr>
          <w:pgSz w:w="11900" w:h="16838" w:orient="portrait"/>
          <w:cols w:equalWidth="0" w:num="1">
            <w:col w:w="11004"/>
          </w:cols>
          <w:pgMar w:left="436" w:top="274" w:right="459" w:bottom="1440" w:gutter="0" w:footer="0" w:header="0"/>
        </w:sectPr>
      </w:pPr>
    </w:p>
    <w:p>
      <w:pPr>
        <w:spacing w:after="0" w:line="95" w:lineRule="exact"/>
        <w:rPr>
          <w:sz w:val="20"/>
          <w:szCs w:val="20"/>
          <w:color w:val="auto"/>
        </w:rPr>
      </w:pPr>
    </w:p>
    <w:p>
      <w:pPr>
        <w:ind w:left="884"/>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Alexo Therapeutics International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Sirpant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Burlingame, CA 94010</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Attn:</w:t>
        <w:tab/>
        <w:t>Finance Department</w:t>
      </w:r>
    </w:p>
    <w:p>
      <w:pPr>
        <w:spacing w:after="0" w:line="103" w:lineRule="exact"/>
        <w:rPr>
          <w:sz w:val="20"/>
          <w:szCs w:val="20"/>
          <w:color w:val="auto"/>
        </w:rPr>
      </w:pPr>
    </w:p>
    <w:p>
      <w:pPr>
        <w:sectPr>
          <w:pgSz w:w="11900" w:h="16838" w:orient="portrait"/>
          <w:cols w:equalWidth="0" w:num="2">
            <w:col w:w="2384" w:space="720"/>
            <w:col w:w="7900"/>
          </w:cols>
          <w:pgMar w:left="436" w:top="274" w:right="459" w:bottom="1440" w:gutter="0" w:footer="0" w:header="0"/>
          <w:type w:val="continuous"/>
        </w:sectPr>
      </w:pPr>
    </w:p>
    <w:p>
      <w:pPr>
        <w:jc w:val="center"/>
        <w:ind w:left="804"/>
        <w:spacing w:after="0"/>
        <w:rPr>
          <w:sz w:val="20"/>
          <w:szCs w:val="20"/>
          <w:color w:val="auto"/>
        </w:rPr>
      </w:pPr>
      <w:r>
        <w:rPr>
          <w:rFonts w:ascii="Arial" w:cs="Arial" w:eastAsia="Arial" w:hAnsi="Arial"/>
          <w:sz w:val="17"/>
          <w:szCs w:val="17"/>
          <w:color w:val="auto"/>
        </w:rPr>
        <w:t>If to Agent or SVB: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505 Howard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California 94105</w:t>
      </w:r>
    </w:p>
    <w:p>
      <w:pPr>
        <w:spacing w:after="0" w:line="126" w:lineRule="exact"/>
        <w:rPr>
          <w:sz w:val="20"/>
          <w:szCs w:val="20"/>
          <w:color w:val="auto"/>
        </w:rPr>
      </w:pPr>
    </w:p>
    <w:p>
      <w:pPr>
        <w:sectPr>
          <w:pgSz w:w="11900" w:h="16838" w:orient="portrait"/>
          <w:cols w:equalWidth="0" w:num="2">
            <w:col w:w="2384" w:space="720"/>
            <w:col w:w="7900"/>
          </w:cols>
          <w:pgMar w:left="436" w:top="274" w:right="459" w:bottom="1440" w:gutter="0" w:footer="0" w:header="0"/>
          <w:type w:val="continuous"/>
        </w:sectPr>
      </w:pPr>
    </w:p>
    <w:p>
      <w:pPr>
        <w:ind w:left="884"/>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200 Clarendon Street, 20</w:t>
      </w:r>
      <w:r>
        <w:rPr>
          <w:rFonts w:ascii="Arial" w:cs="Arial" w:eastAsia="Arial" w:hAnsi="Arial"/>
          <w:sz w:val="13"/>
          <w:szCs w:val="13"/>
          <w:color w:val="auto"/>
        </w:rPr>
        <w:t>th</w:t>
      </w:r>
      <w:r>
        <w:rPr>
          <w:rFonts w:ascii="Arial" w:cs="Arial" w:eastAsia="Arial" w:hAnsi="Arial"/>
          <w:sz w:val="16"/>
          <w:szCs w:val="16"/>
          <w:color w:val="auto"/>
        </w:rPr>
        <w:t xml:space="preserve"> Floor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 02116</w:t>
      </w:r>
    </w:p>
    <w:p>
      <w:pPr>
        <w:spacing w:after="0" w:line="114" w:lineRule="exact"/>
        <w:rPr>
          <w:sz w:val="20"/>
          <w:szCs w:val="20"/>
          <w:color w:val="auto"/>
        </w:rPr>
      </w:pPr>
    </w:p>
    <w:p>
      <w:pPr>
        <w:sectPr>
          <w:pgSz w:w="11900" w:h="16838" w:orient="portrait"/>
          <w:cols w:equalWidth="0" w:num="2">
            <w:col w:w="2384" w:space="720"/>
            <w:col w:w="7900"/>
          </w:cols>
          <w:pgMar w:left="436" w:top="274" w:right="459" w:bottom="1440" w:gutter="0" w:footer="0" w:header="0"/>
          <w:type w:val="continuous"/>
        </w:sectPr>
      </w:pPr>
    </w:p>
    <w:p>
      <w:pPr>
        <w:ind w:left="884"/>
        <w:spacing w:after="0"/>
        <w:rPr>
          <w:sz w:val="20"/>
          <w:szCs w:val="20"/>
          <w:color w:val="auto"/>
        </w:rPr>
      </w:pPr>
      <w:r>
        <w:rPr>
          <w:rFonts w:ascii="Arial" w:cs="Arial" w:eastAsia="Arial" w:hAnsi="Arial"/>
          <w:sz w:val="16"/>
          <w:szCs w:val="16"/>
          <w:color w:val="auto"/>
        </w:rPr>
        <w:t>If to WestRiver: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WestRiver Innovation Lending Fund VIII,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WestRiver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920 5th Avenue, Suite 3450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98104</w:t>
      </w:r>
    </w:p>
    <w:p>
      <w:pPr>
        <w:spacing w:after="0" w:line="143" w:lineRule="exact"/>
        <w:rPr>
          <w:sz w:val="20"/>
          <w:szCs w:val="20"/>
          <w:color w:val="auto"/>
        </w:rPr>
      </w:pPr>
    </w:p>
    <w:p>
      <w:pPr>
        <w:sectPr>
          <w:pgSz w:w="11900" w:h="16838" w:orient="portrait"/>
          <w:cols w:equalWidth="0" w:num="2">
            <w:col w:w="2384" w:space="720"/>
            <w:col w:w="7900"/>
          </w:cols>
          <w:pgMar w:left="436" w:top="274" w:right="459" w:bottom="1440" w:gutter="0" w:footer="0" w:header="0"/>
          <w:type w:val="continuous"/>
        </w:sectPr>
      </w:pPr>
    </w:p>
    <w:p>
      <w:pPr>
        <w:jc w:val="center"/>
        <w:ind w:right="-23"/>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04"/>
          </w:cols>
          <w:pgMar w:left="436" w:top="274" w:right="459" w:bottom="1440" w:gutter="0" w:footer="0" w:header="0"/>
          <w:type w:val="continuous"/>
        </w:sectPr>
      </w:pPr>
    </w:p>
    <w:bookmarkStart w:id="298" w:name="page299"/>
    <w:bookmarkEnd w:id="298"/>
    <w:p>
      <w:pPr>
        <w:ind w:left="4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CHOICE OF LAW, VENUE, JURY TRIAL WAIVER, AND JUDICIAL REFERENCE</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Except as otherwise expressly provided in any of the Loan Documents, California law governs the Loan Documents without regard to principles of conflicts of law. Borrower, Agent, and Lenders each submit to the exclusive jurisdiction of the State and Federal courts in Santa Clara County, California; provided, however, that nothing in this Agreement shall be deemed to operate to preclude Agent or Lenders from bringing suit or taking other legal action in any other jurisdiction to realize on the Collateral or any other security for the Obligations, or to enforce a judgment or other court order in favor of Agent or any Lender. Borrower expressly submits and consents in advance to such jurisdiction in any action or suit commenced in any such court, and Borrower hereby waives to the extent permitted by applicable law any objection that it may have based upon lack of personal jurisdiction, improper venue, or forum non conveniens and hereby consents to the granting of such legal or equitable relief as is deemed appropriate by such court. Borrower hereby waives to the extent permitted by applicable law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11 of this Agreement and that service so made shall be deemed completed upon the earlier to occur of Borrower’s actual receipt thereof or three (3) days after deposit in the U.S. mails, proper postage prepaid.</w:t>
      </w:r>
    </w:p>
    <w:p>
      <w:pPr>
        <w:spacing w:after="0" w:line="175" w:lineRule="exact"/>
        <w:rPr>
          <w:sz w:val="20"/>
          <w:szCs w:val="20"/>
          <w:color w:val="auto"/>
        </w:rPr>
      </w:pPr>
    </w:p>
    <w:p>
      <w:pPr>
        <w:ind w:right="220" w:firstLine="440"/>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ALL PARTIES TO ENTER INTO THIS AGREEMENT. EACH PARTY HAS REVIEWED THIS WAIVER WITH ITS COUNSEL.</w:t>
      </w:r>
    </w:p>
    <w:p>
      <w:pPr>
        <w:spacing w:after="0" w:line="187"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Section 12 shall survive the termination of this Agreement.</w:t>
      </w:r>
    </w:p>
    <w:p>
      <w:pPr>
        <w:spacing w:after="0" w:line="329"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Termination Prior to Term Loan Maturity Date; Survival. </w:t>
      </w:r>
      <w:r>
        <w:rPr>
          <w:rFonts w:ascii="Arial" w:cs="Arial" w:eastAsia="Arial" w:hAnsi="Arial"/>
          <w:sz w:val="18"/>
          <w:szCs w:val="18"/>
          <w:color w:val="auto"/>
        </w:rPr>
        <w:t>All covenants, representations and warranties made in this Agreement continue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until this Agreement has terminated pursuant to its terms and all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0" w:right="479" w:bottom="1440" w:gutter="0" w:footer="0" w:header="0"/>
        </w:sectPr>
      </w:pPr>
    </w:p>
    <w:bookmarkStart w:id="299" w:name="page300"/>
    <w:bookmarkEnd w:id="299"/>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Obligations (other than inchoate indemnity obligations) have been satisfied. So long as Borrower has satisfied the Obligations (other than inchoate indemnity obligations, any other obligations which, by their terms, are to survive the termination of this Agreement, and any Obligations under Bank Services Agreements that are cash collateralized in accordance with Section 4.1 of this Agreement), this Agreement, including any unused Term Loan Commitments, may be terminated prior to the Term Loan Maturity Date by Borrower, effective three (3) Business Days after written notice of termination is given to Agent. Those obligations that are expressly specified in this Agreement as surviving this Agreement’s termination shall continue to survive notwithstanding this Agreement’s termination. No termination of this Agreement shall in any way affect or impair any right or remedy of Agent or any Lender, nor shall any such termination relieve Borrower of any Obligation to any Lender, until all of the Obligations (other than inchoate indemnity obligations) have been paid and performed in full. Those Obligations that are expressly specified in this Agreement as surviving this Agreement’s termination shall continue to survive notwithstanding this Agreement’s termination and payment in full of the Obligations then outstanding.</w:t>
      </w:r>
    </w:p>
    <w:p>
      <w:pPr>
        <w:spacing w:after="0" w:line="190"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Successors and Assigns. </w:t>
      </w:r>
      <w:r>
        <w:rPr>
          <w:rFonts w:ascii="Arial" w:cs="Arial" w:eastAsia="Arial" w:hAnsi="Arial"/>
          <w:sz w:val="16"/>
          <w:szCs w:val="16"/>
          <w:color w:val="auto"/>
        </w:rPr>
        <w:t>This Agreement binds and is for the benefit of the successors and permitted assigns of each party. Borrower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assign this Agreement or any rights or obligations under it without Agent and Lenders’ prior written consent (which may be granted or withheld in Agent’s and Lenders’ sole discretion). Agent and each Lender has the right, without the consent of or notice to Borrower, to sell, transfer, assign, negotiate, or grant participation in all or any part of, or any interest in, such Lender’s obligations, rights, and benefits under this Agreement and the other Loan Documents (other than the Warrant, as to which assignment, transfer and other such actions are governed by the terms thereof).</w:t>
      </w:r>
    </w:p>
    <w:p>
      <w:pPr>
        <w:spacing w:after="0" w:line="15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 Borrower agrees to indemnify, defend and hold Agent, each Lender and their respective directors, officers, employees, agents,</w:t>
      </w:r>
      <w:r>
        <w:rPr>
          <w:rFonts w:ascii="Arial" w:cs="Arial" w:eastAsia="Arial" w:hAnsi="Arial"/>
          <w:sz w:val="18"/>
          <w:szCs w:val="18"/>
          <w:b w:val="1"/>
          <w:bCs w:val="1"/>
          <w:color w:val="auto"/>
        </w:rPr>
        <w:t xml:space="preserve"> </w:t>
      </w:r>
      <w:r>
        <w:rPr>
          <w:rFonts w:ascii="Arial" w:cs="Arial" w:eastAsia="Arial" w:hAnsi="Arial"/>
          <w:sz w:val="18"/>
          <w:szCs w:val="18"/>
          <w:color w:val="auto"/>
        </w:rPr>
        <w:t>attorneys, or any other Person affiliated with or representing Agent or any Lender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other party in connection with the transactions contemplated by the Loan Documents; and (ii) all losses or expenses (including Lenders’ Expenses) in any way suffered, incurred, or paid by such Indemnified Person as a result of, following from, consequential to, or arising from transactions between Agent, Lenders and Borrower contemplated by the Loan Documents (including reasonable attorneys’ fees and expenses), except for Claims and/or losses directly caused by such Indemnified Person’s gross negligence or willful misconduct.</w:t>
      </w:r>
    </w:p>
    <w:p>
      <w:pPr>
        <w:spacing w:after="0" w:line="193"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This Section 13.3 shall survive until all statutes of limitation with respect to the Claims, losses, and expenses for which indemnity is given shall have run.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Time of Essence</w:t>
      </w:r>
      <w:r>
        <w:rPr>
          <w:rFonts w:ascii="Arial" w:cs="Arial" w:eastAsia="Arial" w:hAnsi="Arial"/>
          <w:sz w:val="18"/>
          <w:szCs w:val="18"/>
          <w:color w:val="auto"/>
        </w:rPr>
        <w:t>. Time is of the essence for the performance of all Obligations in this Agreement.</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Correction of Loan Documents</w:t>
      </w:r>
      <w:r>
        <w:rPr>
          <w:rFonts w:ascii="Arial" w:cs="Arial" w:eastAsia="Arial" w:hAnsi="Arial"/>
          <w:sz w:val="18"/>
          <w:szCs w:val="18"/>
          <w:color w:val="auto"/>
        </w:rPr>
        <w:t>. Agent may correct patent errors and fill in any blanks in the Loan Documents consistent with the agreement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w:t>
      </w:r>
    </w:p>
    <w:p>
      <w:pPr>
        <w:spacing w:after="0" w:line="16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Amendments in Writing; Waiver; Integration</w:t>
      </w:r>
      <w:r>
        <w:rPr>
          <w:rFonts w:ascii="Arial" w:cs="Arial" w:eastAsia="Arial" w:hAnsi="Arial"/>
          <w:sz w:val="17"/>
          <w:szCs w:val="17"/>
          <w:color w:val="auto"/>
        </w:rPr>
        <w:t>. No purported amendment or modification of any Loan Document, or waiver, discharge or</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of any obligation under any Loan Document, or release, or subordinate Lenders’ security interest in, or consent to the transfer of, any Collateral shall be enforceable or admissible unless, and only to the extent, expressly set forth in a writing signed by Agent, with the consent of the Lenders in accordance with the Lender Intercreditor Agreement or, if such item is not addressed in the Lender Intercreditor Agreement, as consented to by a majority of the Lenders, and Borrower.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 In the event any provision of any other Loan Document is inconsistent with the provisions of this Agreement, the provisions of this Agreement shall exclusively control.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00" w:name="page301"/>
    <w:bookmarkEnd w:id="300"/>
    <w:p>
      <w:pPr>
        <w:ind w:right="1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162"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b w:val="1"/>
          <w:bCs w:val="1"/>
          <w:color w:val="auto"/>
        </w:rPr>
        <w:t xml:space="preserve">Confidentiality. </w:t>
      </w:r>
      <w:r>
        <w:rPr>
          <w:rFonts w:ascii="Arial" w:cs="Arial" w:eastAsia="Arial" w:hAnsi="Arial"/>
          <w:sz w:val="16"/>
          <w:szCs w:val="16"/>
          <w:color w:val="auto"/>
        </w:rPr>
        <w:t>Agent and each Lender agrees to maintain the confidentiality of Information (as defined below), except that Information may be</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disclosed (a) to Agent and/or any Lender’s subsidiaries or Affiliates, and their respective employees, directors, investors, potential investors, agents, attorneys, accountants and other professional advisors (collectively, “</w:t>
      </w:r>
      <w:r>
        <w:rPr>
          <w:rFonts w:ascii="Arial" w:cs="Arial" w:eastAsia="Arial" w:hAnsi="Arial"/>
          <w:sz w:val="16"/>
          <w:szCs w:val="16"/>
          <w:b w:val="1"/>
          <w:bCs w:val="1"/>
          <w:color w:val="auto"/>
        </w:rPr>
        <w:t>Representatives</w:t>
      </w:r>
      <w:r>
        <w:rPr>
          <w:rFonts w:ascii="Arial" w:cs="Arial" w:eastAsia="Arial" w:hAnsi="Arial"/>
          <w:sz w:val="16"/>
          <w:szCs w:val="16"/>
          <w:color w:val="auto"/>
        </w:rPr>
        <w:t>” and, together with Agent and the Lenders, collectively, “</w:t>
      </w:r>
      <w:r>
        <w:rPr>
          <w:rFonts w:ascii="Arial" w:cs="Arial" w:eastAsia="Arial" w:hAnsi="Arial"/>
          <w:sz w:val="16"/>
          <w:szCs w:val="16"/>
          <w:b w:val="1"/>
          <w:bCs w:val="1"/>
          <w:color w:val="auto"/>
        </w:rPr>
        <w:t>Lender</w:t>
      </w:r>
      <w:r>
        <w:rPr>
          <w:rFonts w:ascii="Arial" w:cs="Arial" w:eastAsia="Arial" w:hAnsi="Arial"/>
          <w:sz w:val="16"/>
          <w:szCs w:val="16"/>
          <w:color w:val="auto"/>
        </w:rPr>
        <w:t xml:space="preserve"> </w:t>
      </w:r>
      <w:r>
        <w:rPr>
          <w:rFonts w:ascii="Arial" w:cs="Arial" w:eastAsia="Arial" w:hAnsi="Arial"/>
          <w:sz w:val="16"/>
          <w:szCs w:val="16"/>
          <w:b w:val="1"/>
          <w:bCs w:val="1"/>
          <w:color w:val="auto"/>
        </w:rPr>
        <w:t>Entities</w:t>
      </w:r>
      <w:r>
        <w:rPr>
          <w:rFonts w:ascii="Arial" w:cs="Arial" w:eastAsia="Arial" w:hAnsi="Arial"/>
          <w:sz w:val="16"/>
          <w:szCs w:val="16"/>
          <w:color w:val="auto"/>
        </w:rPr>
        <w:t>”); (b) to prospective transferees, assignees, credit providers or purchasers of any of Agent’s or Lenders’ interests under or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their Representatives (provided, however, that any such prospective transferee, assignee, credit provider, or purchaser or their Representatives shall have entered into an agreement containing provisions substantially the same as those in this Section 13.9); (c) as required by law, regulation, subpoena, or other order; (d) to Agent’s or any Lender’s regulators or as otherwise required in connection with Agent’s or any Lender’s examination or audit; (e) as Agent or any Lender considers appropriate in exercising remedies under the Loan Documents; and (f) to third-party service providers of Agent and/or any Lender so long as such service providers have executed a confidentiality agreement with Agent or the Lenders, as applicable, with terms no less restrictive than those contained herein. The term “</w:t>
      </w:r>
      <w:r>
        <w:rPr>
          <w:rFonts w:ascii="Arial" w:cs="Arial" w:eastAsia="Arial" w:hAnsi="Arial"/>
          <w:sz w:val="16"/>
          <w:szCs w:val="16"/>
          <w:b w:val="1"/>
          <w:bCs w:val="1"/>
          <w:color w:val="auto"/>
        </w:rPr>
        <w:t>Information</w:t>
      </w:r>
      <w:r>
        <w:rPr>
          <w:rFonts w:ascii="Arial" w:cs="Arial" w:eastAsia="Arial" w:hAnsi="Arial"/>
          <w:sz w:val="16"/>
          <w:szCs w:val="16"/>
          <w:color w:val="auto"/>
        </w:rPr>
        <w:t>” means all information received from Borrower or Guarantor regarding such entity’s business, in each case other than information that is either: (i) in the public domain or in Agent’s or any Lender’s possession when disclosed to Agent or such Lender, or becomes part of the public domain (other than as a result of its disclosure by Agent or a Lender in violation of this Agreement) after disclosure to Agent and/or the Lenders; or (ii) disclosed to Agent and/or a Lender by a third party, if Agent or such Lender, as applicable, does not know that the third party is prohibited from disclosing the information.</w:t>
      </w:r>
    </w:p>
    <w:p>
      <w:pPr>
        <w:spacing w:after="0" w:line="175"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Lender Entities may use anonymous forms of confidential information for aggregate datasets, for analyses or reporting, and for any other uses not expressly prohibited in writing by Borrower. The provisions of the immediately preceding sentence shall survive the termination of this Agreement.</w:t>
      </w:r>
    </w:p>
    <w:p>
      <w:pPr>
        <w:spacing w:after="0" w:line="12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Right of Setoff</w:t>
      </w:r>
      <w:r>
        <w:rPr>
          <w:rFonts w:ascii="Arial" w:cs="Arial" w:eastAsia="Arial" w:hAnsi="Arial"/>
          <w:sz w:val="17"/>
          <w:szCs w:val="17"/>
          <w:color w:val="auto"/>
        </w:rPr>
        <w:t>. Borrower hereby grants to Agent, for the ratable benefit of the Lenders, a Lien, security interest, and a right of setoff as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for all Obligations to Agent and the Lenders, whether now existing or hereafter arising upon and against all deposits, credits, collateral and property, now or hereafter in the possession, custody, safekeeping or control of Agent or any entity under the control of Agent (including a subsidiary of Agent) in transit to any of them. At any time after the occurrence and during the continuance of an Event of Default, without demand or notice, Agent or any Lender may setoff the same or any part thereof and apply the same to any liability or Obligation of Borrower even though unmatured and regardless of the adequacy of any other collateral securing the Obligations. ANY AND ALL RIGHTS TO REQUIRE AGENT OR ANY LENDER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3"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Attorneys’ Fees, Costs and Expenses</w:t>
      </w:r>
      <w:r>
        <w:rPr>
          <w:rFonts w:ascii="Arial" w:cs="Arial" w:eastAsia="Arial" w:hAnsi="Arial"/>
          <w:sz w:val="18"/>
          <w:szCs w:val="18"/>
          <w:color w:val="auto"/>
        </w:rPr>
        <w:t>. In any action or proceeding between Borrower and Agent or the Lenders arising out of or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the prevailing party shall be entitled to recover its reasonable and documented attorneys’ fees and other costs and expenses incurred, in addition to any other relief to which it may be entitled.</w:t>
      </w:r>
    </w:p>
    <w:p>
      <w:pPr>
        <w:spacing w:after="0" w:line="176"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b w:val="1"/>
          <w:bCs w:val="1"/>
          <w:color w:val="auto"/>
        </w:rPr>
        <w:t>Electronic Execution of Documents</w:t>
      </w:r>
      <w:r>
        <w:rPr>
          <w:rFonts w:ascii="Arial" w:cs="Arial" w:eastAsia="Arial" w:hAnsi="Arial"/>
          <w:sz w:val="17"/>
          <w:szCs w:val="17"/>
          <w:color w:val="auto"/>
        </w:rPr>
        <w:t>. The words “execution,” “signed,” “signature” and words of like import in any Loan Document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Captions</w:t>
      </w:r>
      <w:r>
        <w:rPr>
          <w:rFonts w:ascii="Arial" w:cs="Arial" w:eastAsia="Arial" w:hAnsi="Arial"/>
          <w:sz w:val="18"/>
          <w:szCs w:val="18"/>
          <w:color w:val="auto"/>
        </w:rPr>
        <w:t>. The headings used in this Agreement are for convenience only and shall not affect the interpretation of this Agreement.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0" w:right="459" w:bottom="1440" w:gutter="0" w:footer="0" w:header="0"/>
        </w:sectPr>
      </w:pPr>
    </w:p>
    <w:bookmarkStart w:id="301" w:name="page302"/>
    <w:bookmarkEnd w:id="301"/>
    <w:p>
      <w:pPr>
        <w:ind w:right="80" w:firstLine="4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Construction of Agreement</w:t>
      </w:r>
      <w:r>
        <w:rPr>
          <w:rFonts w:ascii="Arial" w:cs="Arial" w:eastAsia="Arial" w:hAnsi="Arial"/>
          <w:sz w:val="16"/>
          <w:szCs w:val="16"/>
          <w:color w:val="auto"/>
        </w:rPr>
        <w:t>. The parties mutually acknowledge that they and their attorneys have participated in the preparation and negotiation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In cases of uncertainty this Agreement shall be construed without regard to which of the parties caused the uncertainty to exist.</w:t>
      </w:r>
    </w:p>
    <w:p>
      <w:pPr>
        <w:spacing w:after="0" w:line="11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Relationship</w:t>
      </w:r>
      <w:r>
        <w:rPr>
          <w:rFonts w:ascii="Arial" w:cs="Arial" w:eastAsia="Arial" w:hAnsi="Arial"/>
          <w:sz w:val="18"/>
          <w:szCs w:val="18"/>
          <w:color w:val="auto"/>
        </w:rPr>
        <w:t>. The relationship of the parties to this Agreement is determined solely by the provisions of this Agreement. The parties do not intend</w:t>
      </w:r>
      <w:r>
        <w:rPr>
          <w:rFonts w:ascii="Arial" w:cs="Arial" w:eastAsia="Arial" w:hAnsi="Arial"/>
          <w:sz w:val="18"/>
          <w:szCs w:val="18"/>
          <w:b w:val="1"/>
          <w:bCs w:val="1"/>
          <w:color w:val="auto"/>
        </w:rPr>
        <w:t xml:space="preserve"> </w:t>
      </w:r>
      <w:r>
        <w:rPr>
          <w:rFonts w:ascii="Arial" w:cs="Arial" w:eastAsia="Arial" w:hAnsi="Arial"/>
          <w:sz w:val="18"/>
          <w:szCs w:val="18"/>
          <w:color w:val="auto"/>
        </w:rPr>
        <w:t>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ind w:right="140" w:firstLine="440"/>
        <w:spacing w:after="0" w:line="261" w:lineRule="auto"/>
        <w:rPr>
          <w:sz w:val="20"/>
          <w:szCs w:val="20"/>
          <w:color w:val="auto"/>
        </w:rPr>
      </w:pPr>
      <w:r>
        <w:rPr>
          <w:rFonts w:ascii="Arial" w:cs="Arial" w:eastAsia="Arial" w:hAnsi="Arial"/>
          <w:sz w:val="18"/>
          <w:szCs w:val="18"/>
          <w:b w:val="1"/>
          <w:bCs w:val="1"/>
          <w:color w:val="auto"/>
        </w:rPr>
        <w:t>Third Parties</w:t>
      </w:r>
      <w:r>
        <w:rPr>
          <w:rFonts w:ascii="Arial" w:cs="Arial" w:eastAsia="Arial" w:hAnsi="Arial"/>
          <w:sz w:val="18"/>
          <w:szCs w:val="18"/>
          <w:color w:val="auto"/>
        </w:rPr>
        <w:t>. Nothing in this Agreement, whether express or implied, is intended to: (a) confer any benefits, rights or remedies under or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Patriot Act</w:t>
      </w:r>
      <w:r>
        <w:rPr>
          <w:rFonts w:ascii="Arial" w:cs="Arial" w:eastAsia="Arial" w:hAnsi="Arial"/>
          <w:sz w:val="18"/>
          <w:szCs w:val="18"/>
          <w:color w:val="auto"/>
        </w:rPr>
        <w:t>. Each Lender hereby notifies Borrower that pursuant to the requirements of the USA PATRIOT Act, it is required to obtain, verify and</w:t>
      </w:r>
      <w:r>
        <w:rPr>
          <w:rFonts w:ascii="Arial" w:cs="Arial" w:eastAsia="Arial" w:hAnsi="Arial"/>
          <w:sz w:val="18"/>
          <w:szCs w:val="18"/>
          <w:b w:val="1"/>
          <w:bCs w:val="1"/>
          <w:color w:val="auto"/>
        </w:rPr>
        <w:t xml:space="preserve"> </w:t>
      </w:r>
      <w:r>
        <w:rPr>
          <w:rFonts w:ascii="Arial" w:cs="Arial" w:eastAsia="Arial" w:hAnsi="Arial"/>
          <w:sz w:val="18"/>
          <w:szCs w:val="18"/>
          <w:color w:val="auto"/>
        </w:rPr>
        <w:t>record information that identifies Borrower and each of its Subsidiaries, which information includes the names and addresses of each Borrower and each of its Subsidiaries and other information that will allow Lender, as applicable, to identify Borrower and each of its Subsidiaries in accordance with the USA PATRIOT Act.</w:t>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17"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Loan Documents, the word “shall” is mandatory, the word “may” is permissive, the word “or” is not exclusive,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68"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w:t>
      </w:r>
      <w:r>
        <w:rPr>
          <w:rFonts w:ascii="Arial" w:cs="Arial" w:eastAsia="Arial" w:hAnsi="Arial"/>
          <w:sz w:val="18"/>
          <w:szCs w:val="18"/>
          <w:b w:val="1"/>
          <w:bCs w:val="1"/>
          <w:color w:val="auto"/>
        </w:rPr>
        <w:t>account</w:t>
      </w:r>
      <w:r>
        <w:rPr>
          <w:rFonts w:ascii="Arial" w:cs="Arial" w:eastAsia="Arial" w:hAnsi="Arial"/>
          <w:sz w:val="18"/>
          <w:szCs w:val="18"/>
          <w:color w:val="auto"/>
        </w:rPr>
        <w: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w:t>
      </w:r>
      <w:r>
        <w:rPr>
          <w:rFonts w:ascii="Arial" w:cs="Arial" w:eastAsia="Arial" w:hAnsi="Arial"/>
          <w:sz w:val="18"/>
          <w:szCs w:val="18"/>
          <w:b w:val="1"/>
          <w:bCs w:val="1"/>
          <w:color w:val="auto"/>
        </w:rPr>
        <w:t>account debtor</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ALX Ireland</w:t>
      </w:r>
      <w:r>
        <w:rPr>
          <w:rFonts w:ascii="Arial" w:cs="Arial" w:eastAsia="Arial" w:hAnsi="Arial"/>
          <w:sz w:val="18"/>
          <w:szCs w:val="18"/>
          <w:color w:val="auto"/>
        </w:rPr>
        <w:t>” is ALX Oncology Limited, a private company limited by shares incorporated under the laws of Ireland.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ALX U.S.</w:t>
      </w:r>
      <w:r>
        <w:rPr>
          <w:rFonts w:ascii="Arial" w:cs="Arial" w:eastAsia="Arial" w:hAnsi="Arial"/>
          <w:sz w:val="18"/>
          <w:szCs w:val="18"/>
          <w:color w:val="auto"/>
        </w:rPr>
        <w:t>” is ALX Oncology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Alexo</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making (and executing if applicable) any Credit Extension request, on behalf of Borrower.</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w:t>
      </w:r>
      <w:r>
        <w:rPr>
          <w:rFonts w:ascii="Arial" w:cs="Arial" w:eastAsia="Arial" w:hAnsi="Arial"/>
          <w:sz w:val="18"/>
          <w:szCs w:val="18"/>
          <w:color w:val="auto"/>
        </w:rPr>
        <w:t>” are any products, credit services, and/or financial accommodations previously, now, or hereafter provided to Borrower or any of its Subsidiaries by SVB or any SVB Affiliate, including, without limitation,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302" w:name="page303"/>
    <w:bookmarkEnd w:id="302"/>
    <w:p>
      <w:pPr>
        <w:jc w:val="both"/>
        <w:ind w:left="4"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SVB’s various agreements related thereto (each, a “</w:t>
      </w:r>
      <w:r>
        <w:rPr>
          <w:rFonts w:ascii="Arial" w:cs="Arial" w:eastAsia="Arial" w:hAnsi="Arial"/>
          <w:sz w:val="18"/>
          <w:szCs w:val="18"/>
          <w:b w:val="1"/>
          <w:bCs w:val="1"/>
          <w:color w:val="auto"/>
        </w:rPr>
        <w:t>Bank Services Agreement</w:t>
      </w:r>
      <w:r>
        <w:rPr>
          <w:rFonts w:ascii="Arial" w:cs="Arial" w:eastAsia="Arial" w:hAnsi="Arial"/>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Borrower’s board of directors or ALX Ireland’s board of directors, as applicable.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4"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or shareholders) and delivered by such Person to Agent approving the Loan Documents to which such Person is a party and the transactions contemplated thereby, together with a certificate executed by its secretary (or other appropriate representative)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Agent and the Lenders may conclusively rely on such certificate unless and until such Person shall have delivered to Agent and the Lenders a further certificate canceling or amending such prior certificate.</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Agent is closed.</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SVB’s certificates of deposit issued maturing no more than one (1) year after issue; and (d) money market funds at least ninety-five percent (95.0%) of the assets of which constitute Cash Equivalents of the kinds described in clauses (a) through (c) of this definition</w:t>
      </w:r>
      <w:r>
        <w:rPr>
          <w:rFonts w:ascii="Arial" w:cs="Arial" w:eastAsia="Arial" w:hAnsi="Arial"/>
          <w:sz w:val="17"/>
          <w:szCs w:val="17"/>
          <w:b w:val="1"/>
          <w:bCs w:val="1"/>
          <w:color w:val="auto"/>
        </w:rPr>
        <w:t>.</w:t>
      </w:r>
    </w:p>
    <w:p>
      <w:pPr>
        <w:spacing w:after="0" w:line="168"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twenty-five percent (25.0%) or more of the ordinary voting power for the election of directors of Borrower (determined on a fully diluted basis) other than by the sale of Borrower’s equity securities or shares in a public offering or to venture capital or private equity investors so long as Borrower identifies to the Agent and the Lenders the venture capital or private equity investors at least seven</w:t>
      </w:r>
    </w:p>
    <w:p>
      <w:pPr>
        <w:spacing w:after="0" w:line="2" w:lineRule="exact"/>
        <w:rPr>
          <w:sz w:val="20"/>
          <w:szCs w:val="20"/>
          <w:color w:val="auto"/>
        </w:rPr>
      </w:pPr>
    </w:p>
    <w:p>
      <w:pPr>
        <w:ind w:left="264" w:hanging="264"/>
        <w:spacing w:after="0"/>
        <w:tabs>
          <w:tab w:leader="none" w:pos="264" w:val="left"/>
        </w:tabs>
        <w:numPr>
          <w:ilvl w:val="0"/>
          <w:numId w:val="271"/>
        </w:numPr>
        <w:rPr>
          <w:rFonts w:ascii="Arial" w:cs="Arial" w:eastAsia="Arial" w:hAnsi="Arial"/>
          <w:sz w:val="16"/>
          <w:szCs w:val="16"/>
          <w:color w:val="auto"/>
        </w:rPr>
      </w:pPr>
      <w:r>
        <w:rPr>
          <w:rFonts w:ascii="Arial" w:cs="Arial" w:eastAsia="Arial" w:hAnsi="Arial"/>
          <w:sz w:val="16"/>
          <w:szCs w:val="16"/>
          <w:color w:val="auto"/>
        </w:rPr>
        <w:t>Business Days prior to the closing of the transaction and provides to Agent and the Lenders a description of the material terms of the transaction;</w:t>
      </w:r>
    </w:p>
    <w:p>
      <w:pPr>
        <w:spacing w:after="0" w:line="32" w:lineRule="exact"/>
        <w:rPr>
          <w:rFonts w:ascii="Arial" w:cs="Arial" w:eastAsia="Arial" w:hAnsi="Arial"/>
          <w:sz w:val="16"/>
          <w:szCs w:val="16"/>
          <w:color w:val="auto"/>
        </w:rPr>
      </w:pPr>
    </w:p>
    <w:p>
      <w:pPr>
        <w:ind w:left="4" w:right="380"/>
        <w:spacing w:after="0" w:line="281" w:lineRule="auto"/>
        <w:rPr>
          <w:rFonts w:ascii="Arial" w:cs="Arial" w:eastAsia="Arial" w:hAnsi="Arial"/>
          <w:sz w:val="16"/>
          <w:szCs w:val="16"/>
          <w:color w:val="auto"/>
        </w:rPr>
      </w:pPr>
      <w:r>
        <w:rPr>
          <w:rFonts w:ascii="Arial" w:cs="Arial" w:eastAsia="Arial" w:hAnsi="Arial"/>
          <w:sz w:val="16"/>
          <w:szCs w:val="16"/>
          <w:color w:val="auto"/>
        </w:rPr>
        <w:t>(b)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w:t>
      </w:r>
    </w:p>
    <w:p>
      <w:pPr>
        <w:spacing w:after="0" w:line="1" w:lineRule="exact"/>
        <w:rPr>
          <w:rFonts w:ascii="Arial" w:cs="Arial" w:eastAsia="Arial" w:hAnsi="Arial"/>
          <w:sz w:val="16"/>
          <w:szCs w:val="16"/>
          <w:color w:val="auto"/>
        </w:rPr>
      </w:pPr>
    </w:p>
    <w:p>
      <w:pPr>
        <w:ind w:left="4"/>
        <w:spacing w:after="0" w:line="252" w:lineRule="auto"/>
        <w:rPr>
          <w:rFonts w:ascii="Arial" w:cs="Arial" w:eastAsia="Arial" w:hAnsi="Arial"/>
          <w:sz w:val="16"/>
          <w:szCs w:val="16"/>
          <w:color w:val="auto"/>
        </w:rPr>
      </w:pPr>
      <w:r>
        <w:rPr>
          <w:rFonts w:ascii="Arial" w:cs="Arial" w:eastAsia="Arial" w:hAnsi="Arial"/>
          <w:sz w:val="18"/>
          <w:szCs w:val="18"/>
          <w:color w:val="auto"/>
        </w:rPr>
        <w:t>(ii)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at any time, Borrower shall cease to own and control, of record and beneficially, directly or indirectly, one hundred percent (100.0%) of each class of outstanding capital stock of each Subsidiary of Borrower free and clear of all Liens (except Liens created by this Agreement).</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03" w:name="page304"/>
    <w:bookmarkEnd w:id="3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13.3.</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Assignment of License Agreement</w:t>
      </w:r>
      <w:r>
        <w:rPr>
          <w:rFonts w:ascii="Arial" w:cs="Arial" w:eastAsia="Arial" w:hAnsi="Arial"/>
          <w:sz w:val="18"/>
          <w:szCs w:val="18"/>
          <w:color w:val="auto"/>
        </w:rPr>
        <w:t>” is that certain Collateral Assignment of License Agreement dated as of the Effective Date executed by and among Borrower, Agent, the Lenders, and ALX U.S.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and “</w:t>
      </w:r>
      <w:r>
        <w:rPr>
          <w:rFonts w:ascii="Arial" w:cs="Arial" w:eastAsia="Arial" w:hAnsi="Arial"/>
          <w:sz w:val="18"/>
          <w:szCs w:val="18"/>
          <w:b w:val="1"/>
          <w:bCs w:val="1"/>
          <w:color w:val="auto"/>
        </w:rPr>
        <w:t>Commitments</w:t>
      </w:r>
      <w:r>
        <w:rPr>
          <w:rFonts w:ascii="Arial" w:cs="Arial" w:eastAsia="Arial" w:hAnsi="Arial"/>
          <w:sz w:val="18"/>
          <w:szCs w:val="18"/>
          <w:color w:val="auto"/>
        </w:rPr>
        <w:t>” means the Term Loan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Contingent Obligation</w:t>
      </w:r>
      <w:r>
        <w:rPr>
          <w:rFonts w:ascii="Arial" w:cs="Arial" w:eastAsia="Arial" w:hAnsi="Arial"/>
          <w:sz w:val="17"/>
          <w:szCs w:val="17"/>
          <w:color w:val="auto"/>
        </w:rPr>
        <w:t>” is, for any Person, any direct or indirect liability, contingent or not, of that Person for (a) any indebtedness, lease, dividend, letter of credit or other obligation of another such as an obligation, in each case,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Agent pursuant to which Agent obtains control (within the meaning of the Code) for the benefit of the Lenders over such Deposit Account, Securities Account, or Commodity Account.</w:t>
      </w:r>
    </w:p>
    <w:p>
      <w:pPr>
        <w:spacing w:after="0" w:line="18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Extension</w:t>
      </w:r>
      <w:r>
        <w:rPr>
          <w:rFonts w:ascii="Arial" w:cs="Arial" w:eastAsia="Arial" w:hAnsi="Arial"/>
          <w:sz w:val="16"/>
          <w:szCs w:val="16"/>
          <w:color w:val="auto"/>
        </w:rPr>
        <w:t>” is any Term Loan Advance, or any other extension of credit by any Lender for Borrower’s benefit under any Loan Document.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Debenture</w:t>
      </w:r>
      <w:r>
        <w:rPr>
          <w:rFonts w:ascii="Arial" w:cs="Arial" w:eastAsia="Arial" w:hAnsi="Arial"/>
          <w:sz w:val="18"/>
          <w:szCs w:val="18"/>
          <w:color w:val="auto"/>
        </w:rPr>
        <w:t>” means the Irish law debenture dated on or about the Effective Date between ALX Ireland and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304" w:name="page305"/>
    <w:bookmarkEnd w:id="304"/>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Defaulting Lender</w:t>
      </w:r>
      <w:r>
        <w:rPr>
          <w:rFonts w:ascii="Arial" w:cs="Arial" w:eastAsia="Arial" w:hAnsi="Arial"/>
          <w:sz w:val="16"/>
          <w:szCs w:val="16"/>
          <w:color w:val="auto"/>
        </w:rPr>
        <w:t>” is, subject to Section 10.10(b), any Lender that (a) has failed to (i) fund all or any portion of its Term Loan Advances within two (2) Business Days of the date such Term Loan Advances were required to be funded hereunder unless such Lender notifies Agent and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Agent or any other Lender any other amount required to be paid by it hereunder within two (2) Business Days of the date when due, (b) has notified Borrower or Agent in writing that it does not intend to comply with its funding obligations hereunder, or has made a public statement to that effect (unless such writing or public statement relates to such Lender’s obligation to fund a Term Loan Advance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Borrower, to confirm in writing to Agent and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Agent and Borrower), or</w:t>
      </w:r>
    </w:p>
    <w:p>
      <w:pPr>
        <w:spacing w:after="0" w:line="8" w:lineRule="exact"/>
        <w:rPr>
          <w:sz w:val="20"/>
          <w:szCs w:val="20"/>
          <w:color w:val="auto"/>
        </w:rPr>
      </w:pPr>
    </w:p>
    <w:p>
      <w:pPr>
        <w:ind w:left="4" w:hanging="4"/>
        <w:spacing w:after="0" w:line="268" w:lineRule="auto"/>
        <w:tabs>
          <w:tab w:leader="none" w:pos="259"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has, or has a direct or indirect parent company that has, (i) become the subject of an Insolvency Proceeding,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(subject to Section 10.10(b)) upon delivery of written notice of such determination to Borrower and each Lender.</w:t>
      </w:r>
    </w:p>
    <w:p>
      <w:pPr>
        <w:spacing w:after="0" w:line="17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w:t>
      </w:r>
      <w:r>
        <w:rPr>
          <w:rFonts w:ascii="Arial" w:cs="Arial" w:eastAsia="Arial" w:hAnsi="Arial"/>
          <w:sz w:val="18"/>
          <w:szCs w:val="18"/>
          <w:b w:val="1"/>
          <w:bCs w:val="1"/>
          <w:color w:val="auto"/>
        </w:rPr>
        <w:t>deposit account</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left="4" w:right="1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Designated Deposit Account</w:t>
      </w:r>
      <w:r>
        <w:rPr>
          <w:rFonts w:ascii="Arial" w:cs="Arial" w:eastAsia="Arial" w:hAnsi="Arial"/>
          <w:sz w:val="17"/>
          <w:szCs w:val="17"/>
          <w:color w:val="auto"/>
        </w:rPr>
        <w:t>” is, collectively (i) the account number ending 956 (last three digits) maintained by Alexo with SVB, and (ii) the account number ending 906 (last three digits) maintained by Sirpant with SVB (provided, however, if no such account number is included, then the Designated Deposit Account shall be any deposit account of Borrower maintained with SVB as chosen by the Lenders).</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left="4" w:right="2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18 217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65"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left="4" w:right="20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Dollar Equivalent</w:t>
      </w:r>
      <w:r>
        <w:rPr>
          <w:rFonts w:ascii="Arial" w:cs="Arial" w:eastAsia="Arial" w:hAnsi="Arial"/>
          <w:sz w:val="16"/>
          <w:szCs w:val="16"/>
          <w:color w:val="auto"/>
        </w:rPr>
        <w:t>” is, at any time, (a) with respect to any amount denominated in Dollars, such amount, and (b) with respect to any amount denominated in a Foreign Currency, the equivalent amount therefor in Dollars as determined by Agent at such time on the basis of the then-prevailing rate of exchange in San Francisco, California, for sales of the Foreign Currency for transfer to the country issuing such Foreign Currency.</w:t>
      </w:r>
    </w:p>
    <w:p>
      <w:pPr>
        <w:spacing w:after="0" w:line="142"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Period</w:t>
      </w:r>
      <w:r>
        <w:rPr>
          <w:rFonts w:ascii="Arial" w:cs="Arial" w:eastAsia="Arial" w:hAnsi="Arial"/>
          <w:sz w:val="18"/>
          <w:szCs w:val="18"/>
          <w:color w:val="auto"/>
        </w:rPr>
        <w:t>” is the period of time commencing upon the occurrence of the Term Sheet Event and continuing through the earlier to occur of (a) March 31, 2020, and (b) an Event of Default.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4"/>
          </w:cols>
          <w:pgMar w:left="436" w:top="270" w:right="479" w:bottom="1440" w:gutter="0" w:footer="0" w:header="0"/>
        </w:sectPr>
      </w:pPr>
    </w:p>
    <w:bookmarkStart w:id="305" w:name="page306"/>
    <w:bookmarkEnd w:id="30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58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w:t>
      </w:r>
      <w:r>
        <w:rPr>
          <w:rFonts w:ascii="Arial" w:cs="Arial" w:eastAsia="Arial" w:hAnsi="Arial"/>
          <w:sz w:val="17"/>
          <w:szCs w:val="17"/>
          <w:b w:val="1"/>
          <w:bCs w:val="1"/>
          <w:color w:val="auto"/>
        </w:rPr>
        <w:t>equipment</w:t>
      </w:r>
      <w:r>
        <w:rPr>
          <w:rFonts w:ascii="Arial" w:cs="Arial" w:eastAsia="Arial" w:hAnsi="Arial"/>
          <w:sz w:val="17"/>
          <w:szCs w:val="17"/>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Event</w:t>
      </w:r>
      <w:r>
        <w:rPr>
          <w:rFonts w:ascii="Arial" w:cs="Arial" w:eastAsia="Arial" w:hAnsi="Arial"/>
          <w:sz w:val="17"/>
          <w:szCs w:val="17"/>
          <w:color w:val="auto"/>
        </w:rPr>
        <w:t>” means Borrower has provided Agent and the Lenders with evidence, satisfactory to Agent and each Lender in Agent’s and each Lender’s sole and absolute discretion, that ALX Ireland has received, after the Effective Date, unrestricted and unencumbered net cash proceeds in an amount of at least Fifty Million Dollars ($50,000,000.00) from the issuance and sale by ALX Ireland of its equity securities to investors (which amount shall be inclusive of any funds received by ALX Ireland with respect to the Interest Only Extension Event).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80" w:lineRule="exact"/>
        <w:rPr>
          <w:sz w:val="20"/>
          <w:szCs w:val="20"/>
          <w:color w:val="auto"/>
        </w:rPr>
      </w:pPr>
    </w:p>
    <w:p>
      <w:pPr>
        <w:jc w:val="both"/>
        <w:ind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Final Payment</w:t>
      </w:r>
      <w:r>
        <w:rPr>
          <w:rFonts w:ascii="Arial" w:cs="Arial" w:eastAsia="Arial" w:hAnsi="Arial"/>
          <w:sz w:val="16"/>
          <w:szCs w:val="16"/>
          <w:color w:val="auto"/>
        </w:rPr>
        <w:t>” is a payment (in addition to and not in substitution for the regular monthly payments of principal plus accrued interest) equal to the original principal amount of each Term Loan Advance extended by the Lenders to Borrower hereunder multiplied by six percent (6.0%) due on the earliest to occur of (a) the Term Loan Maturity Date, (b) the payment in full of the Term Loan Advances, (c) as required by Section 2.2(d) or 2.2(e), or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 the termination of this Agreement.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SVB under which Borrower commits to purchase from or sell to SVB a specific amount of Foreign Currency on a specified date.</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3"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0" w:right="499" w:bottom="1440" w:gutter="0" w:footer="0" w:header="0"/>
        </w:sectPr>
      </w:pPr>
    </w:p>
    <w:bookmarkStart w:id="306" w:name="page307"/>
    <w:bookmarkEnd w:id="306"/>
    <w:p>
      <w:pPr>
        <w:ind w:left="4" w:right="20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 ALX Ireland, and (b) after the Effective Date, ALX Ireland and any other Person providing a Guaranty in favor of Agent and the Lenders.</w:t>
      </w:r>
    </w:p>
    <w:p>
      <w:pPr>
        <w:spacing w:after="0" w:line="162"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 that certain Unconditional Guaranty dated as of the Effective Date executed by ALX Ireland in favor of Agent and the Lenders, as may be amended, modified, supplemented, or restated from time to time and (b) any guarantee of all or any part of the Obligations, as the same may from time to time be amended, restated, modified or otherwise supplemented.</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Member</w:t>
      </w:r>
      <w:r>
        <w:rPr>
          <w:rFonts w:ascii="Arial" w:cs="Arial" w:eastAsia="Arial" w:hAnsi="Arial"/>
          <w:sz w:val="18"/>
          <w:szCs w:val="18"/>
          <w:color w:val="auto"/>
        </w:rPr>
        <w:t>” means Borrower and its Subsidiaries.</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13.3.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is defined in Section 13.9.</w:t>
      </w:r>
    </w:p>
    <w:p>
      <w:pPr>
        <w:spacing w:after="0" w:line="225" w:lineRule="exact"/>
        <w:rPr>
          <w:sz w:val="20"/>
          <w:szCs w:val="20"/>
          <w:color w:val="auto"/>
        </w:rPr>
      </w:pPr>
    </w:p>
    <w:p>
      <w:pPr>
        <w:ind w:left="4" w:right="4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liquidation, provisional liquidation, winding up, administration, examinership or dissolution, arrangement, or other relief or the appointment of a liquidator, provisional liquidator, receiver, examiner, administrative receiver, administrator, compulsory manager or other similar officer in respect of any Person or its assets.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121" w:lineRule="exact"/>
        <w:rPr>
          <w:sz w:val="20"/>
          <w:szCs w:val="20"/>
          <w:color w:val="auto"/>
        </w:rPr>
      </w:pPr>
    </w:p>
    <w:p>
      <w:pPr>
        <w:ind w:left="1364" w:hanging="373"/>
        <w:spacing w:after="0"/>
        <w:tabs>
          <w:tab w:leader="none" w:pos="136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and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operating manuals;</w:t>
      </w:r>
    </w:p>
    <w:p>
      <w:pPr>
        <w:spacing w:after="0" w:line="210" w:lineRule="exact"/>
        <w:rPr>
          <w:rFonts w:ascii="Arial" w:cs="Arial" w:eastAsia="Arial" w:hAnsi="Arial"/>
          <w:sz w:val="16"/>
          <w:szCs w:val="16"/>
          <w:color w:val="auto"/>
        </w:rPr>
      </w:pPr>
    </w:p>
    <w:p>
      <w:pPr>
        <w:ind w:left="1364" w:hanging="373"/>
        <w:spacing w:after="0"/>
        <w:tabs>
          <w:tab w:leader="none" w:pos="136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left="4" w:right="320" w:firstLine="987"/>
        <w:spacing w:after="0" w:line="308" w:lineRule="auto"/>
        <w:tabs>
          <w:tab w:leader="none" w:pos="1375"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6" w:lineRule="exact"/>
        <w:rPr>
          <w:rFonts w:ascii="Arial" w:cs="Arial" w:eastAsia="Arial" w:hAnsi="Arial"/>
          <w:sz w:val="17"/>
          <w:szCs w:val="17"/>
          <w:color w:val="auto"/>
        </w:rPr>
      </w:pPr>
    </w:p>
    <w:p>
      <w:pPr>
        <w:ind w:left="1344" w:hanging="353"/>
        <w:spacing w:after="0"/>
        <w:tabs>
          <w:tab w:leader="none" w:pos="134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Only Extension Event</w:t>
      </w:r>
      <w:r>
        <w:rPr>
          <w:rFonts w:ascii="Arial" w:cs="Arial" w:eastAsia="Arial" w:hAnsi="Arial"/>
          <w:sz w:val="16"/>
          <w:szCs w:val="16"/>
          <w:color w:val="auto"/>
        </w:rPr>
        <w:t>” means Borrower has provided Agent and the Lenders with evidence, satisfactory to Agent and each Lender in Agent’s and each Lender’s sole and absolute discretion, on or prior to March 31, 2020, that ALX Ireland has received, after the Effective Date, but on or prior to March 31, 2020, unrestricted and unencumbered net cash proceeds in an amount of at least Forty Million Dollars ($40,000,000.00) from either</w:t>
      </w:r>
    </w:p>
    <w:p>
      <w:pPr>
        <w:spacing w:after="0" w:line="2" w:lineRule="exact"/>
        <w:rPr>
          <w:sz w:val="20"/>
          <w:szCs w:val="20"/>
          <w:color w:val="auto"/>
        </w:rPr>
      </w:pPr>
    </w:p>
    <w:p>
      <w:pPr>
        <w:ind w:left="5424" w:right="1600" w:hanging="5424"/>
        <w:spacing w:after="0" w:line="433" w:lineRule="auto"/>
        <w:tabs>
          <w:tab w:leader="none" w:pos="25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issuance and sale by ALX Ireland of its equity securities to investors or (b) a partnership, joint-venture or strategic alliance. 31</w:t>
      </w:r>
    </w:p>
    <w:p>
      <w:pPr>
        <w:sectPr>
          <w:pgSz w:w="11900" w:h="16838" w:orient="portrait"/>
          <w:cols w:equalWidth="0" w:num="1">
            <w:col w:w="11004"/>
          </w:cols>
          <w:pgMar w:left="436" w:top="270" w:right="459" w:bottom="1440" w:gutter="0" w:footer="0" w:header="0"/>
        </w:sectPr>
      </w:pPr>
    </w:p>
    <w:bookmarkStart w:id="307" w:name="page308"/>
    <w:bookmarkEnd w:id="307"/>
    <w:p>
      <w:pPr>
        <w:ind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Borrower’s Director, who is Jaume Pons as of the Effective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and “</w:t>
      </w:r>
      <w:r>
        <w:rPr>
          <w:rFonts w:ascii="Arial" w:cs="Arial" w:eastAsia="Arial" w:hAnsi="Arial"/>
          <w:sz w:val="18"/>
          <w:szCs w:val="18"/>
          <w:b w:val="1"/>
          <w:bCs w:val="1"/>
          <w:color w:val="auto"/>
        </w:rPr>
        <w:t>Lenders</w:t>
      </w:r>
      <w:r>
        <w:rPr>
          <w:rFonts w:ascii="Arial" w:cs="Arial" w:eastAsia="Arial" w:hAnsi="Arial"/>
          <w:sz w:val="18"/>
          <w:szCs w:val="18"/>
          <w:color w:val="auto"/>
        </w:rPr>
        <w:t>” is defined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13.9.</w:t>
      </w:r>
    </w:p>
    <w:p>
      <w:pPr>
        <w:spacing w:after="0" w:line="225"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Intercreditor Agreement</w:t>
      </w:r>
      <w:r>
        <w:rPr>
          <w:rFonts w:ascii="Arial" w:cs="Arial" w:eastAsia="Arial" w:hAnsi="Arial"/>
          <w:sz w:val="18"/>
          <w:szCs w:val="18"/>
          <w:color w:val="auto"/>
        </w:rPr>
        <w:t>” is, collectively, any and all intercreditor agreement, master arrangement agreement or similar agreement by and between WestRiver and SVB, as each may be amended from time to time in accordance with the provisions thereof.</w:t>
      </w:r>
    </w:p>
    <w:p>
      <w:pPr>
        <w:spacing w:after="0" w:line="162" w:lineRule="exact"/>
        <w:rPr>
          <w:sz w:val="20"/>
          <w:szCs w:val="20"/>
          <w:color w:val="auto"/>
        </w:rPr>
      </w:pPr>
    </w:p>
    <w:p>
      <w:pPr>
        <w:ind w:right="12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 Expenses</w:t>
      </w:r>
      <w:r>
        <w:rPr>
          <w:rFonts w:ascii="Arial" w:cs="Arial" w:eastAsia="Arial" w:hAnsi="Arial"/>
          <w:sz w:val="16"/>
          <w:szCs w:val="16"/>
          <w:color w:val="auto"/>
        </w:rPr>
        <w:t>” are all of Agent’s and the Lenders’ audit fees and expenses, costs, and expenses (including reasonable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4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SVB upon request of Borrower based upon an application, guarantee, indemnity, or similar agreement.</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Agreement</w:t>
      </w:r>
      <w:r>
        <w:rPr>
          <w:rFonts w:ascii="Arial" w:cs="Arial" w:eastAsia="Arial" w:hAnsi="Arial"/>
          <w:sz w:val="18"/>
          <w:szCs w:val="18"/>
          <w:color w:val="auto"/>
        </w:rPr>
        <w:t>” means that certain Agreement dated as of May 25, 2016 by and between Alexo and ALX U.S, as such may be amended, modified, restated, replaced or supplemented and in effect from time to time.</w:t>
      </w:r>
    </w:p>
    <w:p>
      <w:pPr>
        <w:spacing w:after="0" w:line="16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8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and any schedules, exhibits, certificates, notices, and any other documents related to this Agreement, the Perfection Certificate, the Lender Intercreditor Agreement, each Disbursement Letter, the Debenture, the Guaranty, the Warrant, the Collateral Assignment of License Agreement, any Bank Services Agreement, any Control Agreement, any subordination agreement, any note, or notes or guaranties executed by Borrower or any Guarantor, and any other present or future agreement by Borrower and/or any Guarantor with or for the benefit of Agent and the Lenders in connection with this Agreement or Bank Services, all as amended, restated, or otherwise modified.</w:t>
      </w:r>
    </w:p>
    <w:p>
      <w:pPr>
        <w:spacing w:after="0" w:line="154"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Agent’s, for the ratable benefit of the Lenders, Lien in the Collateral or in the value of such Collateral; (b) a material adverse change in the business, operations, financial condition of Borrower or ALX Ireland; or (c) a material impairment of the prospect of repayment of any portion of the Obligations.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Lenders’ Expenses, the Final Payment, the Prepayment Premium and other amounts Borrower owes Agent or any Lender now or later, whether under this Agreement, the other Loan Documents (other than the Warrant), or otherwise, including, without limitation, all obligations relating to Bank Services, if any, and including any interest accruing after Insolvency Proceedings begin and debts, liabilities, or obligations of Borrower assigned to Agent and/or the Lenders, and to perform Borrower’s duties under the Loan Documents (other than the Warrant).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40" w:top="270" w:right="519" w:bottom="1440" w:gutter="0" w:footer="0" w:header="0"/>
        </w:sectPr>
      </w:pPr>
    </w:p>
    <w:bookmarkStart w:id="308" w:name="page309"/>
    <w:bookmarkEnd w:id="308"/>
    <w:p>
      <w:pPr>
        <w:ind w:right="80"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to the extent applicable) of such Person’s jurisdiction of organization on a date that is no earlier than thirty (30) days prior to the Effective Date, and, (a) if such Person is a corporation or exempted company, its bylaws/constitution in current form, certificate of incorporation, memorandum and articles of association,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4"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15"/>
          <w:szCs w:val="15"/>
          <w:color w:val="auto"/>
        </w:rPr>
        <w:t>st</w:t>
      </w:r>
      <w:r>
        <w:rPr>
          <w:rFonts w:ascii="Arial" w:cs="Arial" w:eastAsia="Arial" w:hAnsi="Arial"/>
          <w:sz w:val="18"/>
          <w:szCs w:val="18"/>
          <w:color w:val="auto"/>
        </w:rPr>
        <w:t>) calendar day of each month.</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121" w:lineRule="exact"/>
        <w:rPr>
          <w:sz w:val="20"/>
          <w:szCs w:val="20"/>
          <w:color w:val="auto"/>
        </w:rPr>
      </w:pPr>
    </w:p>
    <w:p>
      <w:pPr>
        <w:ind w:left="1360" w:hanging="373"/>
        <w:spacing w:after="0"/>
        <w:tabs>
          <w:tab w:leader="none" w:pos="13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Borrower’s Indebtedness to Agent and the Lenders under this Agreement and the other Loan Documents;</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225" w:lineRule="exact"/>
        <w:rPr>
          <w:rFonts w:ascii="Arial" w:cs="Arial" w:eastAsia="Arial" w:hAnsi="Arial"/>
          <w:sz w:val="18"/>
          <w:szCs w:val="18"/>
          <w:color w:val="auto"/>
        </w:rPr>
      </w:pPr>
    </w:p>
    <w:p>
      <w:pPr>
        <w:ind w:right="500" w:firstLine="987"/>
        <w:spacing w:after="0" w:line="277" w:lineRule="auto"/>
        <w:tabs>
          <w:tab w:leader="none" w:pos="138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unsecured intercompany Indebtedness with respect to cost-plus or transfer pricing arrangement for the purchase of products or services in the ordinary course of business pursuant to the terms of the R&amp;D Agreement;</w:t>
      </w:r>
    </w:p>
    <w:p>
      <w:pPr>
        <w:spacing w:after="0" w:line="170" w:lineRule="exact"/>
        <w:rPr>
          <w:rFonts w:ascii="Arial" w:cs="Arial" w:eastAsia="Arial" w:hAnsi="Arial"/>
          <w:sz w:val="18"/>
          <w:szCs w:val="18"/>
          <w:color w:val="auto"/>
        </w:rPr>
      </w:pPr>
    </w:p>
    <w:p>
      <w:pPr>
        <w:ind w:firstLine="987"/>
        <w:spacing w:after="0" w:line="277" w:lineRule="auto"/>
        <w:tabs>
          <w:tab w:leader="none" w:pos="138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other unsecured Indebtedness not otherwise permitted by Section 7.4 not exceeding One Hundred Thousand Dollars ($100,000.00) in the aggregate outstanding at any time; and</w:t>
      </w:r>
    </w:p>
    <w:p>
      <w:pPr>
        <w:spacing w:after="0" w:line="170" w:lineRule="exact"/>
        <w:rPr>
          <w:rFonts w:ascii="Arial" w:cs="Arial" w:eastAsia="Arial" w:hAnsi="Arial"/>
          <w:sz w:val="18"/>
          <w:szCs w:val="18"/>
          <w:color w:val="auto"/>
        </w:rPr>
      </w:pPr>
    </w:p>
    <w:p>
      <w:pPr>
        <w:ind w:firstLine="987"/>
        <w:spacing w:after="0" w:line="263" w:lineRule="auto"/>
        <w:tabs>
          <w:tab w:leader="none" w:pos="134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(h) above, provided that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121"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Investments (including, without limitation, Subsidiaries) existing on the Effective Date which are shown on the Perfection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Certificate;</w:t>
      </w:r>
    </w:p>
    <w:p>
      <w:pPr>
        <w:spacing w:after="0" w:line="211" w:lineRule="exact"/>
        <w:rPr>
          <w:sz w:val="20"/>
          <w:szCs w:val="20"/>
          <w:color w:val="auto"/>
        </w:rPr>
      </w:pPr>
    </w:p>
    <w:p>
      <w:pPr>
        <w:ind w:left="1380" w:hanging="393"/>
        <w:spacing w:after="0"/>
        <w:tabs>
          <w:tab w:leader="none" w:pos="13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Investments consisting of Cash Equivalents;</w:t>
      </w:r>
    </w:p>
    <w:p>
      <w:pPr>
        <w:spacing w:after="0" w:line="225" w:lineRule="exact"/>
        <w:rPr>
          <w:rFonts w:ascii="Arial" w:cs="Arial" w:eastAsia="Arial" w:hAnsi="Arial"/>
          <w:sz w:val="18"/>
          <w:szCs w:val="18"/>
          <w:color w:val="auto"/>
        </w:rPr>
      </w:pPr>
    </w:p>
    <w:p>
      <w:pPr>
        <w:ind w:right="100" w:firstLine="987"/>
        <w:spacing w:after="0" w:line="311" w:lineRule="auto"/>
        <w:tabs>
          <w:tab w:leader="none" w:pos="137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Investments by Borrower in ALX U.S. in amounts necessary to fund the ordinary, necessary and current operating expenses of ALX U.S. pursuant to the terms of the R&amp;D Agreement, including amounts necessary to fund clinical trial programs being run through ALX U.S., for the three (3) month period following the date on which such Investment is made (taking into account their revenue from other sources), so long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0" w:right="479" w:bottom="1440" w:gutter="0" w:footer="0" w:header="0"/>
        </w:sectPr>
      </w:pPr>
    </w:p>
    <w:bookmarkStart w:id="309" w:name="page310"/>
    <w:bookmarkEnd w:id="309"/>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(i) an Event of Default does not exist at the time of any such Investment and would not exist after giving effect to any such Investment and (ii) the maximum cash balance maintained with ALX U.S. shall not exceed the Threshold Amount at any time;</w:t>
      </w:r>
    </w:p>
    <w:p>
      <w:pPr>
        <w:spacing w:after="0" w:line="170" w:lineRule="exact"/>
        <w:rPr>
          <w:sz w:val="20"/>
          <w:szCs w:val="20"/>
          <w:color w:val="auto"/>
        </w:rPr>
      </w:pPr>
    </w:p>
    <w:p>
      <w:pPr>
        <w:ind w:right="160" w:firstLine="987"/>
        <w:spacing w:after="0" w:line="277" w:lineRule="auto"/>
        <w:tabs>
          <w:tab w:leader="none" w:pos="138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Borrower’s business;</w:t>
      </w:r>
    </w:p>
    <w:p>
      <w:pPr>
        <w:spacing w:after="0" w:line="170" w:lineRule="exact"/>
        <w:rPr>
          <w:rFonts w:ascii="Arial" w:cs="Arial" w:eastAsia="Arial" w:hAnsi="Arial"/>
          <w:sz w:val="18"/>
          <w:szCs w:val="18"/>
          <w:color w:val="auto"/>
        </w:rPr>
      </w:pPr>
    </w:p>
    <w:p>
      <w:pPr>
        <w:ind w:right="60" w:firstLine="987"/>
        <w:spacing w:after="0" w:line="263" w:lineRule="auto"/>
        <w:tabs>
          <w:tab w:leader="none" w:pos="137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3" w:lineRule="exact"/>
        <w:rPr>
          <w:rFonts w:ascii="Arial" w:cs="Arial" w:eastAsia="Arial" w:hAnsi="Arial"/>
          <w:sz w:val="18"/>
          <w:szCs w:val="18"/>
          <w:color w:val="auto"/>
        </w:rPr>
      </w:pPr>
    </w:p>
    <w:p>
      <w:pPr>
        <w:ind w:right="140" w:firstLine="987"/>
        <w:spacing w:after="0" w:line="342" w:lineRule="auto"/>
        <w:tabs>
          <w:tab w:leader="none" w:pos="135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23" w:lineRule="exact"/>
        <w:rPr>
          <w:rFonts w:ascii="Arial" w:cs="Arial" w:eastAsia="Arial" w:hAnsi="Arial"/>
          <w:sz w:val="16"/>
          <w:szCs w:val="16"/>
          <w:color w:val="auto"/>
        </w:rPr>
      </w:pPr>
    </w:p>
    <w:p>
      <w:pPr>
        <w:ind w:right="20" w:firstLine="987"/>
        <w:spacing w:after="0" w:line="308" w:lineRule="auto"/>
        <w:tabs>
          <w:tab w:leader="none" w:pos="138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(g) shall not apply to Investments of Borrower in any Subsidiary;</w:t>
      </w:r>
    </w:p>
    <w:p>
      <w:pPr>
        <w:spacing w:after="0" w:line="146" w:lineRule="exact"/>
        <w:rPr>
          <w:rFonts w:ascii="Arial" w:cs="Arial" w:eastAsia="Arial" w:hAnsi="Arial"/>
          <w:sz w:val="17"/>
          <w:szCs w:val="17"/>
          <w:color w:val="auto"/>
        </w:rPr>
      </w:pPr>
    </w:p>
    <w:p>
      <w:pPr>
        <w:ind w:left="1380" w:hanging="393"/>
        <w:spacing w:after="0"/>
        <w:tabs>
          <w:tab w:leader="none" w:pos="13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Investments by any Borrower in any other Borrower or by any Subsidiary in any Borrower; and</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other Investments not otherwise permitted by Section 7.7 not exceed One Hundred Thousand Dollars in the aggregate outstanding at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121" w:lineRule="exact"/>
        <w:rPr>
          <w:sz w:val="20"/>
          <w:szCs w:val="20"/>
          <w:color w:val="auto"/>
        </w:rPr>
      </w:pPr>
    </w:p>
    <w:p>
      <w:pPr>
        <w:ind w:left="1360" w:hanging="373"/>
        <w:spacing w:after="0"/>
        <w:tabs>
          <w:tab w:leader="none" w:pos="13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Liens existing on the Effective Date which are shown on the Perfection Certificate or arising under this Agreement and the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Loan Documents;</w:t>
      </w:r>
    </w:p>
    <w:p>
      <w:pPr>
        <w:spacing w:after="0" w:line="210" w:lineRule="exact"/>
        <w:rPr>
          <w:rFonts w:ascii="Arial" w:cs="Arial" w:eastAsia="Arial" w:hAnsi="Arial"/>
          <w:sz w:val="17"/>
          <w:szCs w:val="17"/>
          <w:color w:val="auto"/>
        </w:rPr>
      </w:pPr>
    </w:p>
    <w:p>
      <w:pPr>
        <w:ind w:right="20" w:firstLine="987"/>
        <w:spacing w:after="0" w:line="263" w:lineRule="auto"/>
        <w:tabs>
          <w:tab w:leader="none" w:pos="138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Liens for taxes, fees, assessments or other government charges or levies, either (i) not due and payable or (ii) being contested in good faith and for which Borrower maintains adequate reserves on its Books,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notice of any such Lien has been filed or recorded under the Internal Revenue Code of 1986, as amended, and the Treasury Regulations adopted thereunder;</w:t>
      </w:r>
    </w:p>
    <w:p>
      <w:pPr>
        <w:spacing w:after="0" w:line="183" w:lineRule="exact"/>
        <w:rPr>
          <w:rFonts w:ascii="Arial" w:cs="Arial" w:eastAsia="Arial" w:hAnsi="Arial"/>
          <w:sz w:val="18"/>
          <w:szCs w:val="18"/>
          <w:color w:val="auto"/>
        </w:rPr>
      </w:pPr>
    </w:p>
    <w:p>
      <w:pPr>
        <w:ind w:right="180" w:firstLine="987"/>
        <w:spacing w:after="0" w:line="286" w:lineRule="auto"/>
        <w:tabs>
          <w:tab w:leader="none" w:pos="1371"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purchase money Liens or capital leases (i) on Equipment acquired or held by Borrower incurred for financing the acquisition of the Equipment securing no more than Two Hundred Fifty Thousand Dollars ($250,000.00) in the aggregate amount outstanding, or (ii) existing on Equipment when acquired, </w:t>
      </w:r>
      <w:r>
        <w:rPr>
          <w:rFonts w:ascii="Arial" w:cs="Arial" w:eastAsia="Arial" w:hAnsi="Arial"/>
          <w:sz w:val="17"/>
          <w:szCs w:val="17"/>
          <w:u w:val="single" w:color="auto"/>
          <w:color w:val="auto"/>
        </w:rPr>
        <w:t>if</w:t>
      </w:r>
      <w:r>
        <w:rPr>
          <w:rFonts w:ascii="Arial" w:cs="Arial" w:eastAsia="Arial" w:hAnsi="Arial"/>
          <w:sz w:val="17"/>
          <w:szCs w:val="17"/>
          <w:color w:val="auto"/>
        </w:rPr>
        <w:t xml:space="preserve"> the Lien is confined to the property and improvements and the proceeds of the Equipment;</w:t>
      </w:r>
    </w:p>
    <w:p>
      <w:pPr>
        <w:spacing w:after="0" w:line="165" w:lineRule="exact"/>
        <w:rPr>
          <w:rFonts w:ascii="Arial" w:cs="Arial" w:eastAsia="Arial" w:hAnsi="Arial"/>
          <w:sz w:val="17"/>
          <w:szCs w:val="17"/>
          <w:color w:val="auto"/>
        </w:rPr>
      </w:pPr>
    </w:p>
    <w:p>
      <w:pPr>
        <w:ind w:right="220" w:firstLine="987"/>
        <w:spacing w:after="0" w:line="263" w:lineRule="auto"/>
        <w:tabs>
          <w:tab w:leader="none" w:pos="138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ind w:firstLine="987"/>
        <w:spacing w:after="0" w:line="259" w:lineRule="auto"/>
        <w:tabs>
          <w:tab w:leader="none" w:pos="137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Fifty Thousand Dollars ($50,000.00)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right="780" w:firstLine="987"/>
        <w:spacing w:after="0" w:line="277" w:lineRule="auto"/>
        <w:tabs>
          <w:tab w:leader="none" w:pos="135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right="180" w:firstLine="987"/>
        <w:spacing w:after="0" w:line="301" w:lineRule="auto"/>
        <w:tabs>
          <w:tab w:leader="none" w:pos="1381"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the leases, subleases, licenses and sublicenses do not prohibit granting Agent, for the ratable benefit of the Lenders, a security interest therein;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10" w:name="page311"/>
    <w:bookmarkEnd w:id="310"/>
    <w:p>
      <w:pPr>
        <w:ind w:right="180" w:firstLine="987"/>
        <w:spacing w:after="0" w:line="263" w:lineRule="auto"/>
        <w:tabs>
          <w:tab w:leader="none" w:pos="1381" w:val="left"/>
        </w:tabs>
        <w:numPr>
          <w:ilvl w:val="0"/>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non-exclusive license of Intellectual Property granted to third parties in the ordinary course of business, and licenses of Intellectual Property that could not result in a legal transfer of title of the licensed property that may be exclusive in respects other than territory and that may be exclusive as to territory only as to discreet geographical areas outside of the United States;</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8.4 and 8.7;</w:t>
      </w:r>
    </w:p>
    <w:p>
      <w:pPr>
        <w:spacing w:after="0" w:line="210" w:lineRule="exact"/>
        <w:rPr>
          <w:rFonts w:ascii="Arial" w:cs="Arial" w:eastAsia="Arial" w:hAnsi="Arial"/>
          <w:sz w:val="16"/>
          <w:szCs w:val="16"/>
          <w:color w:val="auto"/>
        </w:rPr>
      </w:pPr>
    </w:p>
    <w:p>
      <w:pPr>
        <w:ind w:right="120" w:firstLine="987"/>
        <w:spacing w:after="0" w:line="259" w:lineRule="auto"/>
        <w:tabs>
          <w:tab w:leader="none" w:pos="134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deposit and/or securities accounts held at such institutions, provided that (i) Agent and the Lenders have a first priority perfected security interest in the amounts held in such deposit and/or securities accounts to the extent required by Section 6.6 of this Agreement and (ii) such accounts are permitted to be maintained pursuant to Section 6.6 of this Agreement; and</w:t>
      </w:r>
    </w:p>
    <w:p>
      <w:pPr>
        <w:spacing w:after="0" w:line="186" w:lineRule="exact"/>
        <w:rPr>
          <w:rFonts w:ascii="Arial" w:cs="Arial" w:eastAsia="Arial" w:hAnsi="Arial"/>
          <w:sz w:val="18"/>
          <w:szCs w:val="18"/>
          <w:color w:val="auto"/>
        </w:rPr>
      </w:pPr>
    </w:p>
    <w:p>
      <w:pPr>
        <w:ind w:right="40" w:firstLine="987"/>
        <w:spacing w:after="0" w:line="277" w:lineRule="auto"/>
        <w:tabs>
          <w:tab w:leader="none" w:pos="138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66"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exempted company, exempted limited partnership, limited liability company, joint venture, company, trust, unincorporated organization, association, corporation, institution, public benefit corporation, firm, joint stock company, estate, entity or government agency.</w:t>
      </w:r>
    </w:p>
    <w:p>
      <w:pPr>
        <w:spacing w:after="0" w:line="17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Agent, for the ratable benefit of the Lenders based on their Pro Rata Share, with respect to the Term Loan Advances, in an amount equal to:</w:t>
      </w:r>
    </w:p>
    <w:p>
      <w:pPr>
        <w:spacing w:after="0" w:line="58" w:lineRule="exact"/>
        <w:rPr>
          <w:sz w:val="20"/>
          <w:szCs w:val="20"/>
          <w:color w:val="auto"/>
        </w:rPr>
      </w:pPr>
    </w:p>
    <w:p>
      <w:pPr>
        <w:ind w:right="500" w:firstLine="987"/>
        <w:spacing w:after="0" w:line="308" w:lineRule="auto"/>
        <w:tabs>
          <w:tab w:leader="none" w:pos="1371" w:val="left"/>
        </w:tabs>
        <w:numPr>
          <w:ilvl w:val="0"/>
          <w:numId w:val="280"/>
        </w:numPr>
        <w:rPr>
          <w:rFonts w:ascii="Arial" w:cs="Arial" w:eastAsia="Arial" w:hAnsi="Arial"/>
          <w:sz w:val="17"/>
          <w:szCs w:val="17"/>
          <w:color w:val="auto"/>
        </w:rPr>
      </w:pPr>
      <w:r>
        <w:rPr>
          <w:rFonts w:ascii="Arial" w:cs="Arial" w:eastAsia="Arial" w:hAnsi="Arial"/>
          <w:sz w:val="17"/>
          <w:szCs w:val="17"/>
          <w:color w:val="auto"/>
        </w:rPr>
        <w:t>for a prepayment of the Term Loan Advances made on or prior to the first (1</w:t>
      </w:r>
      <w:r>
        <w:rPr>
          <w:rFonts w:ascii="Arial" w:cs="Arial" w:eastAsia="Arial" w:hAnsi="Arial"/>
          <w:sz w:val="14"/>
          <w:szCs w:val="14"/>
          <w:color w:val="auto"/>
        </w:rPr>
        <w:t>st</w:t>
      </w:r>
      <w:r>
        <w:rPr>
          <w:rFonts w:ascii="Arial" w:cs="Arial" w:eastAsia="Arial" w:hAnsi="Arial"/>
          <w:sz w:val="17"/>
          <w:szCs w:val="17"/>
          <w:color w:val="auto"/>
        </w:rPr>
        <w:t>) anniversary of the Effective Date, three percent (3.0%) of the then outstanding principal amount of the Term Loan Advances immediately prior to the date of such prepayment;</w:t>
      </w:r>
    </w:p>
    <w:p>
      <w:pPr>
        <w:spacing w:after="0" w:line="146" w:lineRule="exact"/>
        <w:rPr>
          <w:rFonts w:ascii="Arial" w:cs="Arial" w:eastAsia="Arial" w:hAnsi="Arial"/>
          <w:sz w:val="17"/>
          <w:szCs w:val="17"/>
          <w:color w:val="auto"/>
        </w:rPr>
      </w:pPr>
    </w:p>
    <w:p>
      <w:pPr>
        <w:ind w:firstLine="987"/>
        <w:spacing w:after="0" w:line="263" w:lineRule="auto"/>
        <w:tabs>
          <w:tab w:leader="none" w:pos="138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first (1</w:t>
      </w:r>
      <w:r>
        <w:rPr>
          <w:rFonts w:ascii="Arial" w:cs="Arial" w:eastAsia="Arial" w:hAnsi="Arial"/>
          <w:sz w:val="15"/>
          <w:szCs w:val="15"/>
          <w:color w:val="auto"/>
        </w:rPr>
        <w:t>st</w:t>
      </w:r>
      <w:r>
        <w:rPr>
          <w:rFonts w:ascii="Arial" w:cs="Arial" w:eastAsia="Arial" w:hAnsi="Arial"/>
          <w:sz w:val="18"/>
          <w:szCs w:val="18"/>
          <w:color w:val="auto"/>
        </w:rPr>
        <w:t>) anniversary of the Effective Date, but on or prior to the second (2</w:t>
      </w:r>
      <w:r>
        <w:rPr>
          <w:rFonts w:ascii="Arial" w:cs="Arial" w:eastAsia="Arial" w:hAnsi="Arial"/>
          <w:sz w:val="15"/>
          <w:szCs w:val="15"/>
          <w:color w:val="auto"/>
        </w:rPr>
        <w:t>nd</w:t>
      </w:r>
      <w:r>
        <w:rPr>
          <w:rFonts w:ascii="Arial" w:cs="Arial" w:eastAsia="Arial" w:hAnsi="Arial"/>
          <w:sz w:val="18"/>
          <w:szCs w:val="18"/>
          <w:color w:val="auto"/>
        </w:rPr>
        <w:t>) anniversary of the Effective Date, two percent (2.0%) of the then outstanding principal amount of the Term Loan Advances immediately prior to the date of such prepayment; and</w:t>
      </w:r>
    </w:p>
    <w:p>
      <w:pPr>
        <w:spacing w:after="0" w:line="183" w:lineRule="exact"/>
        <w:rPr>
          <w:rFonts w:ascii="Arial" w:cs="Arial" w:eastAsia="Arial" w:hAnsi="Arial"/>
          <w:sz w:val="18"/>
          <w:szCs w:val="18"/>
          <w:color w:val="auto"/>
        </w:rPr>
      </w:pPr>
    </w:p>
    <w:p>
      <w:pPr>
        <w:ind w:right="300" w:firstLine="987"/>
        <w:spacing w:after="0" w:line="263" w:lineRule="auto"/>
        <w:tabs>
          <w:tab w:leader="none" w:pos="137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second (2</w:t>
      </w:r>
      <w:r>
        <w:rPr>
          <w:rFonts w:ascii="Arial" w:cs="Arial" w:eastAsia="Arial" w:hAnsi="Arial"/>
          <w:sz w:val="15"/>
          <w:szCs w:val="15"/>
          <w:color w:val="auto"/>
        </w:rPr>
        <w:t>nd</w:t>
      </w:r>
      <w:r>
        <w:rPr>
          <w:rFonts w:ascii="Arial" w:cs="Arial" w:eastAsia="Arial" w:hAnsi="Arial"/>
          <w:sz w:val="18"/>
          <w:szCs w:val="18"/>
          <w:color w:val="auto"/>
        </w:rPr>
        <w:t>) anniversary of the Effective Date, but prior to the Term Loan Maturity Date, one percent (1.0%) of the then outstanding principal amount of the Term Loan Advances immediately prior to the date of such prepayment.</w:t>
      </w:r>
    </w:p>
    <w:p>
      <w:pPr>
        <w:spacing w:after="0" w:line="18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is the rate of interest per annum from time to time published in the money rates section of The Wall Street Journal or any successor publication thereto as the “prime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Agent, the “Prime Rate” shall mean the rate of interest per annum announced by SVB as its prime rate in effect at its principal office in the State of California (such SVB announced Prime Rate not being intended to be the lowest rate of interest charged by SVB in connection with extensions of credit to debtors); provided that, in the event such rate of interest is less than zero, such rate shall be deemed to be zero for purposes of this Agreement.</w:t>
      </w:r>
    </w:p>
    <w:p>
      <w:pPr>
        <w:spacing w:after="0" w:line="172"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xml:space="preserve">” is, as of any date of determination, with respect to each Lender, a percentage (expressed as a decimal, rounded to the ninth decimal place) determined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the outstanding principal amount of Term Loan Advances held by such Lender </w:t>
      </w:r>
      <w:r>
        <w:rPr>
          <w:rFonts w:ascii="Arial" w:cs="Arial" w:eastAsia="Arial" w:hAnsi="Arial"/>
          <w:sz w:val="18"/>
          <w:szCs w:val="18"/>
          <w:i w:val="1"/>
          <w:iCs w:val="1"/>
          <w:color w:val="auto"/>
        </w:rPr>
        <w:t>by</w:t>
      </w:r>
      <w:r>
        <w:rPr>
          <w:rFonts w:ascii="Arial" w:cs="Arial" w:eastAsia="Arial" w:hAnsi="Arial"/>
          <w:sz w:val="18"/>
          <w:szCs w:val="18"/>
          <w:color w:val="auto"/>
        </w:rPr>
        <w:t xml:space="preserve"> the aggregate outstanding principal amount of all Term Loan Advances.</w:t>
      </w:r>
    </w:p>
    <w:p>
      <w:pPr>
        <w:spacing w:after="0" w:line="176" w:lineRule="exact"/>
        <w:rPr>
          <w:sz w:val="20"/>
          <w:szCs w:val="20"/>
          <w:color w:val="auto"/>
        </w:rPr>
      </w:pPr>
    </w:p>
    <w:p>
      <w:pPr>
        <w:ind w:right="8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R&amp;D Agreement</w:t>
      </w:r>
      <w:r>
        <w:rPr>
          <w:rFonts w:ascii="Arial" w:cs="Arial" w:eastAsia="Arial" w:hAnsi="Arial"/>
          <w:sz w:val="17"/>
          <w:szCs w:val="17"/>
          <w:color w:val="auto"/>
        </w:rPr>
        <w:t>” means that certain Amended and Restated Research and Development Services Agreement by and between Alexo and ALX U.S. dated as of May 8, 2015, as amended by that certain Amendment No. 1 to Amended and Restated Research and Development Services Agreement by and between Alexo and ALX U.S. dated as of May 25, 2016, and as further amended by that certain Amendment No. 2 to Amended and Restated Research and Development Services Agreement by and between Alexo and ALX U.S. dated as of January 1, 2016</w:t>
      </w:r>
      <w:r>
        <w:rPr>
          <w:rFonts w:ascii="Arial" w:cs="Arial" w:eastAsia="Arial" w:hAnsi="Arial"/>
          <w:sz w:val="17"/>
          <w:szCs w:val="17"/>
          <w:i w:val="1"/>
          <w:iCs w:val="1"/>
          <w:color w:val="auto"/>
        </w:rPr>
        <w:t>.</w:t>
      </w:r>
    </w:p>
    <w:p>
      <w:pPr>
        <w:spacing w:after="0" w:line="165" w:lineRule="exact"/>
        <w:rPr>
          <w:sz w:val="20"/>
          <w:szCs w:val="20"/>
          <w:color w:val="auto"/>
        </w:rPr>
      </w:pPr>
    </w:p>
    <w:p>
      <w:pPr>
        <w:jc w:val="center"/>
        <w:ind w:left="660" w:right="22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 35</w:t>
      </w:r>
    </w:p>
    <w:p>
      <w:pPr>
        <w:sectPr>
          <w:pgSz w:w="11900" w:h="16838" w:orient="portrait"/>
          <w:cols w:equalWidth="0" w:num="1">
            <w:col w:w="10980"/>
          </w:cols>
          <w:pgMar w:left="440" w:top="274" w:right="479" w:bottom="1440" w:gutter="0" w:footer="0" w:header="0"/>
        </w:sectPr>
      </w:pPr>
    </w:p>
    <w:bookmarkStart w:id="311" w:name="page312"/>
    <w:bookmarkEnd w:id="311"/>
    <w:p>
      <w:pPr>
        <w:ind w:right="4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Register of Mortgages and Charges</w:t>
      </w:r>
      <w:r>
        <w:rPr>
          <w:rFonts w:ascii="Arial" w:cs="Arial" w:eastAsia="Arial" w:hAnsi="Arial"/>
          <w:sz w:val="18"/>
          <w:szCs w:val="18"/>
          <w:color w:val="auto"/>
        </w:rPr>
        <w:t>” means the register of mortgages and charges of any Borrower formed or incorporated in the Cayman Islands maintained by such Borrower in accordance with section 54 of the Companies Law of the Cayman Islands.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is defined in Section 10.10(d).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is defined in Section 13.9.</w:t>
      </w:r>
    </w:p>
    <w:p>
      <w:pPr>
        <w:spacing w:after="0" w:line="225"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director or any of the Chief Executive Officer, President and Chief Financial Officer of Borrower.</w:t>
      </w:r>
    </w:p>
    <w:p>
      <w:pPr>
        <w:spacing w:after="0" w:line="225"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material agreement with respect to which Borrower is the licensee (a) that prohibits Borrower from granting a security interest in Borrower’s interest in such license or agreement or any other property, or (b) for which a default under or termination of could reasonably be expected to interfere with the Agent’s right to sell any Collateral.</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w:t>
      </w:r>
      <w:r>
        <w:rPr>
          <w:rFonts w:ascii="Arial" w:cs="Arial" w:eastAsia="Arial" w:hAnsi="Arial"/>
          <w:sz w:val="17"/>
          <w:szCs w:val="17"/>
          <w:b w:val="1"/>
          <w:bCs w:val="1"/>
          <w:color w:val="auto"/>
        </w:rPr>
        <w:t>securities account</w:t>
      </w:r>
      <w:r>
        <w:rPr>
          <w:rFonts w:ascii="Arial" w:cs="Arial" w:eastAsia="Arial" w:hAnsi="Arial"/>
          <w:sz w:val="17"/>
          <w:szCs w:val="17"/>
          <w:color w:val="auto"/>
        </w:rPr>
        <w:t>” as defined in the Code with such additions to such term as may hereafter be made.</w:t>
      </w:r>
    </w:p>
    <w:p>
      <w:pPr>
        <w:spacing w:after="0" w:line="237"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Agent and the Lenders (pursuant to a subordination, intercreditor, or other similar agreement in form and substance satisfactory to Agent and the Lenders entered into between Agent, the Lenders and the other creditor), on terms acceptable to Agent and the Lenders.</w:t>
      </w:r>
    </w:p>
    <w:p>
      <w:pPr>
        <w:spacing w:after="0" w:line="17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exempted company, exempted limited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ALX Ireland.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Advance</w:t>
      </w:r>
      <w:r>
        <w:rPr>
          <w:rFonts w:ascii="Arial" w:cs="Arial" w:eastAsia="Arial" w:hAnsi="Arial"/>
          <w:sz w:val="18"/>
          <w:szCs w:val="18"/>
          <w:color w:val="auto"/>
        </w:rPr>
        <w:t>” is defined in Section 2.2(a).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 Advance</w:t>
      </w:r>
      <w:r>
        <w:rPr>
          <w:rFonts w:ascii="Arial" w:cs="Arial" w:eastAsia="Arial" w:hAnsi="Arial"/>
          <w:sz w:val="18"/>
          <w:szCs w:val="18"/>
          <w:color w:val="auto"/>
        </w:rPr>
        <w:t>” is defined in Section 2.2(a).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each defined in Section 2.2(a).</w:t>
      </w:r>
    </w:p>
    <w:p>
      <w:pPr>
        <w:spacing w:after="0" w:line="225"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Amortization Date</w:t>
      </w:r>
      <w:r>
        <w:rPr>
          <w:rFonts w:ascii="Arial" w:cs="Arial" w:eastAsia="Arial" w:hAnsi="Arial"/>
          <w:sz w:val="18"/>
          <w:szCs w:val="18"/>
          <w:color w:val="auto"/>
        </w:rPr>
        <w:t>” is April 1, 2020 (which shall be extended until January 1, 2021 upon the occurrence of the Interest Only Extension Event).</w:t>
      </w:r>
    </w:p>
    <w:p>
      <w:pPr>
        <w:spacing w:after="0" w:line="162"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Commitment</w:t>
      </w:r>
      <w:r>
        <w:rPr>
          <w:rFonts w:ascii="Arial" w:cs="Arial" w:eastAsia="Arial" w:hAnsi="Arial"/>
          <w:sz w:val="17"/>
          <w:szCs w:val="17"/>
          <w:color w:val="auto"/>
        </w:rPr>
        <w:t xml:space="preserve">” means, for any Lender, the obligation of such Lender to make a Term Loan Advance as and when available, up to the principal amount shown on </w:t>
      </w:r>
      <w:r>
        <w:rPr>
          <w:rFonts w:ascii="Arial" w:cs="Arial" w:eastAsia="Arial" w:hAnsi="Arial"/>
          <w:sz w:val="17"/>
          <w:szCs w:val="17"/>
          <w:u w:val="single" w:color="auto"/>
          <w:color w:val="auto"/>
        </w:rPr>
        <w:t>Schedule 1</w:t>
      </w:r>
      <w:r>
        <w:rPr>
          <w:rFonts w:ascii="Arial" w:cs="Arial" w:eastAsia="Arial" w:hAnsi="Arial"/>
          <w:sz w:val="17"/>
          <w:szCs w:val="17"/>
          <w:color w:val="auto"/>
        </w:rPr>
        <w:t>. “Term Loan Commitments” means the aggregate amount of such commitments of all Lenders.</w:t>
      </w:r>
    </w:p>
    <w:p>
      <w:pPr>
        <w:spacing w:after="0" w:line="140"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Percentage</w:t>
      </w:r>
      <w:r>
        <w:rPr>
          <w:rFonts w:ascii="Arial" w:cs="Arial" w:eastAsia="Arial" w:hAnsi="Arial"/>
          <w:sz w:val="18"/>
          <w:szCs w:val="18"/>
          <w:color w:val="auto"/>
        </w:rPr>
        <w:t xml:space="preserve">” means, as to any Lender at any time, the percentage (carried out to the fourth decimal place) of the Term Loan Commitments represented by such Lender’s Term Loan Commitment at such time. The initial Term Loan Commitment Percentage of each Lender is set forth opposite the name of such Lender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0" w:right="459" w:bottom="1440" w:gutter="0" w:footer="0" w:header="0"/>
        </w:sectPr>
      </w:pPr>
    </w:p>
    <w:bookmarkStart w:id="312" w:name="page313"/>
    <w:bookmarkEnd w:id="312"/>
    <w:p>
      <w:pPr>
        <w:ind w:right="2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December 1, 2021 (which shall be extended until September 1, 2022 upon the occurrence of the Interest Only Extension Event).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Sheet</w:t>
      </w:r>
      <w:r>
        <w:rPr>
          <w:rFonts w:ascii="Arial" w:cs="Arial" w:eastAsia="Arial" w:hAnsi="Arial"/>
          <w:sz w:val="18"/>
          <w:szCs w:val="18"/>
          <w:color w:val="auto"/>
        </w:rPr>
        <w:t>” is defined in the definition of Term Sheet Event.</w:t>
      </w:r>
    </w:p>
    <w:p>
      <w:pPr>
        <w:spacing w:after="0" w:line="22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Sheet Event</w:t>
      </w:r>
      <w:r>
        <w:rPr>
          <w:rFonts w:ascii="Arial" w:cs="Arial" w:eastAsia="Arial" w:hAnsi="Arial"/>
          <w:sz w:val="16"/>
          <w:szCs w:val="16"/>
          <w:color w:val="auto"/>
        </w:rPr>
        <w:t>” means confirmation by Agent, on or prior to March 31, 2020, that Borrower has delivered to Agent, a signed, binding, and unconditional term sheet (“</w:t>
      </w:r>
      <w:r>
        <w:rPr>
          <w:rFonts w:ascii="Arial" w:cs="Arial" w:eastAsia="Arial" w:hAnsi="Arial"/>
          <w:sz w:val="16"/>
          <w:szCs w:val="16"/>
          <w:b w:val="1"/>
          <w:bCs w:val="1"/>
          <w:color w:val="auto"/>
        </w:rPr>
        <w:t>Term Sheet</w:t>
      </w:r>
      <w:r>
        <w:rPr>
          <w:rFonts w:ascii="Arial" w:cs="Arial" w:eastAsia="Arial" w:hAnsi="Arial"/>
          <w:sz w:val="16"/>
          <w:szCs w:val="16"/>
          <w:color w:val="auto"/>
        </w:rPr>
        <w:t>”) from one or more parties, satisfactory to Agent and each Lender, in Agent’s and each Lender’s sole but reasonable discretion, in favor of, and accepted by Borrower or ALX Ireland, evidencing such party’s or parties’ commitment to either (i) purchase equity securities of Borrower or ALX Ireland or enter into a partnership, joint venture, or strategic alliance (on terms satisfactory to Agent and each Lender in Agent’s and each Lender’s sole but reasonable discretion), which would result in the receipt by Borrower or ALX Ireland of unrestricted and unencumbered net cash proceeds in an amount of at least Thirty Million Dollars ($30,000,000.00) or (ii) merge or consolidate with another Person, which merger or consolidation agreement shall provide for an up-front cash payment to Borrower or ALX Ireland in an amount of at least One Hundred Million Dollars ($100,000,000.00); provided that, in the case of either (i) or (ii) herein, such proposed transaction is consummated and Borrower or ALX Ireland has received such funds after the Effective Date, but no later than ninety (90) days after the execution of such Term Sheet.</w:t>
      </w:r>
    </w:p>
    <w:p>
      <w:pPr>
        <w:spacing w:after="0" w:line="166"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a maximum aggregate amount of up Three Million Dollars ($3,000,000.00); which shall be increased to Five Million Dollars ($5,000,000.00) in the aggregate, upon the occurrence of the Equity Event.</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w:t>
      </w:r>
      <w:r>
        <w:rPr>
          <w:rFonts w:ascii="Arial" w:cs="Arial" w:eastAsia="Arial" w:hAnsi="Arial"/>
          <w:sz w:val="17"/>
          <w:szCs w:val="17"/>
          <w:color w:val="auto"/>
        </w:rPr>
        <w:t>” means, collectively, (a) that certain warrant instrument and warrant certificate to purchase stock dated as of the Effective Date between ALX Ireland and SVB and (b) that certain warrant instrument and warrant certificate to purchase stock dated as of the Effective Date between ALX Ireland and WestRiver, in each case, as may be amended, modified, supplemented and/or restated from time to time.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WestRiver</w:t>
      </w:r>
      <w:r>
        <w:rPr>
          <w:rFonts w:ascii="Arial" w:cs="Arial" w:eastAsia="Arial" w:hAnsi="Arial"/>
          <w:sz w:val="18"/>
          <w:szCs w:val="18"/>
          <w:color w:val="auto"/>
        </w:rPr>
        <w:t>” is defined in the preamble hereof.</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0" w:right="519" w:bottom="1440" w:gutter="0" w:footer="0" w:header="0"/>
        </w:sectPr>
      </w:pPr>
    </w:p>
    <w:bookmarkStart w:id="313" w:name="page314"/>
    <w:bookmarkEnd w:id="31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ectPr>
          <w:pgSz w:w="11900" w:h="16838" w:orient="portrait"/>
          <w:cols w:equalWidth="0" w:num="1">
            <w:col w:w="10019"/>
          </w:cols>
          <w:pgMar w:left="440" w:top="270" w:right="1440" w:bottom="1440" w:gutter="0" w:footer="0" w:header="0"/>
        </w:sectPr>
      </w:pPr>
    </w:p>
    <w:p>
      <w:pPr>
        <w:spacing w:after="0" w:line="27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ALEXO THERAPEUTICS INTERNATIONAL</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In the presence of:</w:t>
            </w: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Aquino</w:t>
            </w: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Name:</w:t>
            </w: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Aquino</w:t>
            </w:r>
          </w:p>
        </w:tc>
      </w:tr>
    </w:tbl>
    <w:p>
      <w:pPr>
        <w:spacing w:after="0" w:line="242"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SIRPANT THERAPEUTICS</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In the presence of:</w:t>
            </w: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Aquino</w:t>
            </w:r>
          </w:p>
        </w:tc>
      </w:tr>
      <w:tr>
        <w:trPr>
          <w:trHeight w:val="223"/>
        </w:trPr>
        <w:tc>
          <w:tcPr>
            <w:tcW w:w="1680" w:type="dxa"/>
            <w:vAlign w:val="bottom"/>
          </w:tcPr>
          <w:p>
            <w:pPr>
              <w:spacing w:after="0"/>
              <w:rPr>
                <w:sz w:val="20"/>
                <w:szCs w:val="20"/>
                <w:color w:val="auto"/>
              </w:rPr>
            </w:pPr>
            <w:r>
              <w:rPr>
                <w:rFonts w:ascii="Arial" w:cs="Arial" w:eastAsia="Arial" w:hAnsi="Arial"/>
                <w:sz w:val="18"/>
                <w:szCs w:val="18"/>
                <w:color w:val="auto"/>
              </w:rPr>
              <w:t>Name:</w:t>
            </w:r>
          </w:p>
        </w:tc>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Aquino</w:t>
            </w:r>
          </w:p>
        </w:tc>
      </w:tr>
    </w:tbl>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AGENT:</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SILICON VALLEY BANK, as Agent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WESTRIVER INNOVATION LENDING FUND VIII, L.P.</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2"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[Signature Page to Loan and Security Agreement]</w:t>
      </w:r>
    </w:p>
    <w:p>
      <w:pPr>
        <w:sectPr>
          <w:pgSz w:w="11900" w:h="16838" w:orient="portrait"/>
          <w:cols w:equalWidth="0" w:num="1">
            <w:col w:w="10019"/>
          </w:cols>
          <w:pgMar w:left="440" w:top="270" w:right="1440" w:bottom="1440" w:gutter="0" w:footer="0" w:header="0"/>
          <w:type w:val="continuous"/>
        </w:sectPr>
      </w:pPr>
    </w:p>
    <w:bookmarkStart w:id="314" w:name="page315"/>
    <w:bookmarkEnd w:id="31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LOAN COMMITMENTS</w:t>
      </w:r>
    </w:p>
    <w:p>
      <w:pPr>
        <w:spacing w:after="0" w:line="21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Term Loan</w:t>
            </w:r>
          </w:p>
        </w:tc>
        <w:tc>
          <w:tcPr>
            <w:tcW w:w="0" w:type="dxa"/>
            <w:vAlign w:val="bottom"/>
          </w:tcPr>
          <w:p>
            <w:pPr>
              <w:spacing w:after="0"/>
              <w:rPr>
                <w:sz w:val="1"/>
                <w:szCs w:val="1"/>
                <w:color w:val="auto"/>
              </w:rPr>
            </w:pPr>
          </w:p>
        </w:tc>
      </w:tr>
      <w:tr>
        <w:trPr>
          <w:trHeight w:val="148"/>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4740" w:type="dxa"/>
            <w:vAlign w:val="bottom"/>
            <w:vMerge w:val="restart"/>
          </w:tcPr>
          <w:p>
            <w:pPr>
              <w:spacing w:after="0"/>
              <w:rPr>
                <w:sz w:val="12"/>
                <w:szCs w:val="12"/>
                <w:color w:val="auto"/>
              </w:rPr>
            </w:pPr>
          </w:p>
        </w:tc>
        <w:tc>
          <w:tcPr>
            <w:tcW w:w="2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Term Loan Commitment</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63"/>
        </w:trPr>
        <w:tc>
          <w:tcPr>
            <w:tcW w:w="460" w:type="dxa"/>
            <w:vAlign w:val="bottom"/>
            <w:tcBorders>
              <w:bottom w:val="single" w:sz="8" w:color="auto"/>
            </w:tcBorders>
            <w:vMerge w:val="continue"/>
          </w:tcPr>
          <w:p>
            <w:pPr>
              <w:spacing w:after="0"/>
              <w:rPr>
                <w:sz w:val="13"/>
                <w:szCs w:val="13"/>
                <w:color w:val="auto"/>
              </w:rPr>
            </w:pPr>
          </w:p>
        </w:tc>
        <w:tc>
          <w:tcPr>
            <w:tcW w:w="4740" w:type="dxa"/>
            <w:vAlign w:val="bottom"/>
            <w:vMerge w:val="continue"/>
          </w:tcPr>
          <w:p>
            <w:pPr>
              <w:spacing w:after="0"/>
              <w:rPr>
                <w:sz w:val="13"/>
                <w:szCs w:val="13"/>
                <w:color w:val="auto"/>
              </w:rPr>
            </w:pPr>
          </w:p>
        </w:tc>
        <w:tc>
          <w:tcPr>
            <w:tcW w:w="2120" w:type="dxa"/>
            <w:vAlign w:val="bottom"/>
            <w:gridSpan w:val="3"/>
            <w:vMerge w:val="continue"/>
          </w:tcPr>
          <w:p>
            <w:pPr>
              <w:spacing w:after="0"/>
              <w:rPr>
                <w:sz w:val="13"/>
                <w:szCs w:val="13"/>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5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Silicon Valley Bank</w:t>
            </w: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5,000,000.00</w:t>
            </w:r>
          </w:p>
        </w:tc>
        <w:tc>
          <w:tcPr>
            <w:tcW w:w="5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WestRiver Innovation Lending Fund VIII, L.P.</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5,000,000.00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10,000,000.00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70" w:right="1440" w:bottom="1440" w:gutter="0" w:footer="0" w:header="0"/>
        </w:sectPr>
      </w:pPr>
    </w:p>
    <w:bookmarkStart w:id="315" w:name="page316"/>
    <w:bookmarkEnd w:id="31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 - COLLATERAL DESCRIPTION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11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(including, without limitation, the License Agreement),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76"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Notwithstanding the foregoing, the Collateral does not include (a) rights held under a license that are not assignable by their terms without the consent of the licensor thereof (but only to the extent such restriction on assignment is enforceable under applicable law); (b) any interest of Borrower as a lessee or sublessee under a real property lease; (c) any interest of Borrower as a lessee under an Equipment lease if Borrower is prohibited by the terms of such lease from granting a security interest in such lease or under which such an assignment or Lien would cause a default to occur under such lease; </w:t>
      </w:r>
      <w:r>
        <w:rPr>
          <w:rFonts w:ascii="Arial" w:cs="Arial" w:eastAsia="Arial" w:hAnsi="Arial"/>
          <w:sz w:val="16"/>
          <w:szCs w:val="16"/>
          <w:i w:val="1"/>
          <w:iCs w:val="1"/>
          <w:color w:val="auto"/>
        </w:rPr>
        <w:t>provided, however</w:t>
      </w:r>
      <w:r>
        <w:rPr>
          <w:rFonts w:ascii="Arial" w:cs="Arial" w:eastAsia="Arial" w:hAnsi="Arial"/>
          <w:sz w:val="16"/>
          <w:szCs w:val="16"/>
          <w:color w:val="auto"/>
        </w:rPr>
        <w:t>, that upon termination of such prohibition, such interest shall immediately become Collateral without any action by Borrower or</w:t>
      </w:r>
      <w:r>
        <w:rPr>
          <w:rFonts w:ascii="Arial" w:cs="Arial" w:eastAsia="Arial" w:hAnsi="Arial"/>
          <w:sz w:val="16"/>
          <w:szCs w:val="16"/>
          <w:i w:val="1"/>
          <w:iCs w:val="1"/>
          <w:color w:val="auto"/>
        </w:rPr>
        <w:t xml:space="preserve"> </w:t>
      </w:r>
      <w:r>
        <w:rPr>
          <w:rFonts w:ascii="Arial" w:cs="Arial" w:eastAsia="Arial" w:hAnsi="Arial"/>
          <w:sz w:val="16"/>
          <w:szCs w:val="16"/>
          <w:color w:val="auto"/>
        </w:rPr>
        <w:t>Agent; (d) Equipment that is subject to a Lien that is otherwise permitted pursuant to subsection (c) of the definition of “Permitted Liens” if the holder of such Lien has expressly prohibited Borrower in writing from granting Liens on such property in favor of third parties; provided that immediately upon the ineffectiveness, lapse, or termination of any such provision, the term “Collateral” shall include, and Borrower shall be deemed to have granted a security interest in, all of its rights, title and interests in and to such property as if such provision had never been in effect; or (e)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Agent’s, for the ratable benefit of the Lenders, security interest in such Accounts and such other property of Borrower that are proceeds of the Intellectual Property.</w:t>
      </w:r>
    </w:p>
    <w:p>
      <w:pPr>
        <w:spacing w:after="0" w:line="17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Pursuant to the terms of a certain negative pledge arrangement with Agent and the Lenders, Borrower has agreed not to encumber any of its Intellectual Property without Agent’s and the Lenders’ prior written consent.</w:t>
      </w:r>
    </w:p>
    <w:p>
      <w:pPr>
        <w:sectPr>
          <w:pgSz w:w="11900" w:h="16838" w:orient="portrait"/>
          <w:cols w:equalWidth="0" w:num="1">
            <w:col w:w="11000"/>
          </w:cols>
          <w:pgMar w:left="440" w:top="270" w:right="459"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EXHIBIT B</w:t>
            </w:r>
          </w:p>
        </w:tc>
        <w:tc>
          <w:tcPr>
            <w:tcW w:w="1760" w:type="dxa"/>
            <w:vAlign w:val="bottom"/>
            <w:gridSpan w:val="2"/>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4240" w:type="dxa"/>
            <w:vAlign w:val="bottom"/>
          </w:tcPr>
          <w:p>
            <w:pPr>
              <w:spacing w:after="0"/>
              <w:rPr>
                <w:sz w:val="17"/>
                <w:szCs w:val="17"/>
                <w:color w:val="auto"/>
              </w:rPr>
            </w:pPr>
          </w:p>
        </w:tc>
        <w:tc>
          <w:tcPr>
            <w:tcW w:w="3500" w:type="dxa"/>
            <w:vAlign w:val="bottom"/>
            <w:gridSpan w:val="4"/>
          </w:tcPr>
          <w:p>
            <w:pPr>
              <w:jc w:val="center"/>
              <w:ind w:right="980"/>
              <w:spacing w:after="0" w:line="196" w:lineRule="exact"/>
              <w:rPr>
                <w:sz w:val="20"/>
                <w:szCs w:val="20"/>
                <w:color w:val="auto"/>
              </w:rPr>
            </w:pPr>
            <w:r>
              <w:rPr>
                <w:rFonts w:ascii="Arial" w:cs="Arial" w:eastAsia="Arial" w:hAnsi="Arial"/>
                <w:sz w:val="18"/>
                <w:szCs w:val="18"/>
                <w:b w:val="1"/>
                <w:bCs w:val="1"/>
                <w:color w:val="auto"/>
              </w:rPr>
              <w:t>COMPLIANCE CERTIFICATE</w:t>
            </w:r>
          </w:p>
        </w:tc>
        <w:tc>
          <w:tcPr>
            <w:tcW w:w="1360" w:type="dxa"/>
            <w:vAlign w:val="bottom"/>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2520" w:type="dxa"/>
            <w:vAlign w:val="bottom"/>
            <w:gridSpan w:val="3"/>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65"/>
        </w:trPr>
        <w:tc>
          <w:tcPr>
            <w:tcW w:w="7740" w:type="dxa"/>
            <w:vAlign w:val="bottom"/>
            <w:gridSpan w:val="5"/>
          </w:tcPr>
          <w:p>
            <w:pPr>
              <w:spacing w:after="0"/>
              <w:rPr>
                <w:sz w:val="20"/>
                <w:szCs w:val="20"/>
                <w:color w:val="auto"/>
              </w:rPr>
            </w:pPr>
            <w:r>
              <w:rPr>
                <w:rFonts w:ascii="Arial" w:cs="Arial" w:eastAsia="Arial" w:hAnsi="Arial"/>
                <w:sz w:val="18"/>
                <w:szCs w:val="18"/>
                <w:color w:val="auto"/>
              </w:rPr>
              <w:t>TO:  SILICON VALLEY BANK, as Agent, SVB, and WESTRIVER</w:t>
            </w:r>
          </w:p>
        </w:tc>
        <w:tc>
          <w:tcPr>
            <w:tcW w:w="1360" w:type="dxa"/>
            <w:vAlign w:val="bottom"/>
          </w:tcPr>
          <w:p>
            <w:pPr>
              <w:ind w:left="980"/>
              <w:spacing w:after="0"/>
              <w:rPr>
                <w:sz w:val="20"/>
                <w:szCs w:val="20"/>
                <w:color w:val="auto"/>
              </w:rPr>
            </w:pPr>
            <w:r>
              <w:rPr>
                <w:rFonts w:ascii="Arial" w:cs="Arial" w:eastAsia="Arial" w:hAnsi="Arial"/>
                <w:sz w:val="18"/>
                <w:szCs w:val="18"/>
                <w:color w:val="auto"/>
                <w:w w:val="83"/>
              </w:rPr>
              <w:t>Date:</w:t>
            </w:r>
          </w:p>
        </w:tc>
      </w:tr>
      <w:tr>
        <w:trPr>
          <w:trHeight w:val="230"/>
        </w:trPr>
        <w:tc>
          <w:tcPr>
            <w:tcW w:w="7740" w:type="dxa"/>
            <w:vAlign w:val="bottom"/>
            <w:gridSpan w:val="5"/>
          </w:tcPr>
          <w:p>
            <w:pPr>
              <w:spacing w:after="0"/>
              <w:rPr>
                <w:sz w:val="20"/>
                <w:szCs w:val="20"/>
                <w:color w:val="auto"/>
              </w:rPr>
            </w:pPr>
            <w:r>
              <w:rPr>
                <w:rFonts w:ascii="Arial" w:cs="Arial" w:eastAsia="Arial" w:hAnsi="Arial"/>
                <w:sz w:val="18"/>
                <w:szCs w:val="18"/>
                <w:color w:val="auto"/>
              </w:rPr>
              <w:t>FROM: ALEXO THERAPEUTICS INTERNATIONAL (“Alexo”)</w:t>
            </w:r>
          </w:p>
        </w:tc>
        <w:tc>
          <w:tcPr>
            <w:tcW w:w="1360" w:type="dxa"/>
            <w:vAlign w:val="bottom"/>
          </w:tcPr>
          <w:p>
            <w:pPr>
              <w:spacing w:after="0"/>
              <w:rPr>
                <w:sz w:val="20"/>
                <w:szCs w:val="20"/>
                <w:color w:val="auto"/>
              </w:rPr>
            </w:pPr>
          </w:p>
        </w:tc>
      </w:tr>
      <w:tr>
        <w:trPr>
          <w:trHeight w:val="432"/>
        </w:trPr>
        <w:tc>
          <w:tcPr>
            <w:tcW w:w="7740" w:type="dxa"/>
            <w:vAlign w:val="bottom"/>
            <w:gridSpan w:val="5"/>
          </w:tcPr>
          <w:p>
            <w:pPr>
              <w:ind w:left="440"/>
              <w:spacing w:after="0"/>
              <w:rPr>
                <w:sz w:val="20"/>
                <w:szCs w:val="20"/>
                <w:color w:val="auto"/>
              </w:rPr>
            </w:pPr>
            <w:r>
              <w:rPr>
                <w:rFonts w:ascii="Arial" w:cs="Arial" w:eastAsia="Arial" w:hAnsi="Arial"/>
                <w:sz w:val="18"/>
                <w:szCs w:val="18"/>
                <w:color w:val="auto"/>
              </w:rPr>
              <w:t>SIRPANT THERAPEUTICS (“Sirpant”)</w:t>
            </w:r>
          </w:p>
        </w:tc>
        <w:tc>
          <w:tcPr>
            <w:tcW w:w="1360" w:type="dxa"/>
            <w:vAlign w:val="bottom"/>
          </w:tcPr>
          <w:p>
            <w:pPr>
              <w:spacing w:after="0"/>
              <w:rPr>
                <w:sz w:val="24"/>
                <w:szCs w:val="24"/>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100" w:firstLine="440"/>
        <w:spacing w:after="0" w:line="282" w:lineRule="auto"/>
        <w:rPr>
          <w:sz w:val="20"/>
          <w:szCs w:val="20"/>
          <w:color w:val="auto"/>
        </w:rPr>
      </w:pPr>
      <w:r>
        <w:rPr>
          <w:rFonts w:ascii="Arial" w:cs="Arial" w:eastAsia="Arial" w:hAnsi="Arial"/>
          <w:sz w:val="18"/>
          <w:szCs w:val="18"/>
          <w:color w:val="auto"/>
        </w:rPr>
        <w:t>The undersigned authorized officer of Alexo and Sirpant (individually and collectively, “</w:t>
      </w:r>
      <w:r>
        <w:rPr>
          <w:rFonts w:ascii="Arial" w:cs="Arial" w:eastAsia="Arial" w:hAnsi="Arial"/>
          <w:sz w:val="18"/>
          <w:szCs w:val="18"/>
          <w:b w:val="1"/>
          <w:bCs w:val="1"/>
          <w:color w:val="auto"/>
        </w:rPr>
        <w:t>Borrower</w:t>
      </w:r>
      <w:r>
        <w:rPr>
          <w:rFonts w:ascii="Arial" w:cs="Arial" w:eastAsia="Arial" w:hAnsi="Arial"/>
          <w:sz w:val="18"/>
          <w:szCs w:val="18"/>
          <w:color w:val="auto"/>
        </w:rPr>
        <w:t>”) certifies that under the terms and conditions of the Loan and Security Agreement among Borrower, SVB, and WestRiver (as amended,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58"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(1) Borrower is in complete compliance for the period ending with all required covenants except as noted below, (2) there are no Events of Default, (3) all representations and warranties in the Agreement are true and correct in all material respects on this date except as noted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those representations and warranties expressly referring to a specific date shall be true and correct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Agent.</w:t>
      </w:r>
    </w:p>
    <w:p>
      <w:pPr>
        <w:spacing w:after="0" w:line="165"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ectPr>
          <w:pgSz w:w="11900" w:h="16838" w:orient="portrait"/>
          <w:cols w:equalWidth="0" w:num="1">
            <w:col w:w="11020"/>
          </w:cols>
          <w:pgMar w:left="440" w:top="257" w:right="4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Reporting Covenants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Monthly Financial Statements with Compliance Certificate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Annual financial statement (CPA Audited)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960" w:type="dxa"/>
            <w:vAlign w:val="bottom"/>
            <w:gridSpan w:val="2"/>
          </w:tcPr>
          <w:p>
            <w:pPr>
              <w:ind w:left="2140"/>
              <w:spacing w:after="0"/>
              <w:rPr>
                <w:sz w:val="20"/>
                <w:szCs w:val="20"/>
                <w:color w:val="auto"/>
              </w:rPr>
            </w:pPr>
            <w:r>
              <w:rPr>
                <w:rFonts w:ascii="Arial" w:cs="Arial" w:eastAsia="Arial" w:hAnsi="Arial"/>
                <w:sz w:val="14"/>
                <w:szCs w:val="14"/>
                <w:b w:val="1"/>
                <w:bCs w:val="1"/>
                <w:color w:val="auto"/>
              </w:rPr>
              <w:t>Required</w:t>
            </w:r>
          </w:p>
        </w:tc>
        <w:tc>
          <w:tcPr>
            <w:tcW w:w="8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Complies</w:t>
            </w:r>
          </w:p>
        </w:tc>
      </w:tr>
      <w:tr>
        <w:trPr>
          <w:trHeight w:val="224"/>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Monthly within 30 days</w:t>
            </w:r>
          </w:p>
        </w:tc>
        <w:tc>
          <w:tcPr>
            <w:tcW w:w="120" w:type="dxa"/>
            <w:vAlign w:val="bottom"/>
          </w:tcPr>
          <w:p>
            <w:pPr>
              <w:spacing w:after="0"/>
              <w:rPr>
                <w:sz w:val="19"/>
                <w:szCs w:val="19"/>
                <w:color w:val="auto"/>
              </w:rPr>
            </w:pPr>
          </w:p>
        </w:tc>
        <w:tc>
          <w:tcPr>
            <w:tcW w:w="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No</w:t>
            </w:r>
          </w:p>
        </w:tc>
      </w:tr>
      <w:tr>
        <w:trPr>
          <w:trHeight w:val="403"/>
        </w:trPr>
        <w:tc>
          <w:tcPr>
            <w:tcW w:w="4960" w:type="dxa"/>
            <w:vAlign w:val="bottom"/>
            <w:gridSpan w:val="2"/>
          </w:tcPr>
          <w:p>
            <w:pPr>
              <w:spacing w:after="0"/>
              <w:rPr>
                <w:sz w:val="20"/>
                <w:szCs w:val="20"/>
                <w:color w:val="auto"/>
              </w:rPr>
            </w:pPr>
            <w:r>
              <w:rPr>
                <w:rFonts w:ascii="Arial" w:cs="Arial" w:eastAsia="Arial" w:hAnsi="Arial"/>
                <w:sz w:val="18"/>
                <w:szCs w:val="18"/>
                <w:color w:val="auto"/>
                <w:w w:val="93"/>
              </w:rPr>
              <w:t>By October 31; if the Board determines in its reasonable discretion</w:t>
            </w:r>
          </w:p>
        </w:tc>
        <w:tc>
          <w:tcPr>
            <w:tcW w:w="400" w:type="dxa"/>
            <w:vAlign w:val="bottom"/>
          </w:tcPr>
          <w:p>
            <w:pPr>
              <w:ind w:left="60"/>
              <w:spacing w:after="0"/>
              <w:rPr>
                <w:sz w:val="20"/>
                <w:szCs w:val="20"/>
                <w:color w:val="auto"/>
              </w:rPr>
            </w:pPr>
            <w:r>
              <w:rPr>
                <w:rFonts w:ascii="Arial" w:cs="Arial" w:eastAsia="Arial" w:hAnsi="Arial"/>
                <w:sz w:val="18"/>
                <w:szCs w:val="18"/>
                <w:color w:val="auto"/>
              </w:rPr>
              <w:t>Yes</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No</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not to require an audit for any fiscal year of Borrower, then 30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days after such FYE</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4460" w:space="720"/>
            <w:col w:w="5840"/>
          </w:cols>
          <w:pgMar w:left="440" w:top="257" w:right="439" w:bottom="1440" w:gutter="0" w:footer="0" w:header="0"/>
          <w:type w:val="continuous"/>
        </w:sectPr>
      </w:pPr>
    </w:p>
    <w:p>
      <w:pPr>
        <w:spacing w:after="0" w:line="2" w:lineRule="exact"/>
        <w:rPr>
          <w:sz w:val="20"/>
          <w:szCs w:val="20"/>
          <w:color w:val="auto"/>
        </w:rPr>
      </w:pPr>
    </w:p>
    <w:p>
      <w:pPr>
        <w:spacing w:after="0"/>
        <w:tabs>
          <w:tab w:leader="none" w:pos="5160" w:val="left"/>
          <w:tab w:leader="none" w:pos="10180" w:val="left"/>
          <w:tab w:leader="none" w:pos="10620" w:val="left"/>
        </w:tabs>
        <w:rPr>
          <w:sz w:val="20"/>
          <w:szCs w:val="20"/>
          <w:color w:val="auto"/>
        </w:rPr>
      </w:pPr>
      <w:r>
        <w:rPr>
          <w:rFonts w:ascii="Arial" w:cs="Arial" w:eastAsia="Arial" w:hAnsi="Arial"/>
          <w:sz w:val="18"/>
          <w:szCs w:val="18"/>
          <w:color w:val="auto"/>
        </w:rPr>
        <w:t>10-Q, 10-K and 8-K</w:t>
      </w:r>
      <w:r>
        <w:rPr>
          <w:sz w:val="20"/>
          <w:szCs w:val="20"/>
          <w:color w:val="auto"/>
        </w:rPr>
        <w:tab/>
      </w:r>
      <w:r>
        <w:rPr>
          <w:rFonts w:ascii="Arial" w:cs="Arial" w:eastAsia="Arial" w:hAnsi="Arial"/>
          <w:sz w:val="18"/>
          <w:szCs w:val="18"/>
          <w:color w:val="auto"/>
        </w:rPr>
        <w:t>Within 5 days after filing with SEC</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25" w:lineRule="exact"/>
        <w:rPr>
          <w:sz w:val="20"/>
          <w:szCs w:val="20"/>
          <w:color w:val="auto"/>
        </w:rPr>
      </w:pPr>
    </w:p>
    <w:p>
      <w:pPr>
        <w:spacing w:after="0"/>
        <w:tabs>
          <w:tab w:leader="none" w:pos="5160" w:val="left"/>
          <w:tab w:leader="none" w:pos="10180" w:val="left"/>
          <w:tab w:leader="none" w:pos="10620" w:val="left"/>
        </w:tabs>
        <w:rPr>
          <w:sz w:val="20"/>
          <w:szCs w:val="20"/>
          <w:color w:val="auto"/>
        </w:rPr>
      </w:pPr>
      <w:r>
        <w:rPr>
          <w:rFonts w:ascii="Arial" w:cs="Arial" w:eastAsia="Arial" w:hAnsi="Arial"/>
          <w:sz w:val="18"/>
          <w:szCs w:val="18"/>
          <w:color w:val="auto"/>
        </w:rPr>
        <w:t>Board-Approved Projections</w:t>
      </w:r>
      <w:r>
        <w:rPr>
          <w:sz w:val="20"/>
          <w:szCs w:val="20"/>
          <w:color w:val="auto"/>
        </w:rPr>
        <w:tab/>
      </w:r>
      <w:r>
        <w:rPr>
          <w:rFonts w:ascii="Arial" w:cs="Arial" w:eastAsia="Arial" w:hAnsi="Arial"/>
          <w:sz w:val="18"/>
          <w:szCs w:val="18"/>
          <w:color w:val="auto"/>
        </w:rPr>
        <w:t>Within the earlier to occur of</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 60 days after FYE and (b) 10 days after Board approval, and</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contemporaneously with changes</w:t>
      </w:r>
    </w:p>
    <w:p>
      <w:pPr>
        <w:spacing w:after="0" w:line="224" w:lineRule="exact"/>
        <w:rPr>
          <w:sz w:val="20"/>
          <w:szCs w:val="20"/>
          <w:color w:val="auto"/>
        </w:rPr>
      </w:pPr>
    </w:p>
    <w:p>
      <w:pPr>
        <w:ind w:left="440"/>
        <w:spacing w:after="0"/>
        <w:tabs>
          <w:tab w:leader="none" w:pos="3300" w:val="left"/>
        </w:tabs>
        <w:rPr>
          <w:sz w:val="20"/>
          <w:szCs w:val="20"/>
          <w:color w:val="auto"/>
        </w:rPr>
      </w:pPr>
      <w:r>
        <w:rPr>
          <w:rFonts w:ascii="Arial" w:cs="Arial" w:eastAsia="Arial" w:hAnsi="Arial"/>
          <w:sz w:val="18"/>
          <w:szCs w:val="18"/>
          <w:color w:val="auto"/>
        </w:rPr>
        <w:t>Cash maintained at ALX U.S. $</w:t>
      </w:r>
      <w:r>
        <w:rPr>
          <w:sz w:val="20"/>
          <w:szCs w:val="20"/>
          <w:color w:val="auto"/>
        </w:rPr>
        <w:tab/>
      </w:r>
      <w:r>
        <w:rPr>
          <w:rFonts w:ascii="Arial" w:cs="Arial" w:eastAsia="Arial" w:hAnsi="Arial"/>
          <w:sz w:val="15"/>
          <w:szCs w:val="15"/>
          <w:color w:val="auto"/>
        </w:rPr>
        <w:t>as of</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Other Matters</w:t>
            </w:r>
          </w:p>
        </w:tc>
        <w:tc>
          <w:tcPr>
            <w:tcW w:w="8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0260" w:type="dxa"/>
            <w:vAlign w:val="bottom"/>
            <w:gridSpan w:val="3"/>
          </w:tcPr>
          <w:p>
            <w:pPr>
              <w:spacing w:after="0"/>
              <w:rPr>
                <w:sz w:val="20"/>
                <w:szCs w:val="20"/>
                <w:color w:val="auto"/>
              </w:rPr>
            </w:pPr>
            <w:r>
              <w:rPr>
                <w:rFonts w:ascii="Arial" w:cs="Arial" w:eastAsia="Arial" w:hAnsi="Arial"/>
                <w:sz w:val="18"/>
                <w:szCs w:val="18"/>
                <w:color w:val="auto"/>
                <w:w w:val="91"/>
              </w:rPr>
              <w:t>Have there been any amendments of or other changes to the capitalization table of Borrower and to the Operating Documents of Borrower or</w:t>
            </w:r>
          </w:p>
        </w:tc>
        <w:tc>
          <w:tcPr>
            <w:tcW w:w="740" w:type="dxa"/>
            <w:vAlign w:val="bottom"/>
            <w:vMerge w:val="restart"/>
          </w:tcPr>
          <w:p>
            <w:pPr>
              <w:ind w:left="120"/>
              <w:spacing w:after="0"/>
              <w:rPr>
                <w:sz w:val="20"/>
                <w:szCs w:val="20"/>
                <w:color w:val="auto"/>
              </w:rPr>
            </w:pPr>
            <w:r>
              <w:rPr>
                <w:rFonts w:ascii="Arial" w:cs="Arial" w:eastAsia="Arial" w:hAnsi="Arial"/>
                <w:sz w:val="18"/>
                <w:szCs w:val="18"/>
                <w:color w:val="auto"/>
                <w:w w:val="93"/>
              </w:rPr>
              <w:t>Yes  No</w:t>
            </w:r>
          </w:p>
        </w:tc>
        <w:tc>
          <w:tcPr>
            <w:tcW w:w="0" w:type="dxa"/>
            <w:vAlign w:val="bottom"/>
          </w:tcPr>
          <w:p>
            <w:pPr>
              <w:spacing w:after="0"/>
              <w:rPr>
                <w:sz w:val="1"/>
                <w:szCs w:val="1"/>
                <w:color w:val="auto"/>
              </w:rPr>
            </w:pPr>
          </w:p>
        </w:tc>
      </w:tr>
      <w:tr>
        <w:trPr>
          <w:trHeight w:val="122"/>
        </w:trPr>
        <w:tc>
          <w:tcPr>
            <w:tcW w:w="10260" w:type="dxa"/>
            <w:vAlign w:val="bottom"/>
            <w:gridSpan w:val="3"/>
            <w:vMerge w:val="restart"/>
          </w:tcPr>
          <w:p>
            <w:pPr>
              <w:spacing w:after="0"/>
              <w:rPr>
                <w:sz w:val="20"/>
                <w:szCs w:val="20"/>
                <w:color w:val="auto"/>
              </w:rPr>
            </w:pPr>
            <w:r>
              <w:rPr>
                <w:rFonts w:ascii="Arial" w:cs="Arial" w:eastAsia="Arial" w:hAnsi="Arial"/>
                <w:sz w:val="18"/>
                <w:szCs w:val="18"/>
                <w:color w:val="auto"/>
              </w:rPr>
              <w:t>any of its Subsidiaries? If yes, provide copies of any such amendments or changes with this Compliance Certificate.</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6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7" w:right="439" w:bottom="1440" w:gutter="0" w:footer="0" w:header="0"/>
          <w:type w:val="continuous"/>
        </w:sectPr>
      </w:pPr>
    </w:p>
    <w:bookmarkStart w:id="317" w:name="page318"/>
    <w:bookmarkEnd w:id="317"/>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are the exceptions with respect to the certification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612140</wp:posOffset>
            </wp:positionV>
            <wp:extent cx="699516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466725</wp:posOffset>
            </wp:positionV>
            <wp:extent cx="69951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320675</wp:posOffset>
            </wp:positionV>
            <wp:extent cx="69951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40"/>
        <w:spacing w:after="0" w:line="547" w:lineRule="auto"/>
        <w:rPr>
          <w:sz w:val="20"/>
          <w:szCs w:val="20"/>
          <w:color w:val="auto"/>
        </w:rPr>
      </w:pPr>
      <w:r>
        <w:rPr>
          <w:rFonts w:ascii="Arial" w:cs="Arial" w:eastAsia="Arial" w:hAnsi="Arial"/>
          <w:sz w:val="18"/>
          <w:szCs w:val="18"/>
          <w:color w:val="auto"/>
        </w:rPr>
        <w:t>ALEXO THERAPEUTICS INTERNATIONAL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-160655</wp:posOffset>
            </wp:positionV>
            <wp:extent cx="184277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16713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173164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SIRPANT THERAPEUTICS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184277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16713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173164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ALX ONCOLOGY LIMITED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184277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16713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173164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USE ONLY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Received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14605</wp:posOffset>
            </wp:positionV>
            <wp:extent cx="14147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47" w:lineRule="exact"/>
        <w:rPr>
          <w:sz w:val="20"/>
          <w:szCs w:val="20"/>
          <w:color w:val="auto"/>
        </w:rPr>
      </w:pPr>
    </w:p>
    <w:p>
      <w:pPr>
        <w:jc w:val="right"/>
        <w:ind w:right="1519"/>
        <w:spacing w:after="0"/>
        <w:rPr>
          <w:sz w:val="20"/>
          <w:szCs w:val="20"/>
          <w:color w:val="auto"/>
        </w:rPr>
      </w:pPr>
      <w:r>
        <w:rPr>
          <w:rFonts w:ascii="Arial" w:cs="Arial" w:eastAsia="Arial" w:hAnsi="Arial"/>
          <w:sz w:val="15"/>
          <w:szCs w:val="15"/>
          <w:color w:val="auto"/>
        </w:rPr>
        <w:t>AUTHORIZED SIGNER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14605</wp:posOffset>
            </wp:positionV>
            <wp:extent cx="176593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Verified: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14605</wp:posOffset>
            </wp:positionV>
            <wp:extent cx="99441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4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AUTHORIZED SIGNER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14605</wp:posOffset>
            </wp:positionV>
            <wp:extent cx="176593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59" w:lineRule="exact"/>
        <w:rPr>
          <w:sz w:val="20"/>
          <w:szCs w:val="20"/>
          <w:color w:val="auto"/>
        </w:rPr>
      </w:pPr>
    </w:p>
    <w:p>
      <w:pPr>
        <w:jc w:val="center"/>
        <w:ind w:right="2079"/>
        <w:spacing w:after="0"/>
        <w:tabs>
          <w:tab w:leader="none" w:pos="160" w:val="left"/>
          <w:tab w:leader="none" w:pos="240" w:val="left"/>
        </w:tabs>
        <w:rPr>
          <w:sz w:val="20"/>
          <w:szCs w:val="20"/>
          <w:color w:val="auto"/>
        </w:rPr>
      </w:pPr>
      <w:r>
        <w:rPr>
          <w:rFonts w:ascii="Arial" w:cs="Arial" w:eastAsia="Arial" w:hAnsi="Arial"/>
          <w:sz w:val="18"/>
          <w:szCs w:val="18"/>
          <w:color w:val="auto"/>
        </w:rPr>
        <w:t>Compliance Status:</w:t>
        <w:tab/>
        <w:t>Yes</w:t>
      </w:r>
      <w:r>
        <w:rPr>
          <w:sz w:val="20"/>
          <w:szCs w:val="20"/>
          <w:color w:val="auto"/>
        </w:rPr>
        <w:tab/>
      </w:r>
      <w:r>
        <w:rPr>
          <w:rFonts w:ascii="Arial" w:cs="Arial" w:eastAsia="Arial" w:hAnsi="Arial"/>
          <w:sz w:val="17"/>
          <w:szCs w:val="17"/>
          <w:color w:val="auto"/>
        </w:rPr>
        <w:t>No</w:t>
      </w:r>
    </w:p>
    <w:p>
      <w:pPr>
        <w:sectPr>
          <w:pgSz w:w="11900" w:h="16838" w:orient="portrait"/>
          <w:cols w:equalWidth="0" w:num="2">
            <w:col w:w="4900" w:space="720"/>
            <w:col w:w="4399"/>
          </w:cols>
          <w:pgMar w:left="440" w:top="274" w:right="1440" w:bottom="1440" w:gutter="0" w:footer="0" w:header="0"/>
          <w:type w:val="continuous"/>
        </w:sectPr>
      </w:pPr>
    </w:p>
    <w:bookmarkStart w:id="318" w:name="page319"/>
    <w:bookmarkEnd w:id="3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LOAN PAYMENT/ADVANCE REQUEST FORM</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IME</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500" w:type="dxa"/>
            <w:vAlign w:val="bottom"/>
            <w:gridSpan w:val="6"/>
          </w:tcPr>
          <w:p>
            <w:pPr>
              <w:ind w:left="80"/>
              <w:spacing w:after="0"/>
              <w:rPr>
                <w:sz w:val="20"/>
                <w:szCs w:val="20"/>
                <w:color w:val="auto"/>
              </w:rPr>
            </w:pPr>
            <w:r>
              <w:rPr>
                <w:rFonts w:ascii="Arial" w:cs="Arial" w:eastAsia="Arial" w:hAnsi="Arial"/>
                <w:sz w:val="18"/>
                <w:szCs w:val="18"/>
                <w:color w:val="auto"/>
              </w:rPr>
              <w:t>Fax To:</w:t>
            </w: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Date:</w:t>
            </w:r>
          </w:p>
        </w:tc>
        <w:tc>
          <w:tcPr>
            <w:tcW w:w="2100" w:type="dxa"/>
            <w:vAlign w:val="bottom"/>
            <w:tcBorders>
              <w:bottom w:val="single" w:sz="8" w:color="auto"/>
            </w:tcBorders>
            <w:gridSpan w:val="3"/>
          </w:tcPr>
          <w:p>
            <w:pPr>
              <w:spacing w:after="0"/>
              <w:rPr>
                <w:sz w:val="20"/>
                <w:szCs w:val="20"/>
                <w:color w:val="auto"/>
              </w:rPr>
            </w:pPr>
          </w:p>
        </w:tc>
        <w:tc>
          <w:tcPr>
            <w:tcW w:w="1760" w:type="dxa"/>
            <w:vAlign w:val="bottom"/>
          </w:tcPr>
          <w:p>
            <w:pPr>
              <w:spacing w:after="0"/>
              <w:rPr>
                <w:sz w:val="20"/>
                <w:szCs w:val="20"/>
                <w:color w:val="auto"/>
              </w:rPr>
            </w:pPr>
          </w:p>
        </w:tc>
      </w:tr>
      <w:tr>
        <w:trPr>
          <w:trHeight w:val="247"/>
        </w:trPr>
        <w:tc>
          <w:tcPr>
            <w:tcW w:w="10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r>
      <w:tr>
        <w:trPr>
          <w:trHeight w:val="253"/>
        </w:trPr>
        <w:tc>
          <w:tcPr>
            <w:tcW w:w="9260" w:type="dxa"/>
            <w:vAlign w:val="bottom"/>
            <w:tcBorders>
              <w:left w:val="single" w:sz="8" w:color="auto"/>
            </w:tcBorders>
            <w:gridSpan w:val="13"/>
          </w:tcPr>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 xml:space="preserve">:  </w:t>
            </w:r>
            <w:r>
              <w:rPr>
                <w:rFonts w:ascii="Arial" w:cs="Arial" w:eastAsia="Arial" w:hAnsi="Arial"/>
                <w:sz w:val="18"/>
                <w:szCs w:val="18"/>
                <w:color w:val="auto"/>
              </w:rPr>
              <w:t>ALEXO THERAPEUTICS INTERNATIONAL AND SIRPANT THERAPEUTICS</w:t>
            </w:r>
          </w:p>
        </w:tc>
        <w:tc>
          <w:tcPr>
            <w:tcW w:w="1760" w:type="dxa"/>
            <w:vAlign w:val="bottom"/>
            <w:tcBorders>
              <w:right w:val="single" w:sz="8" w:color="auto"/>
            </w:tcBorders>
          </w:tcPr>
          <w:p>
            <w:pPr>
              <w:spacing w:after="0"/>
              <w:rPr>
                <w:sz w:val="22"/>
                <w:szCs w:val="22"/>
                <w:color w:val="auto"/>
              </w:rPr>
            </w:pPr>
          </w:p>
        </w:tc>
      </w:tr>
      <w:tr>
        <w:trPr>
          <w:trHeight w:val="459"/>
        </w:trPr>
        <w:tc>
          <w:tcPr>
            <w:tcW w:w="4500" w:type="dxa"/>
            <w:vAlign w:val="bottom"/>
            <w:tcBorders>
              <w:left w:val="single" w:sz="8" w:color="auto"/>
            </w:tcBorders>
            <w:gridSpan w:val="6"/>
          </w:tcPr>
          <w:p>
            <w:pPr>
              <w:ind w:left="100"/>
              <w:spacing w:after="0"/>
              <w:rPr>
                <w:sz w:val="20"/>
                <w:szCs w:val="20"/>
                <w:color w:val="auto"/>
              </w:rPr>
            </w:pPr>
            <w:r>
              <w:rPr>
                <w:rFonts w:ascii="Arial" w:cs="Arial" w:eastAsia="Arial" w:hAnsi="Arial"/>
                <w:sz w:val="18"/>
                <w:szCs w:val="18"/>
                <w:color w:val="auto"/>
              </w:rPr>
              <w:t>From Account #</w:t>
            </w:r>
          </w:p>
        </w:tc>
        <w:tc>
          <w:tcPr>
            <w:tcW w:w="4760" w:type="dxa"/>
            <w:vAlign w:val="bottom"/>
            <w:gridSpan w:val="7"/>
          </w:tcPr>
          <w:p>
            <w:pPr>
              <w:ind w:left="180"/>
              <w:spacing w:after="0"/>
              <w:rPr>
                <w:sz w:val="20"/>
                <w:szCs w:val="20"/>
                <w:color w:val="auto"/>
              </w:rPr>
            </w:pPr>
            <w:r>
              <w:rPr>
                <w:rFonts w:ascii="Arial" w:cs="Arial" w:eastAsia="Arial" w:hAnsi="Arial"/>
                <w:sz w:val="18"/>
                <w:szCs w:val="18"/>
                <w:color w:val="auto"/>
              </w:rPr>
              <w:t>To Account #</w:t>
            </w:r>
          </w:p>
        </w:tc>
        <w:tc>
          <w:tcPr>
            <w:tcW w:w="1760" w:type="dxa"/>
            <w:vAlign w:val="bottom"/>
            <w:tcBorders>
              <w:right w:val="single" w:sz="8" w:color="auto"/>
            </w:tcBorders>
          </w:tcPr>
          <w:p>
            <w:pPr>
              <w:spacing w:after="0"/>
              <w:rPr>
                <w:sz w:val="24"/>
                <w:szCs w:val="24"/>
                <w:color w:val="auto"/>
              </w:rPr>
            </w:pPr>
          </w:p>
        </w:tc>
      </w:tr>
      <w:tr>
        <w:trPr>
          <w:trHeight w:val="224"/>
        </w:trPr>
        <w:tc>
          <w:tcPr>
            <w:tcW w:w="102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3"/>
          </w:tcPr>
          <w:p>
            <w:pPr>
              <w:ind w:left="320"/>
              <w:spacing w:after="0"/>
              <w:rPr>
                <w:sz w:val="20"/>
                <w:szCs w:val="20"/>
                <w:color w:val="auto"/>
              </w:rPr>
            </w:pPr>
            <w:r>
              <w:rPr>
                <w:rFonts w:ascii="Arial" w:cs="Arial" w:eastAsia="Arial" w:hAnsi="Arial"/>
                <w:sz w:val="18"/>
                <w:szCs w:val="18"/>
                <w:color w:val="auto"/>
              </w:rPr>
              <w:t>(Deposit Account #)</w:t>
            </w:r>
          </w:p>
        </w:tc>
        <w:tc>
          <w:tcPr>
            <w:tcW w:w="1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3"/>
          </w:tcPr>
          <w:p>
            <w:pPr>
              <w:ind w:left="560"/>
              <w:spacing w:after="0"/>
              <w:rPr>
                <w:sz w:val="20"/>
                <w:szCs w:val="20"/>
                <w:color w:val="auto"/>
              </w:rPr>
            </w:pPr>
            <w:r>
              <w:rPr>
                <w:rFonts w:ascii="Arial" w:cs="Arial" w:eastAsia="Arial" w:hAnsi="Arial"/>
                <w:sz w:val="18"/>
                <w:szCs w:val="18"/>
                <w:color w:val="auto"/>
              </w:rPr>
              <w:t>(Loan Account #)</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r>
      <w:tr>
        <w:trPr>
          <w:trHeight w:val="458"/>
        </w:trPr>
        <w:tc>
          <w:tcPr>
            <w:tcW w:w="1020" w:type="dxa"/>
            <w:vAlign w:val="bottom"/>
            <w:tcBorders>
              <w:left w:val="single" w:sz="8" w:color="auto"/>
            </w:tcBorders>
          </w:tcPr>
          <w:p>
            <w:pPr>
              <w:ind w:left="100"/>
              <w:spacing w:after="0"/>
              <w:rPr>
                <w:sz w:val="20"/>
                <w:szCs w:val="20"/>
                <w:color w:val="auto"/>
              </w:rPr>
            </w:pPr>
            <w:r>
              <w:rPr>
                <w:rFonts w:ascii="Arial" w:cs="Arial" w:eastAsia="Arial" w:hAnsi="Arial"/>
                <w:sz w:val="18"/>
                <w:szCs w:val="18"/>
                <w:color w:val="auto"/>
              </w:rPr>
              <w:t>Principal $</w:t>
            </w:r>
          </w:p>
        </w:tc>
        <w:tc>
          <w:tcPr>
            <w:tcW w:w="2760" w:type="dxa"/>
            <w:vAlign w:val="bottom"/>
            <w:tcBorders>
              <w:bottom w:val="single" w:sz="8" w:color="auto"/>
            </w:tcBorders>
            <w:gridSpan w:val="3"/>
          </w:tcPr>
          <w:p>
            <w:pPr>
              <w:spacing w:after="0"/>
              <w:rPr>
                <w:sz w:val="24"/>
                <w:szCs w:val="24"/>
                <w:color w:val="auto"/>
              </w:rPr>
            </w:pPr>
          </w:p>
        </w:tc>
        <w:tc>
          <w:tcPr>
            <w:tcW w:w="720" w:type="dxa"/>
            <w:vAlign w:val="bottom"/>
            <w:gridSpan w:val="2"/>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and/or Interest $</w:t>
            </w:r>
          </w:p>
        </w:tc>
        <w:tc>
          <w:tcPr>
            <w:tcW w:w="2740" w:type="dxa"/>
            <w:vAlign w:val="bottom"/>
            <w:tcBorders>
              <w:bottom w:val="single" w:sz="8" w:color="auto"/>
            </w:tcBorders>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r>
      <w:tr>
        <w:trPr>
          <w:trHeight w:val="466"/>
        </w:trPr>
        <w:tc>
          <w:tcPr>
            <w:tcW w:w="4500" w:type="dxa"/>
            <w:vAlign w:val="bottom"/>
            <w:tcBorders>
              <w:left w:val="single" w:sz="8" w:color="auto"/>
            </w:tcBorders>
            <w:gridSpan w:val="6"/>
          </w:tcPr>
          <w:p>
            <w:pPr>
              <w:ind w:left="100"/>
              <w:spacing w:after="0"/>
              <w:rPr>
                <w:sz w:val="20"/>
                <w:szCs w:val="20"/>
                <w:color w:val="auto"/>
              </w:rPr>
            </w:pPr>
            <w:r>
              <w:rPr>
                <w:rFonts w:ascii="Arial" w:cs="Arial" w:eastAsia="Arial" w:hAnsi="Arial"/>
                <w:sz w:val="18"/>
                <w:szCs w:val="18"/>
                <w:color w:val="auto"/>
              </w:rPr>
              <w:t>Authorized Signature:</w:t>
            </w:r>
          </w:p>
        </w:tc>
        <w:tc>
          <w:tcPr>
            <w:tcW w:w="4760" w:type="dxa"/>
            <w:vAlign w:val="bottom"/>
            <w:gridSpan w:val="7"/>
          </w:tcPr>
          <w:p>
            <w:pPr>
              <w:ind w:left="1040"/>
              <w:spacing w:after="0"/>
              <w:rPr>
                <w:sz w:val="20"/>
                <w:szCs w:val="20"/>
                <w:color w:val="auto"/>
              </w:rPr>
            </w:pPr>
            <w:r>
              <w:rPr>
                <w:rFonts w:ascii="Arial" w:cs="Arial" w:eastAsia="Arial" w:hAnsi="Arial"/>
                <w:sz w:val="18"/>
                <w:szCs w:val="18"/>
                <w:color w:val="auto"/>
              </w:rPr>
              <w:t>Phone Number:</w:t>
            </w:r>
          </w:p>
        </w:tc>
        <w:tc>
          <w:tcPr>
            <w:tcW w:w="1760" w:type="dxa"/>
            <w:vAlign w:val="bottom"/>
            <w:tcBorders>
              <w:right w:val="single" w:sz="8" w:color="auto"/>
            </w:tcBorders>
          </w:tcPr>
          <w:p>
            <w:pPr>
              <w:spacing w:after="0"/>
              <w:rPr>
                <w:sz w:val="24"/>
                <w:szCs w:val="24"/>
                <w:color w:val="auto"/>
              </w:rPr>
            </w:pPr>
          </w:p>
        </w:tc>
      </w:tr>
      <w:tr>
        <w:trPr>
          <w:trHeight w:val="223"/>
        </w:trPr>
        <w:tc>
          <w:tcPr>
            <w:tcW w:w="1900" w:type="dxa"/>
            <w:vAlign w:val="bottom"/>
            <w:tcBorders>
              <w:left w:val="single" w:sz="8" w:color="auto"/>
            </w:tcBorders>
            <w:gridSpan w:val="3"/>
          </w:tcPr>
          <w:p>
            <w:pPr>
              <w:ind w:left="100"/>
              <w:spacing w:after="0"/>
              <w:rPr>
                <w:sz w:val="20"/>
                <w:szCs w:val="20"/>
                <w:color w:val="auto"/>
              </w:rPr>
            </w:pPr>
            <w:r>
              <w:rPr>
                <w:rFonts w:ascii="Arial" w:cs="Arial" w:eastAsia="Arial" w:hAnsi="Arial"/>
                <w:sz w:val="18"/>
                <w:szCs w:val="18"/>
                <w:color w:val="auto"/>
              </w:rPr>
              <w:t>Print Name/Title:</w:t>
            </w:r>
          </w:p>
        </w:tc>
        <w:tc>
          <w:tcPr>
            <w:tcW w:w="2420" w:type="dxa"/>
            <w:vAlign w:val="bottom"/>
            <w:tcBorders>
              <w:top w:val="single" w:sz="8" w:color="auto"/>
              <w:bottom w:val="single" w:sz="8" w:color="auto"/>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tcBorders>
              <w:right w:val="single" w:sz="8" w:color="auto"/>
            </w:tcBorders>
          </w:tcPr>
          <w:p>
            <w:pPr>
              <w:spacing w:after="0"/>
              <w:rPr>
                <w:sz w:val="19"/>
                <w:szCs w:val="19"/>
                <w:color w:val="auto"/>
              </w:rPr>
            </w:pPr>
          </w:p>
        </w:tc>
      </w:tr>
      <w:tr>
        <w:trPr>
          <w:trHeight w:val="58"/>
        </w:trPr>
        <w:tc>
          <w:tcPr>
            <w:tcW w:w="1020" w:type="dxa"/>
            <w:vAlign w:val="bottom"/>
            <w:tcBorders>
              <w:left w:val="single" w:sz="8" w:color="auto"/>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6998970" cy="21126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98970" cy="2112645"/>
                    </a:xfrm>
                    <a:prstGeom prst="rect">
                      <a:avLst/>
                    </a:prstGeom>
                    <a:noFill/>
                  </pic:spPr>
                </pic:pic>
              </a:graphicData>
            </a:graphic>
          </wp:anchor>
        </w:drawing>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4320" w:type="dxa"/>
            <w:vAlign w:val="bottom"/>
            <w:gridSpan w:val="3"/>
          </w:tcPr>
          <w:p>
            <w:pPr>
              <w:ind w:left="180"/>
              <w:spacing w:after="0"/>
              <w:rPr>
                <w:sz w:val="20"/>
                <w:szCs w:val="20"/>
                <w:color w:val="auto"/>
              </w:rPr>
            </w:pPr>
            <w:r>
              <w:rPr>
                <w:rFonts w:ascii="Arial" w:cs="Arial" w:eastAsia="Arial" w:hAnsi="Arial"/>
                <w:sz w:val="18"/>
                <w:szCs w:val="18"/>
                <w:color w:val="auto"/>
              </w:rPr>
              <w:t>To Account #</w:t>
            </w:r>
          </w:p>
        </w:tc>
      </w:tr>
      <w:tr>
        <w:trPr>
          <w:trHeight w:val="224"/>
        </w:trPr>
        <w:tc>
          <w:tcPr>
            <w:tcW w:w="1320" w:type="dxa"/>
            <w:vAlign w:val="bottom"/>
          </w:tcPr>
          <w:p>
            <w:pPr>
              <w:spacing w:after="0"/>
              <w:rPr>
                <w:sz w:val="19"/>
                <w:szCs w:val="19"/>
                <w:color w:val="auto"/>
              </w:rPr>
            </w:pPr>
          </w:p>
        </w:tc>
        <w:tc>
          <w:tcPr>
            <w:tcW w:w="3080" w:type="dxa"/>
            <w:vAlign w:val="bottom"/>
            <w:tcBorders>
              <w:top w:val="single" w:sz="8" w:color="auto"/>
            </w:tcBorders>
            <w:gridSpan w:val="2"/>
          </w:tcPr>
          <w:p>
            <w:pPr>
              <w:ind w:left="900"/>
              <w:spacing w:after="0"/>
              <w:rPr>
                <w:sz w:val="20"/>
                <w:szCs w:val="20"/>
                <w:color w:val="auto"/>
              </w:rPr>
            </w:pPr>
            <w:r>
              <w:rPr>
                <w:rFonts w:ascii="Arial" w:cs="Arial" w:eastAsia="Arial" w:hAnsi="Arial"/>
                <w:sz w:val="18"/>
                <w:szCs w:val="18"/>
                <w:color w:val="auto"/>
              </w:rPr>
              <w:t>(Loan Account #)</w:t>
            </w: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(Deposit Account #)</w:t>
            </w:r>
          </w:p>
        </w:tc>
      </w:tr>
      <w:tr>
        <w:trPr>
          <w:trHeight w:val="458"/>
        </w:trPr>
        <w:tc>
          <w:tcPr>
            <w:tcW w:w="2780" w:type="dxa"/>
            <w:vAlign w:val="bottom"/>
            <w:gridSpan w:val="2"/>
          </w:tcPr>
          <w:p>
            <w:pPr>
              <w:spacing w:after="0"/>
              <w:rPr>
                <w:sz w:val="20"/>
                <w:szCs w:val="20"/>
                <w:color w:val="auto"/>
              </w:rPr>
            </w:pPr>
            <w:r>
              <w:rPr>
                <w:rFonts w:ascii="Arial" w:cs="Arial" w:eastAsia="Arial" w:hAnsi="Arial"/>
                <w:sz w:val="18"/>
                <w:szCs w:val="18"/>
                <w:color w:val="auto"/>
              </w:rPr>
              <w:t>Amount of Term Loan Advance $</w:t>
            </w:r>
          </w:p>
        </w:tc>
        <w:tc>
          <w:tcPr>
            <w:tcW w:w="1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bl>
    <w:p>
      <w:pPr>
        <w:spacing w:after="0" w:line="21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on the date of the request for an advance</w:t>
      </w:r>
    </w:p>
    <w:p>
      <w:pPr>
        <w:spacing w:after="0" w:line="197" w:lineRule="exact"/>
        <w:rPr>
          <w:sz w:val="20"/>
          <w:szCs w:val="20"/>
          <w:color w:val="auto"/>
        </w:rPr>
      </w:pPr>
    </w:p>
    <w:p>
      <w:pPr>
        <w:ind w:left="100"/>
        <w:spacing w:after="0"/>
        <w:tabs>
          <w:tab w:leader="none" w:pos="5520" w:val="left"/>
        </w:tabs>
        <w:rPr>
          <w:sz w:val="20"/>
          <w:szCs w:val="20"/>
          <w:color w:val="auto"/>
        </w:rPr>
      </w:pPr>
      <w:r>
        <w:rPr>
          <w:rFonts w:ascii="Arial" w:cs="Arial" w:eastAsia="Arial" w:hAnsi="Arial"/>
          <w:sz w:val="18"/>
          <w:szCs w:val="18"/>
          <w:color w:val="auto"/>
        </w:rPr>
        <w:t>Authorized Signature:</w:t>
      </w:r>
      <w:r>
        <w:rPr>
          <w:sz w:val="20"/>
          <w:szCs w:val="20"/>
          <w:color w:val="auto"/>
        </w:rPr>
        <w:tab/>
      </w:r>
      <w:r>
        <w:rPr>
          <w:rFonts w:ascii="Arial" w:cs="Arial" w:eastAsia="Arial" w:hAnsi="Arial"/>
          <w:sz w:val="15"/>
          <w:szCs w:val="15"/>
          <w:color w:val="auto"/>
        </w:rPr>
        <w:t>Phone Number:</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Print 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217805</wp:posOffset>
            </wp:positionV>
            <wp:extent cx="6998970" cy="36474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8970" cy="3647440"/>
                    </a:xfrm>
                    <a:prstGeom prst="rect">
                      <a:avLst/>
                    </a:prstGeom>
                    <a:noFill/>
                  </pic:spPr>
                </pic:pic>
              </a:graphicData>
            </a:graphic>
          </wp:anchor>
        </w:drawing>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Deadline for same day processing is noon, Pacific Time</w:t>
      </w:r>
    </w:p>
    <w:p>
      <w:pPr>
        <w:sectPr>
          <w:pgSz w:w="11900" w:h="16838" w:orient="portrait"/>
          <w:cols w:equalWidth="0" w:num="1">
            <w:col w:w="11020"/>
          </w:cols>
          <w:pgMar w:left="440" w:top="270" w:right="439" w:bottom="1440" w:gutter="0" w:footer="0" w:header="0"/>
        </w:sect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Beneficiary Name:</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Beneficiary Bank:</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City and State:</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Beneficiary Bank Transit (ABA) #:</w:t>
      </w:r>
    </w:p>
    <w:p>
      <w:pPr>
        <w:spacing w:after="0" w:line="26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Intermediary Bank:</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For Further Credit to:</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Amount of Wire: $</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Account Number: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Beneficiary Bank Code (Swift, Sort, Chip, etc.):</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 International Wire Only)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Transit (ABA) #:</w:t>
      </w:r>
    </w:p>
    <w:p>
      <w:pPr>
        <w:spacing w:after="0" w:line="415" w:lineRule="exact"/>
        <w:rPr>
          <w:sz w:val="20"/>
          <w:szCs w:val="20"/>
          <w:color w:val="auto"/>
        </w:rPr>
      </w:pPr>
    </w:p>
    <w:p>
      <w:pPr>
        <w:sectPr>
          <w:pgSz w:w="11900" w:h="16838" w:orient="portrait"/>
          <w:cols w:equalWidth="0" w:num="2">
            <w:col w:w="4020" w:space="720"/>
            <w:col w:w="6280"/>
          </w:cols>
          <w:pgMar w:left="440" w:top="270" w:right="439" w:bottom="1440" w:gutter="0" w:footer="0" w:header="0"/>
          <w:type w:val="continuous"/>
        </w:sectPr>
      </w:pPr>
    </w:p>
    <w:p>
      <w:pPr>
        <w:spacing w:after="0" w:line="7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Special Instruction:</w:t>
      </w:r>
    </w:p>
    <w:p>
      <w:pPr>
        <w:spacing w:after="0" w:line="25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00" w:type="dxa"/>
            <w:vAlign w:val="bottom"/>
            <w:gridSpan w:val="2"/>
          </w:tcPr>
          <w:p>
            <w:pPr>
              <w:ind w:left="120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580" w:type="dxa"/>
            <w:vAlign w:val="bottom"/>
            <w:tcBorders>
              <w:bottom w:val="single" w:sz="8" w:color="auto"/>
            </w:tcBorders>
            <w:gridSpan w:val="2"/>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1800" w:type="dxa"/>
            <w:vAlign w:val="bottom"/>
            <w:gridSpan w:val="2"/>
          </w:tcPr>
          <w:p>
            <w:pPr>
              <w:spacing w:after="0"/>
              <w:rPr>
                <w:sz w:val="20"/>
                <w:szCs w:val="20"/>
                <w:color w:val="auto"/>
              </w:rPr>
            </w:pPr>
            <w:r>
              <w:rPr>
                <w:rFonts w:ascii="Arial" w:cs="Arial" w:eastAsia="Arial" w:hAnsi="Arial"/>
                <w:sz w:val="18"/>
                <w:szCs w:val="18"/>
                <w:color w:val="auto"/>
              </w:rPr>
              <w:t>Print Name/Title:</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gridSpan w:val="4"/>
          </w:tcPr>
          <w:p>
            <w:pPr>
              <w:ind w:left="1200"/>
              <w:spacing w:after="0"/>
              <w:rPr>
                <w:sz w:val="20"/>
                <w:szCs w:val="20"/>
                <w:color w:val="auto"/>
              </w:rPr>
            </w:pPr>
            <w:r>
              <w:rPr>
                <w:rFonts w:ascii="Arial" w:cs="Arial" w:eastAsia="Arial" w:hAnsi="Arial"/>
                <w:sz w:val="18"/>
                <w:szCs w:val="18"/>
                <w:color w:val="auto"/>
              </w:rPr>
              <w:t>Print Name/Title:</w:t>
            </w:r>
          </w:p>
        </w:tc>
        <w:tc>
          <w:tcPr>
            <w:tcW w:w="1280" w:type="dxa"/>
            <w:vAlign w:val="bottom"/>
          </w:tcPr>
          <w:p>
            <w:pPr>
              <w:spacing w:after="0"/>
              <w:rPr>
                <w:sz w:val="19"/>
                <w:szCs w:val="19"/>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Telephone #:</w:t>
            </w:r>
          </w:p>
        </w:tc>
        <w:tc>
          <w:tcPr>
            <w:tcW w:w="66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0" w:type="dxa"/>
            <w:vAlign w:val="bottom"/>
          </w:tcPr>
          <w:p>
            <w:pPr>
              <w:ind w:left="1200"/>
              <w:spacing w:after="0" w:line="196" w:lineRule="exact"/>
              <w:rPr>
                <w:sz w:val="20"/>
                <w:szCs w:val="20"/>
                <w:color w:val="auto"/>
              </w:rPr>
            </w:pPr>
            <w:r>
              <w:rPr>
                <w:rFonts w:ascii="Arial" w:cs="Arial" w:eastAsia="Arial" w:hAnsi="Arial"/>
                <w:sz w:val="18"/>
                <w:szCs w:val="18"/>
                <w:color w:val="auto"/>
              </w:rPr>
              <w:t>Telephone #:</w:t>
            </w:r>
          </w:p>
        </w:tc>
        <w:tc>
          <w:tcPr>
            <w:tcW w:w="1360" w:type="dxa"/>
            <w:vAlign w:val="bottom"/>
            <w:tcBorders>
              <w:bottom w:val="single" w:sz="8" w:color="auto"/>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ectPr>
          <w:pgSz w:w="11900" w:h="16838" w:orient="portrait"/>
          <w:cols w:equalWidth="0" w:num="1">
            <w:col w:w="11020"/>
          </w:cols>
          <w:pgMar w:left="440" w:top="270" w:right="439" w:bottom="1440" w:gutter="0" w:footer="0" w:header="0"/>
          <w:type w:val="continuous"/>
        </w:sectPr>
      </w:pPr>
    </w:p>
    <w:bookmarkStart w:id="319" w:name="page320"/>
    <w:bookmarkEnd w:id="31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DISBURSEMENT LETTER</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ind w:left="4"/>
        <w:spacing w:after="0"/>
        <w:tabs>
          <w:tab w:leader="none" w:pos="4644" w:val="left"/>
        </w:tabs>
        <w:rPr>
          <w:sz w:val="20"/>
          <w:szCs w:val="20"/>
          <w:color w:val="auto"/>
        </w:rPr>
      </w:pPr>
      <w:r>
        <w:rPr>
          <w:rFonts w:ascii="Arial" w:cs="Arial" w:eastAsia="Arial" w:hAnsi="Arial"/>
          <w:sz w:val="18"/>
          <w:szCs w:val="18"/>
          <w:color w:val="auto"/>
        </w:rPr>
        <w:t>The undersigned, being the duly elected and acting</w:t>
      </w:r>
      <w:r>
        <w:rPr>
          <w:sz w:val="20"/>
          <w:szCs w:val="20"/>
          <w:color w:val="auto"/>
        </w:rPr>
        <w:tab/>
      </w:r>
      <w:r>
        <w:rPr>
          <w:rFonts w:ascii="Arial" w:cs="Arial" w:eastAsia="Arial" w:hAnsi="Arial"/>
          <w:sz w:val="17"/>
          <w:szCs w:val="17"/>
          <w:color w:val="auto"/>
        </w:rPr>
        <w:t xml:space="preserve">of (i) </w:t>
      </w:r>
      <w:r>
        <w:rPr>
          <w:rFonts w:ascii="Arial" w:cs="Arial" w:eastAsia="Arial" w:hAnsi="Arial"/>
          <w:sz w:val="17"/>
          <w:szCs w:val="17"/>
          <w:b w:val="1"/>
          <w:bCs w:val="1"/>
          <w:color w:val="auto"/>
        </w:rPr>
        <w:t>ALEXO THERAPEUTICS INTERNATIONAL</w:t>
      </w:r>
      <w:r>
        <w:rPr>
          <w:rFonts w:ascii="Arial" w:cs="Arial" w:eastAsia="Arial" w:hAnsi="Arial"/>
          <w:sz w:val="17"/>
          <w:szCs w:val="17"/>
          <w:color w:val="auto"/>
        </w:rPr>
        <w:t>, an exempted company</w:t>
      </w:r>
    </w:p>
    <w:p>
      <w:pPr>
        <w:spacing w:after="0" w:line="27" w:lineRule="exact"/>
        <w:rPr>
          <w:sz w:val="20"/>
          <w:szCs w:val="20"/>
          <w:color w:val="auto"/>
        </w:rPr>
      </w:pPr>
    </w:p>
    <w:p>
      <w:pPr>
        <w:ind w:left="4" w:right="160"/>
        <w:spacing w:after="0" w:line="281" w:lineRule="auto"/>
        <w:rPr>
          <w:sz w:val="20"/>
          <w:szCs w:val="20"/>
          <w:color w:val="auto"/>
        </w:rPr>
      </w:pPr>
      <w:r>
        <w:rPr>
          <w:rFonts w:ascii="Arial" w:cs="Arial" w:eastAsia="Arial" w:hAnsi="Arial"/>
          <w:sz w:val="16"/>
          <w:szCs w:val="16"/>
          <w:color w:val="auto"/>
        </w:rPr>
        <w:t>incorporated under the laws of the Cayman Islands (“</w:t>
      </w:r>
      <w:r>
        <w:rPr>
          <w:rFonts w:ascii="Arial" w:cs="Arial" w:eastAsia="Arial" w:hAnsi="Arial"/>
          <w:sz w:val="16"/>
          <w:szCs w:val="16"/>
          <w:b w:val="1"/>
          <w:bCs w:val="1"/>
          <w:color w:val="auto"/>
        </w:rPr>
        <w:t>Alexo</w:t>
      </w:r>
      <w:r>
        <w:rPr>
          <w:rFonts w:ascii="Arial" w:cs="Arial" w:eastAsia="Arial" w:hAnsi="Arial"/>
          <w:sz w:val="16"/>
          <w:szCs w:val="16"/>
          <w:color w:val="auto"/>
        </w:rPr>
        <w:t xml:space="preserve">”), and (ii) </w:t>
      </w:r>
      <w:r>
        <w:rPr>
          <w:rFonts w:ascii="Arial" w:cs="Arial" w:eastAsia="Arial" w:hAnsi="Arial"/>
          <w:sz w:val="16"/>
          <w:szCs w:val="16"/>
          <w:b w:val="1"/>
          <w:bCs w:val="1"/>
          <w:color w:val="auto"/>
        </w:rPr>
        <w:t>SIRPANT THERAPEUTICS</w:t>
      </w:r>
      <w:r>
        <w:rPr>
          <w:rFonts w:ascii="Arial" w:cs="Arial" w:eastAsia="Arial" w:hAnsi="Arial"/>
          <w:sz w:val="16"/>
          <w:szCs w:val="16"/>
          <w:color w:val="auto"/>
        </w:rPr>
        <w:t>, an exempted company incorporated under the laws of the Cayman Islands (“</w:t>
      </w:r>
      <w:r>
        <w:rPr>
          <w:rFonts w:ascii="Arial" w:cs="Arial" w:eastAsia="Arial" w:hAnsi="Arial"/>
          <w:sz w:val="16"/>
          <w:szCs w:val="16"/>
          <w:b w:val="1"/>
          <w:bCs w:val="1"/>
          <w:color w:val="auto"/>
        </w:rPr>
        <w:t>Sirpant</w:t>
      </w:r>
      <w:r>
        <w:rPr>
          <w:rFonts w:ascii="Arial" w:cs="Arial" w:eastAsia="Arial" w:hAnsi="Arial"/>
          <w:sz w:val="16"/>
          <w:szCs w:val="16"/>
          <w:color w:val="auto"/>
        </w:rPr>
        <w:t>”; together with Alexo, individually and collectively, jointly and severally, the “</w:t>
      </w:r>
      <w:r>
        <w:rPr>
          <w:rFonts w:ascii="Arial" w:cs="Arial" w:eastAsia="Arial" w:hAnsi="Arial"/>
          <w:sz w:val="16"/>
          <w:szCs w:val="16"/>
          <w:b w:val="1"/>
          <w:bCs w:val="1"/>
          <w:color w:val="auto"/>
        </w:rPr>
        <w:t>Borrower</w:t>
      </w:r>
      <w:r>
        <w:rPr>
          <w:rFonts w:ascii="Arial" w:cs="Arial" w:eastAsia="Arial" w:hAnsi="Arial"/>
          <w:sz w:val="16"/>
          <w:szCs w:val="16"/>
          <w:color w:val="auto"/>
        </w:rPr>
        <w:t xml:space="preserve">”), does hereby certify to (a) </w:t>
      </w:r>
      <w:r>
        <w:rPr>
          <w:rFonts w:ascii="Arial" w:cs="Arial" w:eastAsia="Arial" w:hAnsi="Arial"/>
          <w:sz w:val="16"/>
          <w:szCs w:val="16"/>
          <w:b w:val="1"/>
          <w:bCs w:val="1"/>
          <w:color w:val="auto"/>
        </w:rPr>
        <w:t>SILICON VALLEY BANK</w:t>
      </w:r>
      <w:r>
        <w:rPr>
          <w:rFonts w:ascii="Arial" w:cs="Arial" w:eastAsia="Arial" w:hAnsi="Arial"/>
          <w:sz w:val="16"/>
          <w:szCs w:val="16"/>
          <w:color w:val="auto"/>
        </w:rPr>
        <w:t>, a California corporation (“</w:t>
      </w:r>
      <w:r>
        <w:rPr>
          <w:rFonts w:ascii="Arial" w:cs="Arial" w:eastAsia="Arial" w:hAnsi="Arial"/>
          <w:sz w:val="16"/>
          <w:szCs w:val="16"/>
          <w:b w:val="1"/>
          <w:bCs w:val="1"/>
          <w:color w:val="auto"/>
        </w:rPr>
        <w:t>SVB</w:t>
      </w:r>
      <w:r>
        <w:rPr>
          <w:rFonts w:ascii="Arial" w:cs="Arial" w:eastAsia="Arial" w:hAnsi="Arial"/>
          <w:sz w:val="16"/>
          <w:szCs w:val="16"/>
          <w:color w:val="auto"/>
        </w:rPr>
        <w:t>”), in its capacity as administrative agent and collateral agent (“</w:t>
      </w:r>
      <w:r>
        <w:rPr>
          <w:rFonts w:ascii="Arial" w:cs="Arial" w:eastAsia="Arial" w:hAnsi="Arial"/>
          <w:sz w:val="16"/>
          <w:szCs w:val="16"/>
          <w:b w:val="1"/>
          <w:bCs w:val="1"/>
          <w:color w:val="auto"/>
        </w:rPr>
        <w:t>Agent</w:t>
      </w:r>
      <w:r>
        <w:rPr>
          <w:rFonts w:ascii="Arial" w:cs="Arial" w:eastAsia="Arial" w:hAnsi="Arial"/>
          <w:sz w:val="16"/>
          <w:szCs w:val="16"/>
          <w:color w:val="auto"/>
        </w:rPr>
        <w:t xml:space="preserve">”), (b) </w:t>
      </w:r>
      <w:r>
        <w:rPr>
          <w:rFonts w:ascii="Arial" w:cs="Arial" w:eastAsia="Arial" w:hAnsi="Arial"/>
          <w:sz w:val="16"/>
          <w:szCs w:val="16"/>
          <w:b w:val="1"/>
          <w:bCs w:val="1"/>
          <w:color w:val="auto"/>
        </w:rPr>
        <w:t>SILICON VALLEY BANK</w:t>
      </w:r>
      <w:r>
        <w:rPr>
          <w:rFonts w:ascii="Arial" w:cs="Arial" w:eastAsia="Arial" w:hAnsi="Arial"/>
          <w:sz w:val="16"/>
          <w:szCs w:val="16"/>
          <w:color w:val="auto"/>
        </w:rPr>
        <w:t>, a California corporation, as a lender, (c)</w:t>
      </w:r>
      <w:r>
        <w:rPr>
          <w:rFonts w:ascii="Arial" w:cs="Arial" w:eastAsia="Arial" w:hAnsi="Arial"/>
          <w:sz w:val="16"/>
          <w:szCs w:val="16"/>
          <w:b w:val="1"/>
          <w:bCs w:val="1"/>
          <w:color w:val="auto"/>
        </w:rPr>
        <w:t xml:space="preserve"> WESTRIVER INNOVATION LENDING FUND VIII, L.P.</w:t>
      </w:r>
      <w:r>
        <w:rPr>
          <w:rFonts w:ascii="Arial" w:cs="Arial" w:eastAsia="Arial" w:hAnsi="Arial"/>
          <w:sz w:val="16"/>
          <w:szCs w:val="16"/>
          <w:color w:val="auto"/>
        </w:rPr>
        <w:t>,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partnership (“</w:t>
      </w:r>
      <w:r>
        <w:rPr>
          <w:rFonts w:ascii="Arial" w:cs="Arial" w:eastAsia="Arial" w:hAnsi="Arial"/>
          <w:sz w:val="16"/>
          <w:szCs w:val="16"/>
          <w:b w:val="1"/>
          <w:bCs w:val="1"/>
          <w:color w:val="auto"/>
        </w:rPr>
        <w:t>WestRiver</w:t>
      </w:r>
      <w:r>
        <w:rPr>
          <w:rFonts w:ascii="Arial" w:cs="Arial" w:eastAsia="Arial" w:hAnsi="Arial"/>
          <w:sz w:val="16"/>
          <w:szCs w:val="16"/>
          <w:color w:val="auto"/>
        </w:rPr>
        <w:t>”), as a lender (SVB and WestRiver and each of the other “Lenders” from time to time a party hereto are referred to herein collectively as the “</w:t>
      </w:r>
      <w:r>
        <w:rPr>
          <w:rFonts w:ascii="Arial" w:cs="Arial" w:eastAsia="Arial" w:hAnsi="Arial"/>
          <w:sz w:val="16"/>
          <w:szCs w:val="16"/>
          <w:b w:val="1"/>
          <w:bCs w:val="1"/>
          <w:color w:val="auto"/>
        </w:rPr>
        <w:t>Lenders</w:t>
      </w:r>
      <w:r>
        <w:rPr>
          <w:rFonts w:ascii="Arial" w:cs="Arial" w:eastAsia="Arial" w:hAnsi="Arial"/>
          <w:sz w:val="16"/>
          <w:szCs w:val="16"/>
          <w:color w:val="auto"/>
        </w:rPr>
        <w:t>” and each individually as a “</w:t>
      </w:r>
      <w:r>
        <w:rPr>
          <w:rFonts w:ascii="Arial" w:cs="Arial" w:eastAsia="Arial" w:hAnsi="Arial"/>
          <w:sz w:val="16"/>
          <w:szCs w:val="16"/>
          <w:b w:val="1"/>
          <w:bCs w:val="1"/>
          <w:color w:val="auto"/>
        </w:rPr>
        <w:t>Lender</w:t>
      </w:r>
      <w:r>
        <w:rPr>
          <w:rFonts w:ascii="Arial" w:cs="Arial" w:eastAsia="Arial" w:hAnsi="Arial"/>
          <w:sz w:val="16"/>
          <w:szCs w:val="16"/>
          <w:color w:val="auto"/>
        </w:rPr>
        <w:t>”) in connection with that certain Loan and Security Agreement dated as of</w:t>
      </w:r>
    </w:p>
    <w:p>
      <w:pPr>
        <w:spacing w:after="0" w:line="4" w:lineRule="exact"/>
        <w:rPr>
          <w:sz w:val="20"/>
          <w:szCs w:val="20"/>
          <w:color w:val="auto"/>
        </w:rPr>
      </w:pPr>
    </w:p>
    <w:p>
      <w:pPr>
        <w:ind w:left="4" w:right="40" w:hanging="4"/>
        <w:spacing w:after="0" w:line="260" w:lineRule="auto"/>
        <w:tabs>
          <w:tab w:leader="none" w:pos="78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by and among Borrower,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77" w:lineRule="exact"/>
        <w:rPr>
          <w:rFonts w:ascii="Arial" w:cs="Arial" w:eastAsia="Arial" w:hAnsi="Arial"/>
          <w:sz w:val="18"/>
          <w:szCs w:val="18"/>
          <w:color w:val="auto"/>
        </w:rPr>
      </w:pPr>
    </w:p>
    <w:p>
      <w:pPr>
        <w:ind w:left="4" w:right="380" w:firstLine="436"/>
        <w:spacing w:after="0" w:line="277" w:lineRule="auto"/>
        <w:tabs>
          <w:tab w:leader="none" w:pos="75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764" w:hanging="324"/>
        <w:spacing w:after="0"/>
        <w:tabs>
          <w:tab w:leader="none" w:pos="764" w:val="left"/>
        </w:tabs>
        <w:numPr>
          <w:ilvl w:val="1"/>
          <w:numId w:val="281"/>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764" w:hanging="324"/>
        <w:spacing w:after="0"/>
        <w:tabs>
          <w:tab w:leader="none" w:pos="7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left="4" w:firstLine="436"/>
        <w:spacing w:after="0" w:line="277" w:lineRule="auto"/>
        <w:tabs>
          <w:tab w:leader="none" w:pos="749"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a Credit Extension to be made on or about the date hereof have been satisfied or waived by Agent.</w:t>
      </w:r>
    </w:p>
    <w:p>
      <w:pPr>
        <w:spacing w:after="0" w:line="170" w:lineRule="exact"/>
        <w:rPr>
          <w:rFonts w:ascii="Arial" w:cs="Arial" w:eastAsia="Arial" w:hAnsi="Arial"/>
          <w:sz w:val="18"/>
          <w:szCs w:val="18"/>
          <w:color w:val="auto"/>
        </w:rPr>
      </w:pPr>
    </w:p>
    <w:p>
      <w:pPr>
        <w:ind w:left="764" w:hanging="324"/>
        <w:spacing w:after="0"/>
        <w:tabs>
          <w:tab w:leader="none" w:pos="7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744" w:hanging="304"/>
        <w:spacing w:after="0"/>
        <w:tabs>
          <w:tab w:leader="none" w:pos="74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undersigned is an Authorized Signer.</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11004"/>
          </w:cols>
          <w:pgMar w:left="436" w:top="270" w:right="459" w:bottom="1440" w:gutter="0" w:footer="0" w:header="0"/>
        </w:sectPr>
      </w:pPr>
    </w:p>
    <w:bookmarkStart w:id="320" w:name="page321"/>
    <w:bookmarkEnd w:id="320"/>
    <w:tbl>
      <w:tblPr>
        <w:tblLayout w:type="fixed"/>
        <w:tblInd w:w="444" w:type="dxa"/>
        <w:tblCellMar>
          <w:top w:w="0" w:type="dxa"/>
          <w:left w:w="0" w:type="dxa"/>
          <w:bottom w:w="0" w:type="dxa"/>
          <w:right w:w="0" w:type="dxa"/>
        </w:tblCellMar>
      </w:tblPr>
      <w:tr>
        <w:trPr>
          <w:trHeight w:val="230"/>
        </w:trPr>
        <w:tc>
          <w:tcPr>
            <w:tcW w:w="7900" w:type="dxa"/>
            <w:vAlign w:val="bottom"/>
            <w:gridSpan w:val="3"/>
          </w:tcPr>
          <w:p>
            <w:pPr>
              <w:spacing w:after="0"/>
              <w:rPr>
                <w:sz w:val="20"/>
                <w:szCs w:val="20"/>
                <w:color w:val="auto"/>
              </w:rPr>
            </w:pPr>
            <w:r>
              <w:rPr>
                <w:rFonts w:ascii="Arial" w:cs="Arial" w:eastAsia="Arial" w:hAnsi="Arial"/>
                <w:sz w:val="18"/>
                <w:szCs w:val="18"/>
                <w:color w:val="auto"/>
              </w:rPr>
              <w:t>7A. The proceeds of the Term Loan Advance shall be disbursed as follows: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702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Disbursement from SVB:</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tcPr>
          <w:p>
            <w:pPr>
              <w:ind w:left="360"/>
              <w:spacing w:after="0"/>
              <w:rPr>
                <w:sz w:val="20"/>
                <w:szCs w:val="20"/>
                <w:color w:val="auto"/>
              </w:rPr>
            </w:pPr>
            <w:r>
              <w:rPr>
                <w:rFonts w:ascii="Arial" w:cs="Arial" w:eastAsia="Arial" w:hAnsi="Arial"/>
                <w:sz w:val="18"/>
                <w:szCs w:val="18"/>
                <w:color w:val="auto"/>
              </w:rPr>
              <w:t>Loan Amount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—Deposit Received</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r>
      <w:tr>
        <w:trPr>
          <w:trHeight w:val="94"/>
        </w:trPr>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—[Interim Interest]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—Lender’s Legal Fees</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t>
            </w:r>
          </w:p>
        </w:tc>
      </w:tr>
      <w:tr>
        <w:trPr>
          <w:trHeight w:val="324"/>
        </w:trPr>
        <w:tc>
          <w:tcPr>
            <w:tcW w:w="8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Net Proceeds due from SVB:</w:t>
            </w:r>
          </w:p>
        </w:tc>
        <w:tc>
          <w:tcPr>
            <w:tcW w:w="8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r>
      <w:tr>
        <w:trPr>
          <w:trHeight w:val="108"/>
        </w:trPr>
        <w:tc>
          <w:tcPr>
            <w:tcW w:w="880" w:type="dxa"/>
            <w:vAlign w:val="bottom"/>
          </w:tcPr>
          <w:p>
            <w:pPr>
              <w:spacing w:after="0"/>
              <w:rPr>
                <w:sz w:val="9"/>
                <w:szCs w:val="9"/>
                <w:color w:val="auto"/>
              </w:rPr>
            </w:pPr>
          </w:p>
        </w:tc>
        <w:tc>
          <w:tcPr>
            <w:tcW w:w="702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480" w:type="dxa"/>
            <w:vAlign w:val="bottom"/>
          </w:tcPr>
          <w:p>
            <w:pPr>
              <w:spacing w:after="0"/>
              <w:rPr>
                <w:sz w:val="9"/>
                <w:szCs w:val="9"/>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Disbursement from WestRiver:</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tcPr>
          <w:p>
            <w:pPr>
              <w:ind w:left="360"/>
              <w:spacing w:after="0"/>
              <w:rPr>
                <w:sz w:val="20"/>
                <w:szCs w:val="20"/>
                <w:color w:val="auto"/>
              </w:rPr>
            </w:pPr>
            <w:r>
              <w:rPr>
                <w:rFonts w:ascii="Arial" w:cs="Arial" w:eastAsia="Arial" w:hAnsi="Arial"/>
                <w:sz w:val="18"/>
                <w:szCs w:val="18"/>
                <w:color w:val="auto"/>
              </w:rPr>
              <w:t>Loan Amount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—Deposit Received</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r>
      <w:tr>
        <w:trPr>
          <w:trHeight w:val="94"/>
        </w:trPr>
        <w:tc>
          <w:tcPr>
            <w:tcW w:w="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—[Interim Interest]</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94"/>
        </w:trPr>
        <w:tc>
          <w:tcPr>
            <w:tcW w:w="880" w:type="dxa"/>
            <w:vAlign w:val="bottom"/>
          </w:tcPr>
          <w:p>
            <w:pPr>
              <w:spacing w:after="0"/>
              <w:rPr>
                <w:sz w:val="8"/>
                <w:szCs w:val="8"/>
                <w:color w:val="auto"/>
              </w:rPr>
            </w:pPr>
          </w:p>
        </w:tc>
        <w:tc>
          <w:tcPr>
            <w:tcW w:w="702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Proceeds due from WestRiver:</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r>
      <w:tr>
        <w:trPr>
          <w:trHeight w:val="306"/>
        </w:trPr>
        <w:tc>
          <w:tcPr>
            <w:tcW w:w="8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w w:val="99"/>
              </w:rPr>
              <w:t>Disbursement from Agent (cumulative and not duplicative of the amounts set forth</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7020" w:type="dxa"/>
            <w:vAlign w:val="bottom"/>
            <w:gridSpan w:val="2"/>
          </w:tcPr>
          <w:p>
            <w:pPr>
              <w:ind w:left="180"/>
              <w:spacing w:after="0"/>
              <w:rPr>
                <w:sz w:val="20"/>
                <w:szCs w:val="20"/>
                <w:color w:val="auto"/>
              </w:rPr>
            </w:pPr>
            <w:r>
              <w:rPr>
                <w:rFonts w:ascii="Arial" w:cs="Arial" w:eastAsia="Arial" w:hAnsi="Arial"/>
                <w:sz w:val="18"/>
                <w:szCs w:val="18"/>
                <w:b w:val="1"/>
                <w:bCs w:val="1"/>
                <w:color w:val="auto"/>
              </w:rPr>
              <w:t>above):</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Loan Amount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Plus:</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—Deposit Received</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r>
      <w:tr>
        <w:trPr>
          <w:trHeight w:val="324"/>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—[Interim Interest]</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30"/>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20" w:type="dxa"/>
            <w:vAlign w:val="bottom"/>
          </w:tcPr>
          <w:p>
            <w:pPr>
              <w:ind w:left="120"/>
              <w:spacing w:after="0"/>
              <w:rPr>
                <w:sz w:val="20"/>
                <w:szCs w:val="20"/>
                <w:color w:val="auto"/>
              </w:rPr>
            </w:pPr>
            <w:r>
              <w:rPr>
                <w:rFonts w:ascii="Arial" w:cs="Arial" w:eastAsia="Arial" w:hAnsi="Arial"/>
                <w:sz w:val="18"/>
                <w:szCs w:val="18"/>
                <w:color w:val="auto"/>
              </w:rPr>
              <w:t>—Lender’s Legal Fees</w:t>
            </w:r>
          </w:p>
        </w:tc>
        <w:tc>
          <w:tcPr>
            <w:tcW w:w="860" w:type="dxa"/>
            <w:vAlign w:val="bottom"/>
          </w:tcPr>
          <w:p>
            <w:pPr>
              <w:ind w:left="40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t>
            </w:r>
          </w:p>
        </w:tc>
      </w:tr>
      <w:tr>
        <w:trPr>
          <w:trHeight w:val="94"/>
        </w:trPr>
        <w:tc>
          <w:tcPr>
            <w:tcW w:w="880" w:type="dxa"/>
            <w:vAlign w:val="bottom"/>
          </w:tcPr>
          <w:p>
            <w:pPr>
              <w:spacing w:after="0"/>
              <w:rPr>
                <w:sz w:val="8"/>
                <w:szCs w:val="8"/>
                <w:color w:val="auto"/>
              </w:rPr>
            </w:pPr>
          </w:p>
        </w:tc>
        <w:tc>
          <w:tcPr>
            <w:tcW w:w="7020" w:type="dxa"/>
            <w:vAlign w:val="bottom"/>
            <w:gridSpan w:val="2"/>
          </w:tcPr>
          <w:p>
            <w:pPr>
              <w:spacing w:after="0"/>
              <w:rPr>
                <w:sz w:val="8"/>
                <w:szCs w:val="8"/>
                <w:color w:val="auto"/>
              </w:rPr>
            </w:pPr>
          </w:p>
        </w:tc>
        <w:tc>
          <w:tcPr>
            <w:tcW w:w="86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216"/>
        </w:trPr>
        <w:tc>
          <w:tcPr>
            <w:tcW w:w="88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Proceeds due from Agent:</w:t>
            </w:r>
          </w:p>
        </w:tc>
        <w:tc>
          <w:tcPr>
            <w:tcW w:w="8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r>
      <w:tr>
        <w:trPr>
          <w:trHeight w:val="324"/>
        </w:trPr>
        <w:tc>
          <w:tcPr>
            <w:tcW w:w="880" w:type="dxa"/>
            <w:vAlign w:val="bottom"/>
          </w:tcPr>
          <w:p>
            <w:pPr>
              <w:spacing w:after="0"/>
              <w:rPr>
                <w:sz w:val="24"/>
                <w:szCs w:val="24"/>
                <w:color w:val="auto"/>
              </w:rPr>
            </w:pPr>
          </w:p>
        </w:tc>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 TERM LOAN ADVANCE NET PROCEEDS FROM LENDERS</w:t>
            </w:r>
          </w:p>
        </w:tc>
        <w:tc>
          <w:tcPr>
            <w:tcW w:w="860" w:type="dxa"/>
            <w:vAlign w:val="bottom"/>
          </w:tcPr>
          <w:p>
            <w:pPr>
              <w:ind w:left="4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r>
      <w:tr>
        <w:trPr>
          <w:trHeight w:val="432"/>
        </w:trPr>
        <w:tc>
          <w:tcPr>
            <w:tcW w:w="1480" w:type="dxa"/>
            <w:vAlign w:val="bottom"/>
            <w:gridSpan w:val="2"/>
          </w:tcPr>
          <w:p>
            <w:pPr>
              <w:spacing w:after="0"/>
              <w:rPr>
                <w:sz w:val="20"/>
                <w:szCs w:val="20"/>
                <w:color w:val="auto"/>
              </w:rPr>
            </w:pPr>
            <w:r>
              <w:rPr>
                <w:rFonts w:ascii="Arial" w:cs="Arial" w:eastAsia="Arial" w:hAnsi="Arial"/>
                <w:sz w:val="18"/>
                <w:szCs w:val="18"/>
                <w:color w:val="auto"/>
              </w:rPr>
              <w:t>7B.  Funds from [</w:t>
            </w:r>
          </w:p>
        </w:tc>
        <w:tc>
          <w:tcPr>
            <w:tcW w:w="6420" w:type="dxa"/>
            <w:vAlign w:val="bottom"/>
          </w:tcPr>
          <w:p>
            <w:pPr>
              <w:ind w:left="620"/>
              <w:spacing w:after="0"/>
              <w:rPr>
                <w:sz w:val="20"/>
                <w:szCs w:val="20"/>
                <w:color w:val="auto"/>
              </w:rPr>
            </w:pPr>
            <w:r>
              <w:rPr>
                <w:rFonts w:ascii="Arial" w:cs="Arial" w:eastAsia="Arial" w:hAnsi="Arial"/>
                <w:sz w:val="18"/>
                <w:szCs w:val="18"/>
                <w:color w:val="auto"/>
                <w:w w:val="98"/>
              </w:rPr>
              <w:t>] (“</w:t>
            </w:r>
            <w:r>
              <w:rPr>
                <w:rFonts w:ascii="Arial" w:cs="Arial" w:eastAsia="Arial" w:hAnsi="Arial"/>
                <w:sz w:val="18"/>
                <w:szCs w:val="18"/>
                <w:b w:val="1"/>
                <w:bCs w:val="1"/>
                <w:color w:val="auto"/>
                <w:w w:val="98"/>
              </w:rPr>
              <w:t>Borrower</w:t>
            </w:r>
            <w:r>
              <w:rPr>
                <w:rFonts w:ascii="Arial" w:cs="Arial" w:eastAsia="Arial" w:hAnsi="Arial"/>
                <w:sz w:val="18"/>
                <w:szCs w:val="18"/>
                <w:color w:val="auto"/>
                <w:w w:val="98"/>
              </w:rPr>
              <w:t>”) Designated Deposit Account shall be disbursed as follows: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984"/>
        <w:spacing w:after="0"/>
        <w:rPr>
          <w:sz w:val="20"/>
          <w:szCs w:val="20"/>
          <w:color w:val="auto"/>
        </w:rPr>
      </w:pPr>
      <w:r>
        <w:rPr>
          <w:rFonts w:ascii="Arial" w:cs="Arial" w:eastAsia="Arial" w:hAnsi="Arial"/>
          <w:sz w:val="18"/>
          <w:szCs w:val="18"/>
          <w:b w:val="1"/>
          <w:bCs w:val="1"/>
          <w:i w:val="1"/>
          <w:iCs w:val="1"/>
          <w:color w:val="auto"/>
        </w:rPr>
        <w:t>SVB: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224" w:hanging="224"/>
        <w:spacing w:after="0" w:line="277" w:lineRule="auto"/>
        <w:tabs>
          <w:tab w:leader="none" w:pos="224" w:val="left"/>
        </w:tabs>
        <w:numPr>
          <w:ilvl w:val="0"/>
          <w:numId w:val="282"/>
        </w:numPr>
        <w:rPr>
          <w:rFonts w:ascii="Arial" w:cs="Arial" w:eastAsia="Arial" w:hAnsi="Arial"/>
          <w:sz w:val="15"/>
          <w:szCs w:val="15"/>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0444"/>
          </w:cols>
          <w:pgMar w:left="436" w:top="274" w:right="1019" w:bottom="1440" w:gutter="0" w:footer="0" w:header="0"/>
        </w:sectPr>
      </w:pPr>
    </w:p>
    <w:bookmarkStart w:id="321" w:name="page322"/>
    <w:bookmarkEnd w:id="321"/>
    <w:tbl>
      <w:tblPr>
        <w:tblLayout w:type="fixed"/>
        <w:tblInd w:w="13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Term Loan Fees</w:t>
            </w:r>
          </w:p>
        </w:tc>
        <w:tc>
          <w:tcPr>
            <w:tcW w:w="288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Lender’s Legal Fees</w:t>
            </w:r>
          </w:p>
        </w:tc>
        <w:tc>
          <w:tcPr>
            <w:tcW w:w="2880" w:type="dxa"/>
            <w:vAlign w:val="bottom"/>
          </w:tcPr>
          <w:p>
            <w:pPr>
              <w:spacing w:after="0"/>
              <w:rPr>
                <w:sz w:val="20"/>
                <w:szCs w:val="20"/>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40" w:type="dxa"/>
            <w:vAlign w:val="bottom"/>
            <w:gridSpan w:val="2"/>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WestRiver: </w:t>
            </w:r>
            <w:r>
              <w:rPr>
                <w:rFonts w:ascii="Arial" w:cs="Arial" w:eastAsia="Arial" w:hAnsi="Arial"/>
                <w:sz w:val="18"/>
                <w:szCs w:val="18"/>
                <w:i w:val="1"/>
                <w:iCs w:val="1"/>
                <w:color w:val="auto"/>
              </w:rPr>
              <w:t>Designated Deposit Account:</w:t>
            </w:r>
          </w:p>
        </w:tc>
        <w:tc>
          <w:tcPr>
            <w:tcW w:w="2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460" w:type="dxa"/>
            <w:vAlign w:val="bottom"/>
          </w:tcPr>
          <w:p>
            <w:pPr>
              <w:ind w:left="340"/>
              <w:spacing w:after="0"/>
              <w:rPr>
                <w:sz w:val="20"/>
                <w:szCs w:val="20"/>
                <w:color w:val="auto"/>
              </w:rPr>
            </w:pPr>
            <w:r>
              <w:rPr>
                <w:rFonts w:ascii="Arial" w:cs="Arial" w:eastAsia="Arial" w:hAnsi="Arial"/>
                <w:sz w:val="18"/>
                <w:szCs w:val="18"/>
                <w:color w:val="auto"/>
              </w:rPr>
              <w:t>Term Loan Fees</w:t>
            </w:r>
          </w:p>
        </w:tc>
        <w:tc>
          <w:tcPr>
            <w:tcW w:w="2880" w:type="dxa"/>
            <w:vAlign w:val="bottom"/>
          </w:tcPr>
          <w:p>
            <w:pPr>
              <w:spacing w:after="0"/>
              <w:rPr>
                <w:sz w:val="24"/>
                <w:szCs w:val="24"/>
                <w:color w:val="auto"/>
              </w:rPr>
            </w:pPr>
          </w:p>
        </w:tc>
        <w:tc>
          <w:tcPr>
            <w:tcW w:w="21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Funds due from [</w:t>
            </w:r>
          </w:p>
        </w:tc>
        <w:tc>
          <w:tcPr>
            <w:tcW w:w="2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(“Borrower”)</w:t>
            </w:r>
          </w:p>
        </w:tc>
        <w:tc>
          <w:tcPr>
            <w:tcW w:w="21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8A.The aggregate net proceeds of the Term Loan Advance shall be transferred to the Designated Deposit Account as follows:</w:t>
      </w:r>
    </w:p>
    <w:p>
      <w:pPr>
        <w:spacing w:after="0" w:line="275"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Account Name:</w:t>
            </w:r>
          </w:p>
        </w:tc>
        <w:tc>
          <w:tcPr>
            <w:tcW w:w="18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Bank Name:</w:t>
            </w:r>
          </w:p>
        </w:tc>
        <w:tc>
          <w:tcPr>
            <w:tcW w:w="1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Silicon Valley Bank</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Bank Address:</w:t>
            </w: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3003 Tasman Drive</w:t>
            </w:r>
          </w:p>
        </w:tc>
        <w:tc>
          <w:tcPr>
            <w:tcW w:w="0" w:type="dxa"/>
            <w:vAlign w:val="bottom"/>
          </w:tcPr>
          <w:p>
            <w:pPr>
              <w:spacing w:after="0"/>
              <w:rPr>
                <w:sz w:val="1"/>
                <w:szCs w:val="1"/>
                <w:color w:val="auto"/>
              </w:rPr>
            </w:pPr>
          </w:p>
        </w:tc>
      </w:tr>
      <w:tr>
        <w:trPr>
          <w:trHeight w:val="230"/>
        </w:trPr>
        <w:tc>
          <w:tcPr>
            <w:tcW w:w="1480" w:type="dxa"/>
            <w:vAlign w:val="bottom"/>
            <w:vMerge w:val="restart"/>
          </w:tcPr>
          <w:p>
            <w:pPr>
              <w:spacing w:after="0"/>
              <w:rPr>
                <w:sz w:val="20"/>
                <w:szCs w:val="20"/>
                <w:color w:val="auto"/>
              </w:rPr>
            </w:pPr>
            <w:r>
              <w:rPr>
                <w:rFonts w:ascii="Arial" w:cs="Arial" w:eastAsia="Arial" w:hAnsi="Arial"/>
                <w:sz w:val="18"/>
                <w:szCs w:val="18"/>
                <w:color w:val="auto"/>
              </w:rPr>
              <w:t>Account Number:</w:t>
            </w: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Santa Clara, California 95054</w:t>
            </w:r>
          </w:p>
        </w:tc>
        <w:tc>
          <w:tcPr>
            <w:tcW w:w="0" w:type="dxa"/>
            <w:vAlign w:val="bottom"/>
          </w:tcPr>
          <w:p>
            <w:pPr>
              <w:spacing w:after="0"/>
              <w:rPr>
                <w:sz w:val="1"/>
                <w:szCs w:val="1"/>
                <w:color w:val="auto"/>
              </w:rPr>
            </w:pPr>
          </w:p>
        </w:tc>
      </w:tr>
      <w:tr>
        <w:trPr>
          <w:trHeight w:val="229"/>
        </w:trPr>
        <w:tc>
          <w:tcPr>
            <w:tcW w:w="1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Arial" w:cs="Arial" w:eastAsia="Arial" w:hAnsi="Arial"/>
                <w:sz w:val="18"/>
                <w:szCs w:val="18"/>
                <w:color w:val="auto"/>
              </w:rPr>
              <w:t>ABA Number:</w:t>
            </w:r>
          </w:p>
        </w:tc>
        <w:tc>
          <w:tcPr>
            <w:tcW w:w="18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8B. Borrower authorized SVB to debit the Total Funds from the Designated Deposit Account set forth below:</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Account Name:</w:t>
            </w:r>
          </w:p>
        </w:tc>
        <w:tc>
          <w:tcPr>
            <w:tcW w:w="26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Bank Name:</w:t>
            </w:r>
          </w:p>
        </w:tc>
        <w:tc>
          <w:tcPr>
            <w:tcW w:w="2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Silicon Valley Bank</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Bank Address:</w:t>
            </w:r>
          </w:p>
        </w:tc>
        <w:tc>
          <w:tcPr>
            <w:tcW w:w="6080" w:type="dxa"/>
            <w:vAlign w:val="bottom"/>
            <w:gridSpan w:val="2"/>
          </w:tcPr>
          <w:p>
            <w:pPr>
              <w:ind w:left="260"/>
              <w:spacing w:after="0"/>
              <w:rPr>
                <w:sz w:val="20"/>
                <w:szCs w:val="20"/>
                <w:color w:val="auto"/>
              </w:rPr>
            </w:pPr>
            <w:r>
              <w:rPr>
                <w:rFonts w:ascii="Arial" w:cs="Arial" w:eastAsia="Arial" w:hAnsi="Arial"/>
                <w:sz w:val="18"/>
                <w:szCs w:val="18"/>
                <w:color w:val="auto"/>
              </w:rPr>
              <w:t>3003 Tasman Drive</w:t>
            </w:r>
          </w:p>
        </w:tc>
      </w:tr>
      <w:tr>
        <w:trPr>
          <w:trHeight w:val="230"/>
        </w:trPr>
        <w:tc>
          <w:tcPr>
            <w:tcW w:w="1400" w:type="dxa"/>
            <w:vAlign w:val="bottom"/>
          </w:tcPr>
          <w:p>
            <w:pPr>
              <w:spacing w:after="0"/>
              <w:rPr>
                <w:sz w:val="20"/>
                <w:szCs w:val="20"/>
                <w:color w:val="auto"/>
              </w:rPr>
            </w:pPr>
          </w:p>
        </w:tc>
        <w:tc>
          <w:tcPr>
            <w:tcW w:w="6080" w:type="dxa"/>
            <w:vAlign w:val="bottom"/>
            <w:gridSpan w:val="2"/>
          </w:tcPr>
          <w:p>
            <w:pPr>
              <w:ind w:left="260"/>
              <w:spacing w:after="0"/>
              <w:rPr>
                <w:sz w:val="20"/>
                <w:szCs w:val="20"/>
                <w:color w:val="auto"/>
              </w:rPr>
            </w:pPr>
            <w:r>
              <w:rPr>
                <w:rFonts w:ascii="Arial" w:cs="Arial" w:eastAsia="Arial" w:hAnsi="Arial"/>
                <w:sz w:val="18"/>
                <w:szCs w:val="18"/>
                <w:color w:val="auto"/>
              </w:rPr>
              <w:t>Santa Clara, California 95054</w:t>
            </w:r>
          </w:p>
        </w:tc>
      </w:tr>
    </w:tbl>
    <w:p>
      <w:pPr>
        <w:ind w:left="132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14605</wp:posOffset>
            </wp:positionV>
            <wp:extent cx="37033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14605</wp:posOffset>
            </wp:positionV>
            <wp:extent cx="37033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32" w:lineRule="exact"/>
        <w:rPr>
          <w:sz w:val="20"/>
          <w:szCs w:val="20"/>
          <w:color w:val="auto"/>
        </w:rPr>
      </w:pPr>
    </w:p>
    <w:p>
      <w:pPr>
        <w:ind w:left="3480"/>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9579"/>
          </w:cols>
          <w:pgMar w:left="880" w:top="288" w:right="1440"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Dated as of the date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ALEXO THERAPEUTICS INTERNATIONAL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SIRPANT THERAPEUTICS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WESTRIVER INNOVATION LENDING FUND VIII, L.P.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14605</wp:posOffset>
            </wp:positionV>
            <wp:extent cx="245173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323" w:name="page324"/>
    <w:bookmarkEnd w:id="3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JOINDER AND FIRST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right="180" w:firstLine="440"/>
        <w:spacing w:after="0" w:line="289" w:lineRule="auto"/>
        <w:rPr>
          <w:sz w:val="20"/>
          <w:szCs w:val="20"/>
          <w:color w:val="auto"/>
        </w:rPr>
      </w:pPr>
      <w:r>
        <w:rPr>
          <w:rFonts w:ascii="Arial" w:cs="Arial" w:eastAsia="Arial" w:hAnsi="Arial"/>
          <w:sz w:val="16"/>
          <w:szCs w:val="16"/>
          <w:color w:val="auto"/>
        </w:rPr>
        <w:t>This Joinder and First Amendment to Loan and Security Agreement (this “</w:t>
      </w:r>
      <w:r>
        <w:rPr>
          <w:rFonts w:ascii="Arial" w:cs="Arial" w:eastAsia="Arial" w:hAnsi="Arial"/>
          <w:sz w:val="16"/>
          <w:szCs w:val="16"/>
          <w:b w:val="1"/>
          <w:bCs w:val="1"/>
          <w:color w:val="auto"/>
        </w:rPr>
        <w:t>Amendment</w:t>
      </w:r>
      <w:r>
        <w:rPr>
          <w:rFonts w:ascii="Arial" w:cs="Arial" w:eastAsia="Arial" w:hAnsi="Arial"/>
          <w:sz w:val="16"/>
          <w:szCs w:val="16"/>
          <w:color w:val="auto"/>
        </w:rPr>
        <w:t>”) is entered into this 21</w:t>
      </w:r>
      <w:r>
        <w:rPr>
          <w:rFonts w:ascii="Arial" w:cs="Arial" w:eastAsia="Arial" w:hAnsi="Arial"/>
          <w:sz w:val="13"/>
          <w:szCs w:val="13"/>
          <w:color w:val="auto"/>
        </w:rPr>
        <w:t>st</w:t>
      </w:r>
      <w:r>
        <w:rPr>
          <w:rFonts w:ascii="Arial" w:cs="Arial" w:eastAsia="Arial" w:hAnsi="Arial"/>
          <w:sz w:val="16"/>
          <w:szCs w:val="16"/>
          <w:color w:val="auto"/>
        </w:rPr>
        <w:t xml:space="preserve"> day of May, 2020, by and among (a) </w:t>
      </w:r>
      <w:r>
        <w:rPr>
          <w:rFonts w:ascii="Arial" w:cs="Arial" w:eastAsia="Arial" w:hAnsi="Arial"/>
          <w:sz w:val="16"/>
          <w:szCs w:val="16"/>
          <w:b w:val="1"/>
          <w:bCs w:val="1"/>
          <w:color w:val="auto"/>
        </w:rPr>
        <w:t>SILICON VALLEY BANK</w:t>
      </w:r>
      <w:r>
        <w:rPr>
          <w:rFonts w:ascii="Arial" w:cs="Arial" w:eastAsia="Arial" w:hAnsi="Arial"/>
          <w:sz w:val="16"/>
          <w:szCs w:val="16"/>
          <w:color w:val="auto"/>
        </w:rPr>
        <w:t>, a California corporation (“</w:t>
      </w:r>
      <w:r>
        <w:rPr>
          <w:rFonts w:ascii="Arial" w:cs="Arial" w:eastAsia="Arial" w:hAnsi="Arial"/>
          <w:sz w:val="16"/>
          <w:szCs w:val="16"/>
          <w:b w:val="1"/>
          <w:bCs w:val="1"/>
          <w:color w:val="auto"/>
        </w:rPr>
        <w:t>SVB</w:t>
      </w:r>
      <w:r>
        <w:rPr>
          <w:rFonts w:ascii="Arial" w:cs="Arial" w:eastAsia="Arial" w:hAnsi="Arial"/>
          <w:sz w:val="16"/>
          <w:szCs w:val="16"/>
          <w:color w:val="auto"/>
        </w:rPr>
        <w:t>”), in its capacity as administrative agent and collateral agent (“</w:t>
      </w:r>
      <w:r>
        <w:rPr>
          <w:rFonts w:ascii="Arial" w:cs="Arial" w:eastAsia="Arial" w:hAnsi="Arial"/>
          <w:sz w:val="16"/>
          <w:szCs w:val="16"/>
          <w:b w:val="1"/>
          <w:bCs w:val="1"/>
          <w:color w:val="auto"/>
        </w:rPr>
        <w:t>Agent</w:t>
      </w:r>
      <w:r>
        <w:rPr>
          <w:rFonts w:ascii="Arial" w:cs="Arial" w:eastAsia="Arial" w:hAnsi="Arial"/>
          <w:sz w:val="16"/>
          <w:szCs w:val="16"/>
          <w:color w:val="auto"/>
        </w:rPr>
        <w:t xml:space="preserve">”), (b) </w:t>
      </w:r>
      <w:r>
        <w:rPr>
          <w:rFonts w:ascii="Arial" w:cs="Arial" w:eastAsia="Arial" w:hAnsi="Arial"/>
          <w:sz w:val="16"/>
          <w:szCs w:val="16"/>
          <w:b w:val="1"/>
          <w:bCs w:val="1"/>
          <w:color w:val="auto"/>
        </w:rPr>
        <w:t>SILICON VALLEY BANK</w:t>
      </w:r>
      <w:r>
        <w:rPr>
          <w:rFonts w:ascii="Arial" w:cs="Arial" w:eastAsia="Arial" w:hAnsi="Arial"/>
          <w:sz w:val="16"/>
          <w:szCs w:val="16"/>
          <w:color w:val="auto"/>
        </w:rPr>
        <w:t>, a California corporation, as a lender, (c)</w:t>
      </w:r>
      <w:r>
        <w:rPr>
          <w:rFonts w:ascii="Arial" w:cs="Arial" w:eastAsia="Arial" w:hAnsi="Arial"/>
          <w:sz w:val="16"/>
          <w:szCs w:val="16"/>
          <w:b w:val="1"/>
          <w:bCs w:val="1"/>
          <w:color w:val="auto"/>
        </w:rPr>
        <w:t xml:space="preserve"> WESTRIVER INNOVATION LENDING FUND VIII, L.P.</w:t>
      </w:r>
      <w:r>
        <w:rPr>
          <w:rFonts w:ascii="Arial" w:cs="Arial" w:eastAsia="Arial" w:hAnsi="Arial"/>
          <w:sz w:val="16"/>
          <w:szCs w:val="16"/>
          <w:color w:val="auto"/>
        </w:rPr>
        <w:t>, a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partnership (“</w:t>
      </w:r>
      <w:r>
        <w:rPr>
          <w:rFonts w:ascii="Arial" w:cs="Arial" w:eastAsia="Arial" w:hAnsi="Arial"/>
          <w:sz w:val="16"/>
          <w:szCs w:val="16"/>
          <w:b w:val="1"/>
          <w:bCs w:val="1"/>
          <w:color w:val="auto"/>
        </w:rPr>
        <w:t>WestRiver</w:t>
      </w:r>
      <w:r>
        <w:rPr>
          <w:rFonts w:ascii="Arial" w:cs="Arial" w:eastAsia="Arial" w:hAnsi="Arial"/>
          <w:sz w:val="16"/>
          <w:szCs w:val="16"/>
          <w:color w:val="auto"/>
        </w:rPr>
        <w:t>”), as a lender (SVB and WestRiver and each of the other “Lenders” from time to time a party hereto are referred to herein collectively as the “</w:t>
      </w:r>
      <w:r>
        <w:rPr>
          <w:rFonts w:ascii="Arial" w:cs="Arial" w:eastAsia="Arial" w:hAnsi="Arial"/>
          <w:sz w:val="16"/>
          <w:szCs w:val="16"/>
          <w:b w:val="1"/>
          <w:bCs w:val="1"/>
          <w:color w:val="auto"/>
        </w:rPr>
        <w:t>Lenders</w:t>
      </w:r>
      <w:r>
        <w:rPr>
          <w:rFonts w:ascii="Arial" w:cs="Arial" w:eastAsia="Arial" w:hAnsi="Arial"/>
          <w:sz w:val="16"/>
          <w:szCs w:val="16"/>
          <w:color w:val="auto"/>
        </w:rPr>
        <w:t>” and each individually as a “</w:t>
      </w:r>
      <w:r>
        <w:rPr>
          <w:rFonts w:ascii="Arial" w:cs="Arial" w:eastAsia="Arial" w:hAnsi="Arial"/>
          <w:sz w:val="16"/>
          <w:szCs w:val="16"/>
          <w:b w:val="1"/>
          <w:bCs w:val="1"/>
          <w:color w:val="auto"/>
        </w:rPr>
        <w:t>Lender</w:t>
      </w:r>
      <w:r>
        <w:rPr>
          <w:rFonts w:ascii="Arial" w:cs="Arial" w:eastAsia="Arial" w:hAnsi="Arial"/>
          <w:sz w:val="16"/>
          <w:szCs w:val="16"/>
          <w:color w:val="auto"/>
        </w:rPr>
        <w:t xml:space="preserve">”), (d) (i) </w:t>
      </w:r>
      <w:r>
        <w:rPr>
          <w:rFonts w:ascii="Arial" w:cs="Arial" w:eastAsia="Arial" w:hAnsi="Arial"/>
          <w:sz w:val="16"/>
          <w:szCs w:val="16"/>
          <w:b w:val="1"/>
          <w:bCs w:val="1"/>
          <w:color w:val="auto"/>
        </w:rPr>
        <w:t>ALEXO THERAPEUTICS INTERNATIONAL</w:t>
      </w:r>
      <w:r>
        <w:rPr>
          <w:rFonts w:ascii="Arial" w:cs="Arial" w:eastAsia="Arial" w:hAnsi="Arial"/>
          <w:sz w:val="16"/>
          <w:szCs w:val="16"/>
          <w:color w:val="auto"/>
        </w:rPr>
        <w:t>, an exempted company incorporated under the laws of the Cayman Islands (“</w:t>
      </w:r>
      <w:r>
        <w:rPr>
          <w:rFonts w:ascii="Arial" w:cs="Arial" w:eastAsia="Arial" w:hAnsi="Arial"/>
          <w:sz w:val="16"/>
          <w:szCs w:val="16"/>
          <w:b w:val="1"/>
          <w:bCs w:val="1"/>
          <w:color w:val="auto"/>
        </w:rPr>
        <w:t>Alexo</w:t>
      </w:r>
      <w:r>
        <w:rPr>
          <w:rFonts w:ascii="Arial" w:cs="Arial" w:eastAsia="Arial" w:hAnsi="Arial"/>
          <w:sz w:val="16"/>
          <w:szCs w:val="16"/>
          <w:color w:val="auto"/>
        </w:rPr>
        <w:t xml:space="preserve">”), and (ii) </w:t>
      </w:r>
      <w:r>
        <w:rPr>
          <w:rFonts w:ascii="Arial" w:cs="Arial" w:eastAsia="Arial" w:hAnsi="Arial"/>
          <w:sz w:val="16"/>
          <w:szCs w:val="16"/>
          <w:b w:val="1"/>
          <w:bCs w:val="1"/>
          <w:color w:val="auto"/>
        </w:rPr>
        <w:t>SIRPANT THERAPEUTICS</w:t>
      </w:r>
      <w:r>
        <w:rPr>
          <w:rFonts w:ascii="Arial" w:cs="Arial" w:eastAsia="Arial" w:hAnsi="Arial"/>
          <w:sz w:val="16"/>
          <w:szCs w:val="16"/>
          <w:color w:val="auto"/>
        </w:rPr>
        <w:t>, an exempted company incorporated under the laws of the Cayman Islands (“</w:t>
      </w:r>
      <w:r>
        <w:rPr>
          <w:rFonts w:ascii="Arial" w:cs="Arial" w:eastAsia="Arial" w:hAnsi="Arial"/>
          <w:sz w:val="16"/>
          <w:szCs w:val="16"/>
          <w:b w:val="1"/>
          <w:bCs w:val="1"/>
          <w:color w:val="auto"/>
        </w:rPr>
        <w:t>Sirpant</w:t>
      </w:r>
      <w:r>
        <w:rPr>
          <w:rFonts w:ascii="Arial" w:cs="Arial" w:eastAsia="Arial" w:hAnsi="Arial"/>
          <w:sz w:val="16"/>
          <w:szCs w:val="16"/>
          <w:color w:val="auto"/>
        </w:rPr>
        <w:t>”; together with Alexo, individually and collectively, jointly and severally, the “</w:t>
      </w:r>
      <w:r>
        <w:rPr>
          <w:rFonts w:ascii="Arial" w:cs="Arial" w:eastAsia="Arial" w:hAnsi="Arial"/>
          <w:sz w:val="16"/>
          <w:szCs w:val="16"/>
          <w:b w:val="1"/>
          <w:bCs w:val="1"/>
          <w:color w:val="auto"/>
        </w:rPr>
        <w:t>Existing Borrower</w:t>
      </w:r>
      <w:r>
        <w:rPr>
          <w:rFonts w:ascii="Arial" w:cs="Arial" w:eastAsia="Arial" w:hAnsi="Arial"/>
          <w:sz w:val="16"/>
          <w:szCs w:val="16"/>
          <w:color w:val="auto"/>
        </w:rPr>
        <w:t xml:space="preserve">”), and (e) </w:t>
      </w:r>
      <w:r>
        <w:rPr>
          <w:rFonts w:ascii="Arial" w:cs="Arial" w:eastAsia="Arial" w:hAnsi="Arial"/>
          <w:sz w:val="16"/>
          <w:szCs w:val="16"/>
          <w:b w:val="1"/>
          <w:bCs w:val="1"/>
          <w:color w:val="auto"/>
        </w:rPr>
        <w:t>ALX ONCOLOGY HOLDINGS INC.</w:t>
      </w:r>
      <w:r>
        <w:rPr>
          <w:rFonts w:ascii="Arial" w:cs="Arial" w:eastAsia="Arial" w:hAnsi="Arial"/>
          <w:sz w:val="16"/>
          <w:szCs w:val="16"/>
          <w:color w:val="auto"/>
        </w:rPr>
        <w:t>, a Delaware corporation, whose address is 866 Malcolm Road, Suite 100, Burlingame, CA 94010 (“</w:t>
      </w:r>
      <w:r>
        <w:rPr>
          <w:rFonts w:ascii="Arial" w:cs="Arial" w:eastAsia="Arial" w:hAnsi="Arial"/>
          <w:sz w:val="16"/>
          <w:szCs w:val="16"/>
          <w:b w:val="1"/>
          <w:bCs w:val="1"/>
          <w:color w:val="auto"/>
        </w:rPr>
        <w:t>New Borrower</w:t>
      </w:r>
      <w:r>
        <w:rPr>
          <w:rFonts w:ascii="Arial" w:cs="Arial" w:eastAsia="Arial" w:hAnsi="Arial"/>
          <w:sz w:val="16"/>
          <w:szCs w:val="16"/>
          <w:color w:val="auto"/>
        </w:rPr>
        <w:t>”; and together with Existing Borrower, jointly and severally, individually and collectively, the “</w:t>
      </w:r>
      <w:r>
        <w:rPr>
          <w:rFonts w:ascii="Arial" w:cs="Arial" w:eastAsia="Arial" w:hAnsi="Arial"/>
          <w:sz w:val="16"/>
          <w:szCs w:val="16"/>
          <w:b w:val="1"/>
          <w:bCs w:val="1"/>
          <w:color w:val="auto"/>
        </w:rPr>
        <w:t>Borrower</w:t>
      </w:r>
      <w:r>
        <w:rPr>
          <w:rFonts w:ascii="Arial" w:cs="Arial" w:eastAsia="Arial" w:hAnsi="Arial"/>
          <w:sz w:val="16"/>
          <w:szCs w:val="16"/>
          <w:color w:val="auto"/>
        </w:rPr>
        <w: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9" w:lineRule="exact"/>
        <w:rPr>
          <w:sz w:val="20"/>
          <w:szCs w:val="20"/>
          <w:color w:val="auto"/>
        </w:rPr>
      </w:pPr>
    </w:p>
    <w:p>
      <w:pPr>
        <w:ind w:firstLine="436"/>
        <w:spacing w:after="0" w:line="277" w:lineRule="auto"/>
        <w:tabs>
          <w:tab w:leader="none" w:pos="795"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Existing Borrower, Agent and the Lenders have entered into that certain Loan and Security Agreement dated as of December 20, 2019 (as the same may from time to time be amended, modified, supplemented or restated,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780" w:hanging="344"/>
        <w:spacing w:after="0"/>
        <w:tabs>
          <w:tab w:leader="none" w:pos="780"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The Lenders have extended credit to Existing Borrower for the purposes permitted in the Loan Agreement.</w:t>
      </w:r>
    </w:p>
    <w:p>
      <w:pPr>
        <w:spacing w:after="0" w:line="225" w:lineRule="exact"/>
        <w:rPr>
          <w:rFonts w:ascii="Arial" w:cs="Arial" w:eastAsia="Arial" w:hAnsi="Arial"/>
          <w:sz w:val="18"/>
          <w:szCs w:val="18"/>
          <w:b w:val="1"/>
          <w:bCs w:val="1"/>
          <w:color w:val="auto"/>
        </w:rPr>
      </w:pPr>
    </w:p>
    <w:p>
      <w:pPr>
        <w:ind w:right="220" w:firstLine="436"/>
        <w:spacing w:after="0" w:line="277" w:lineRule="auto"/>
        <w:tabs>
          <w:tab w:leader="none" w:pos="795"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Existing Borrower has requested that Agent and the Lenders amend the Loan Agreement to (i) add New Borrower to the Loan Agreement, and (ii) make certain other revisions to the Loan Agreement as more fully set forth herein.</w:t>
      </w:r>
    </w:p>
    <w:p>
      <w:pPr>
        <w:spacing w:after="0" w:line="170" w:lineRule="exact"/>
        <w:rPr>
          <w:rFonts w:ascii="Arial" w:cs="Arial" w:eastAsia="Arial" w:hAnsi="Arial"/>
          <w:sz w:val="18"/>
          <w:szCs w:val="18"/>
          <w:b w:val="1"/>
          <w:bCs w:val="1"/>
          <w:color w:val="auto"/>
        </w:rPr>
      </w:pPr>
    </w:p>
    <w:p>
      <w:pPr>
        <w:ind w:right="360" w:firstLine="436"/>
        <w:spacing w:after="0" w:line="277" w:lineRule="auto"/>
        <w:tabs>
          <w:tab w:leader="none" w:pos="785" w:val="left"/>
        </w:tabs>
        <w:numPr>
          <w:ilvl w:val="0"/>
          <w:numId w:val="283"/>
        </w:numPr>
        <w:rPr>
          <w:rFonts w:ascii="Arial" w:cs="Arial" w:eastAsia="Arial" w:hAnsi="Arial"/>
          <w:sz w:val="18"/>
          <w:szCs w:val="18"/>
          <w:b w:val="1"/>
          <w:bCs w:val="1"/>
          <w:color w:val="auto"/>
        </w:rPr>
      </w:pPr>
      <w:r>
        <w:rPr>
          <w:rFonts w:ascii="Arial" w:cs="Arial" w:eastAsia="Arial" w:hAnsi="Arial"/>
          <w:sz w:val="18"/>
          <w:szCs w:val="18"/>
          <w:color w:val="auto"/>
        </w:rPr>
        <w:t>Agent and the Lenders have agreed to so amend certain provisions of the Loan Agreement, but only to the extent, in accordance with the terms, subject to the conditions and in reliance upon the representations and warranties set forth below.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54" w:lineRule="exact"/>
        <w:rPr>
          <w:sz w:val="20"/>
          <w:szCs w:val="20"/>
          <w:color w:val="auto"/>
        </w:rPr>
      </w:pPr>
    </w:p>
    <w:p>
      <w:pPr>
        <w:ind w:left="760" w:hanging="324"/>
        <w:spacing w:after="0"/>
        <w:tabs>
          <w:tab w:leader="none" w:pos="760"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Amendment shall have the meanings given to them in the Loan Agreement.</w:t>
      </w:r>
    </w:p>
    <w:p>
      <w:pPr>
        <w:spacing w:after="0" w:line="236" w:lineRule="exact"/>
        <w:rPr>
          <w:rFonts w:ascii="Arial" w:cs="Arial" w:eastAsia="Arial" w:hAnsi="Arial"/>
          <w:sz w:val="17"/>
          <w:szCs w:val="17"/>
          <w:b w:val="1"/>
          <w:bCs w:val="1"/>
          <w:color w:val="auto"/>
        </w:rPr>
      </w:pPr>
    </w:p>
    <w:p>
      <w:pPr>
        <w:ind w:right="40" w:firstLine="436"/>
        <w:spacing w:after="0" w:line="312" w:lineRule="auto"/>
        <w:tabs>
          <w:tab w:leader="none" w:pos="755"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color w:val="auto"/>
        </w:rPr>
        <w:t>Joinder to Loan Agreement</w:t>
      </w:r>
      <w:r>
        <w:rPr>
          <w:rFonts w:ascii="Arial" w:cs="Arial" w:eastAsia="Arial" w:hAnsi="Arial"/>
          <w:sz w:val="17"/>
          <w:szCs w:val="17"/>
          <w:color w:val="auto"/>
        </w:rPr>
        <w:t>. The undersigned, New Borrower, hereby joins the Loan Agreement and each of the Loan Agreement and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as if it were originally named a “Borrower” therein. Without limiting the generality of the preceding sentence, New</w:t>
      </w:r>
    </w:p>
    <w:p>
      <w:pPr>
        <w:sectPr>
          <w:pgSz w:w="11900" w:h="16838" w:orient="portrait"/>
          <w:cols w:equalWidth="0" w:num="1">
            <w:col w:w="10980"/>
          </w:cols>
          <w:pgMar w:left="440" w:top="270" w:right="479" w:bottom="1440" w:gutter="0" w:footer="0" w:header="0"/>
        </w:sectPr>
      </w:pPr>
    </w:p>
    <w:bookmarkStart w:id="324" w:name="page325"/>
    <w:bookmarkEnd w:id="324"/>
    <w:p>
      <w:pPr>
        <w:ind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Borrower agrees that it will be jointly and severally liable, together with Existing Borrower, for the payment and performance of all obligations and liabilities of Borrower under the Loan Agreement, including, without limitation, the Obligations. Each Borrower hereby appoints the other as agent for the other for all purposes hereunder. Each Borrower hereunder shall be obligated to repay all Credit Extensions made pursuant to the Loan Agreement, regardless of which Borrower actually receives said Credit Extension, as if each Borrower hereunder directly received all Credit Extensions.</w:t>
      </w:r>
    </w:p>
    <w:p>
      <w:pPr>
        <w:spacing w:after="0" w:line="153" w:lineRule="exact"/>
        <w:rPr>
          <w:sz w:val="20"/>
          <w:szCs w:val="20"/>
          <w:color w:val="auto"/>
        </w:rPr>
      </w:pPr>
    </w:p>
    <w:p>
      <w:pPr>
        <w:ind w:firstLine="436"/>
        <w:spacing w:after="0" w:line="268" w:lineRule="auto"/>
        <w:tabs>
          <w:tab w:leader="none" w:pos="755" w:val="left"/>
        </w:tabs>
        <w:numPr>
          <w:ilvl w:val="0"/>
          <w:numId w:val="285"/>
        </w:numPr>
        <w:rPr>
          <w:rFonts w:ascii="Arial" w:cs="Arial" w:eastAsia="Arial" w:hAnsi="Arial"/>
          <w:sz w:val="17"/>
          <w:szCs w:val="17"/>
          <w:b w:val="1"/>
          <w:bCs w:val="1"/>
          <w:color w:val="auto"/>
        </w:rPr>
      </w:pPr>
      <w:r>
        <w:rPr>
          <w:rFonts w:ascii="Arial" w:cs="Arial" w:eastAsia="Arial" w:hAnsi="Arial"/>
          <w:sz w:val="17"/>
          <w:szCs w:val="17"/>
          <w:b w:val="1"/>
          <w:bCs w:val="1"/>
          <w:color w:val="auto"/>
        </w:rPr>
        <w:t>Subrogation and Similar Rights</w:t>
      </w:r>
      <w:r>
        <w:rPr>
          <w:rFonts w:ascii="Arial" w:cs="Arial" w:eastAsia="Arial" w:hAnsi="Arial"/>
          <w:sz w:val="17"/>
          <w:szCs w:val="17"/>
          <w:color w:val="auto"/>
        </w:rPr>
        <w:t>. Each Borrower waives any suretyship defenses available to it under the Code or any other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Each Borrower waives any right to require Agent or the Lenders to: (i) proceed against either Borrower or any other person; (ii) proceed against or exhaust any security; or (iii) pursue any other remedy. Agent and the Lenders may exercise or not exercise any right or remedy it has against either Borrower or any security it holds (including the right to foreclose by judicial or non-judicial sale) without affecting any Borrower’s liability. Notwithstanding any other provision of this Amendment, the Loan Agreement or other Loan Documents, each Borrower agrees not to exercise any rights that it may have at law or in equity (including, without limitation, any law subrogating Borrower to the rights of Agent and the Lenders under the Loan Agreement) to seek contribution, indemnification or any other form of reimbursement from the other Borrower, or any other Person now or hereafter primarily or secondarily liable for any of the Obligations, for any payment made by Borrower with respect to the Obligations in connection with the Loan Agreement or otherwise and all rights that it might have to benefit from, or to participate in, any security for the Obligations as a result of any payment made by either Borrower with respect to the Obligations in connection with the Loan Agreement or otherwise until the Obligations (other than inchoate indemnity obligations) have been paid and performed in full. Any agreement providing for indemnification, reimbursement or any other arrangement prohibited under this Section shall be null and void. If any payment is made to a Borrower in contravention of this Section, such Borrower shall hold such payment in trust for Agent and such payment shall be promptly delivered to Agent for application to the Obligations, whether matured or unmatured</w:t>
      </w:r>
    </w:p>
    <w:p>
      <w:pPr>
        <w:spacing w:after="0" w:line="184" w:lineRule="exact"/>
        <w:rPr>
          <w:rFonts w:ascii="Arial" w:cs="Arial" w:eastAsia="Arial" w:hAnsi="Arial"/>
          <w:sz w:val="17"/>
          <w:szCs w:val="17"/>
          <w:b w:val="1"/>
          <w:bCs w:val="1"/>
          <w:color w:val="auto"/>
        </w:rPr>
      </w:pPr>
    </w:p>
    <w:p>
      <w:pPr>
        <w:ind w:firstLine="436"/>
        <w:spacing w:after="0" w:line="288" w:lineRule="auto"/>
        <w:tabs>
          <w:tab w:leader="none" w:pos="755" w:val="left"/>
        </w:tabs>
        <w:numPr>
          <w:ilvl w:val="0"/>
          <w:numId w:val="285"/>
        </w:numPr>
        <w:rPr>
          <w:rFonts w:ascii="Arial" w:cs="Arial" w:eastAsia="Arial" w:hAnsi="Arial"/>
          <w:sz w:val="16"/>
          <w:szCs w:val="16"/>
          <w:b w:val="1"/>
          <w:bCs w:val="1"/>
          <w:color w:val="auto"/>
        </w:rPr>
      </w:pPr>
      <w:r>
        <w:rPr>
          <w:rFonts w:ascii="Arial" w:cs="Arial" w:eastAsia="Arial" w:hAnsi="Arial"/>
          <w:sz w:val="16"/>
          <w:szCs w:val="16"/>
          <w:b w:val="1"/>
          <w:bCs w:val="1"/>
          <w:color w:val="auto"/>
        </w:rPr>
        <w:t>Grant of Security Interest</w:t>
      </w:r>
      <w:r>
        <w:rPr>
          <w:rFonts w:ascii="Arial" w:cs="Arial" w:eastAsia="Arial" w:hAnsi="Arial"/>
          <w:sz w:val="16"/>
          <w:szCs w:val="16"/>
          <w:color w:val="auto"/>
        </w:rPr>
        <w:t>. To secure the prompt payment and performance of all the Obligations, New Borrower hereby grants to Agent,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ratable benefit of the Lenders, a continuing lien upon and security interest in all of New Borrower’s now existing or hereafter arising rights and interest in the Collateral, whether now owned or existing or hereafter created, acquired or arising, and wherever located, including, without limitation, all of New Borrower’s assets, and all New Borrower’s books relating to the foregoing and any and all claims, rights and interest in any of the above and all substitutions for, additions, attachments, accessories, accessions and improvements to and replacements, products, proceeds and insurance proceeds of any or all of the foregoing. New Borrower further covenants and agrees that by its execution hereof it shall provide all such information, complete all such forms, and take all such actions, and enter into all such agreements, in form and substance reasonably satisfactory to Agent and the Lenders that are reasonably deemed necessary by Agent and the Lenders in order to grant a valid, perfected first priority security interest to Agent, for the ratable benefit of the Lenders, in the Collateral. New Borrower hereby authorizes Agent to file financing statements, without notice to Borrower, with all appropriate jurisdictions in order to perfect or protect Agent’s, for the ratable benefit of the Lenders’, interest or rights hereunder, including a notice that any disposition of the Collateral, by either Borrower or any other Person, shall be deemed to violate the rights of the Agent or the</w:t>
      </w:r>
    </w:p>
    <w:p>
      <w:pPr>
        <w:sectPr>
          <w:pgSz w:w="11900" w:h="16838" w:orient="portrait"/>
          <w:cols w:equalWidth="0" w:num="1">
            <w:col w:w="11000"/>
          </w:cols>
          <w:pgMar w:left="440" w:top="274" w:right="459" w:bottom="1440" w:gutter="0" w:footer="0" w:header="0"/>
        </w:sectPr>
      </w:pPr>
    </w:p>
    <w:bookmarkStart w:id="325" w:name="page326"/>
    <w:bookmarkEnd w:id="325"/>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Lenders under the Code. Such financing statements may indicate the Collateral as “all assets of the Debtor” or words of similar effect, or as being of an equal or lesser scope, or with greater detail, all in Agent’s discretion.</w:t>
      </w:r>
    </w:p>
    <w:p>
      <w:pPr>
        <w:spacing w:after="0" w:line="166" w:lineRule="exact"/>
        <w:rPr>
          <w:sz w:val="20"/>
          <w:szCs w:val="20"/>
          <w:color w:val="auto"/>
        </w:rPr>
      </w:pPr>
    </w:p>
    <w:p>
      <w:pPr>
        <w:ind w:firstLine="436"/>
        <w:spacing w:after="0" w:line="289" w:lineRule="auto"/>
        <w:tabs>
          <w:tab w:leader="none" w:pos="755" w:val="left"/>
        </w:tabs>
        <w:numPr>
          <w:ilvl w:val="0"/>
          <w:numId w:val="2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Representations and Warranties. </w:t>
      </w:r>
      <w:r>
        <w:rPr>
          <w:rFonts w:ascii="Arial" w:cs="Arial" w:eastAsia="Arial" w:hAnsi="Arial"/>
          <w:sz w:val="17"/>
          <w:szCs w:val="17"/>
          <w:color w:val="auto"/>
        </w:rPr>
        <w:t>New Borrower hereby represents and warrants to Agent that all representations and warranties in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Documents made on the part of Existing Borrower are true and correct on the date hereof with respect to New Borrower, with the same force and effect as if New Borrower were named as “Borrower” in the Loan Documents in addition to Existing Borrower.</w:t>
      </w:r>
    </w:p>
    <w:p>
      <w:pPr>
        <w:spacing w:after="0" w:line="157" w:lineRule="exact"/>
        <w:rPr>
          <w:rFonts w:ascii="Arial" w:cs="Arial" w:eastAsia="Arial" w:hAnsi="Arial"/>
          <w:sz w:val="17"/>
          <w:szCs w:val="17"/>
          <w:b w:val="1"/>
          <w:bCs w:val="1"/>
          <w:color w:val="auto"/>
        </w:rPr>
      </w:pPr>
    </w:p>
    <w:p>
      <w:pPr>
        <w:ind w:right="1380" w:firstLine="436"/>
        <w:spacing w:after="0" w:line="282" w:lineRule="auto"/>
        <w:tabs>
          <w:tab w:leader="none" w:pos="755"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Delivery of Documents</w:t>
      </w:r>
      <w:r>
        <w:rPr>
          <w:rFonts w:ascii="Arial" w:cs="Arial" w:eastAsia="Arial" w:hAnsi="Arial"/>
          <w:sz w:val="18"/>
          <w:szCs w:val="18"/>
          <w:color w:val="auto"/>
        </w:rPr>
        <w:t>. New Borrower hereby agrees that the following documents shall be delivered to Agent prior to or</w:t>
      </w:r>
      <w:r>
        <w:rPr>
          <w:rFonts w:ascii="Arial" w:cs="Arial" w:eastAsia="Arial" w:hAnsi="Arial"/>
          <w:sz w:val="18"/>
          <w:szCs w:val="18"/>
          <w:b w:val="1"/>
          <w:bCs w:val="1"/>
          <w:color w:val="auto"/>
        </w:rPr>
        <w:t xml:space="preserve"> </w:t>
      </w:r>
      <w:r>
        <w:rPr>
          <w:rFonts w:ascii="Arial" w:cs="Arial" w:eastAsia="Arial" w:hAnsi="Arial"/>
          <w:sz w:val="18"/>
          <w:szCs w:val="18"/>
          <w:color w:val="auto"/>
        </w:rPr>
        <w:t>contemporaneously with delivery of this Amendment, each in form and substance satisfactory to Agent:</w:t>
      </w:r>
    </w:p>
    <w:p>
      <w:pPr>
        <w:spacing w:after="0" w:line="71" w:lineRule="exact"/>
        <w:rPr>
          <w:sz w:val="20"/>
          <w:szCs w:val="20"/>
          <w:color w:val="auto"/>
        </w:rPr>
      </w:pPr>
    </w:p>
    <w:p>
      <w:pPr>
        <w:ind w:left="960" w:hanging="532"/>
        <w:spacing w:after="0"/>
        <w:tabs>
          <w:tab w:leader="none" w:pos="9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a duly executed secretary’s corporate borrowing certificate for New Borrower, together with the duly executed signatures thereto;</w:t>
      </w:r>
    </w:p>
    <w:p>
      <w:pPr>
        <w:spacing w:after="0" w:line="142" w:lineRule="exact"/>
        <w:rPr>
          <w:rFonts w:ascii="Arial" w:cs="Arial" w:eastAsia="Arial" w:hAnsi="Arial"/>
          <w:sz w:val="17"/>
          <w:szCs w:val="17"/>
          <w:color w:val="auto"/>
        </w:rPr>
      </w:pPr>
    </w:p>
    <w:p>
      <w:pPr>
        <w:ind w:left="960" w:right="140" w:hanging="532"/>
        <w:spacing w:after="0" w:line="277" w:lineRule="auto"/>
        <w:tabs>
          <w:tab w:leader="none" w:pos="9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Operating Documents and long-form good standing certificate of New Borrower certified by the Secretary of State of Delaware, each as of a date no earlier than thirty (30) days prior to the date hereof;</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duly executed signatures to the completed Borrowing Resolutions for New Borrower;</w:t>
      </w:r>
    </w:p>
    <w:p>
      <w:pPr>
        <w:spacing w:after="0" w:line="130"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Agent may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Perfection Certificate of New Borrower, together with the duly executed signatures thereto;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such other documents as Agent may reasonably request.</w:t>
      </w:r>
    </w:p>
    <w:p>
      <w:pPr>
        <w:spacing w:after="0" w:line="221"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Amendments to Loan Agreement.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Preamble</w:t>
      </w:r>
      <w:r>
        <w:rPr>
          <w:rFonts w:ascii="Arial" w:cs="Arial" w:eastAsia="Arial" w:hAnsi="Arial"/>
          <w:sz w:val="16"/>
          <w:szCs w:val="16"/>
          <w:color w:val="auto"/>
        </w:rPr>
        <w:t>. The preamble is amended in its entirety and replaced with the following:</w:t>
      </w:r>
    </w:p>
    <w:p>
      <w:pPr>
        <w:spacing w:after="0" w:line="225" w:lineRule="exact"/>
        <w:rPr>
          <w:sz w:val="20"/>
          <w:szCs w:val="20"/>
          <w:color w:val="auto"/>
        </w:rPr>
      </w:pPr>
    </w:p>
    <w:p>
      <w:pPr>
        <w:ind w:left="980" w:right="120"/>
        <w:spacing w:after="0" w:line="25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THIS LOAN AND SECURITY AGREEMENT</w:t>
      </w:r>
      <w:r>
        <w:rPr>
          <w:rFonts w:ascii="Arial" w:cs="Arial" w:eastAsia="Arial" w:hAnsi="Arial"/>
          <w:sz w:val="18"/>
          <w:szCs w:val="18"/>
          <w:color w:val="auto"/>
        </w:rPr>
        <w:t xml:space="preserve"> (as amended, restated, modified or otherwise supplemented from time to time, this “</w:t>
      </w:r>
      <w:r>
        <w:rPr>
          <w:rFonts w:ascii="Arial" w:cs="Arial" w:eastAsia="Arial" w:hAnsi="Arial"/>
          <w:sz w:val="18"/>
          <w:szCs w:val="18"/>
          <w:b w:val="1"/>
          <w:bCs w:val="1"/>
          <w:color w:val="auto"/>
        </w:rPr>
        <w:t>Agreement</w:t>
      </w:r>
      <w:r>
        <w:rPr>
          <w:rFonts w:ascii="Arial" w:cs="Arial" w:eastAsia="Arial" w:hAnsi="Arial"/>
          <w:sz w:val="18"/>
          <w:szCs w:val="18"/>
          <w:color w:val="auto"/>
        </w:rPr>
        <w:t>”) dated as of December 20, 2019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among (a)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in its capacity as administrative agent and collateral agent (“</w:t>
      </w:r>
      <w:r>
        <w:rPr>
          <w:rFonts w:ascii="Arial" w:cs="Arial" w:eastAsia="Arial" w:hAnsi="Arial"/>
          <w:sz w:val="18"/>
          <w:szCs w:val="18"/>
          <w:b w:val="1"/>
          <w:bCs w:val="1"/>
          <w:color w:val="auto"/>
        </w:rPr>
        <w:t>Agent</w:t>
      </w:r>
      <w:r>
        <w:rPr>
          <w:rFonts w:ascii="Arial" w:cs="Arial" w:eastAsia="Arial" w:hAnsi="Arial"/>
          <w:sz w:val="18"/>
          <w:szCs w:val="18"/>
          <w:color w:val="auto"/>
        </w:rPr>
        <w:t xml:space="preserve">”), (b)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as a lender (“</w:t>
      </w:r>
      <w:r>
        <w:rPr>
          <w:rFonts w:ascii="Arial" w:cs="Arial" w:eastAsia="Arial" w:hAnsi="Arial"/>
          <w:sz w:val="18"/>
          <w:szCs w:val="18"/>
          <w:b w:val="1"/>
          <w:bCs w:val="1"/>
          <w:color w:val="auto"/>
        </w:rPr>
        <w:t>SVB</w:t>
      </w:r>
      <w:r>
        <w:rPr>
          <w:rFonts w:ascii="Arial" w:cs="Arial" w:eastAsia="Arial" w:hAnsi="Arial"/>
          <w:sz w:val="18"/>
          <w:szCs w:val="18"/>
          <w:color w:val="auto"/>
        </w:rPr>
        <w:t xml:space="preserve">”), (c) </w:t>
      </w:r>
      <w:r>
        <w:rPr>
          <w:rFonts w:ascii="Arial" w:cs="Arial" w:eastAsia="Arial" w:hAnsi="Arial"/>
          <w:sz w:val="18"/>
          <w:szCs w:val="18"/>
          <w:b w:val="1"/>
          <w:bCs w:val="1"/>
          <w:color w:val="auto"/>
        </w:rPr>
        <w:t>WESTRIVER INNOVATION LENDING FUND VIII,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WestRiver</w:t>
      </w:r>
      <w:r>
        <w:rPr>
          <w:rFonts w:ascii="Arial" w:cs="Arial" w:eastAsia="Arial" w:hAnsi="Arial"/>
          <w:sz w:val="18"/>
          <w:szCs w:val="18"/>
          <w:color w:val="auto"/>
        </w:rPr>
        <w:t>”), as a lender (SVB and WestRiver and each of the other “Lenders” from time to time a party</w:t>
      </w:r>
    </w:p>
    <w:p>
      <w:pPr>
        <w:sectPr>
          <w:pgSz w:w="11900" w:h="16838" w:orient="portrait"/>
          <w:cols w:equalWidth="0" w:num="1">
            <w:col w:w="10980"/>
          </w:cols>
          <w:pgMar w:left="440" w:top="274" w:right="479" w:bottom="1440" w:gutter="0" w:footer="0" w:header="0"/>
        </w:sectPr>
      </w:pPr>
    </w:p>
    <w:bookmarkStart w:id="326" w:name="page327"/>
    <w:bookmarkEnd w:id="326"/>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hereto are referred to herein collectively as the “</w:t>
      </w:r>
      <w:r>
        <w:rPr>
          <w:rFonts w:ascii="Arial" w:cs="Arial" w:eastAsia="Arial" w:hAnsi="Arial"/>
          <w:sz w:val="18"/>
          <w:szCs w:val="18"/>
          <w:b w:val="1"/>
          <w:bCs w:val="1"/>
          <w:color w:val="auto"/>
        </w:rPr>
        <w:t>Lenders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and (d) (i) </w:t>
      </w:r>
      <w:r>
        <w:rPr>
          <w:rFonts w:ascii="Arial" w:cs="Arial" w:eastAsia="Arial" w:hAnsi="Arial"/>
          <w:sz w:val="18"/>
          <w:szCs w:val="18"/>
          <w:b w:val="1"/>
          <w:bCs w:val="1"/>
          <w:color w:val="auto"/>
        </w:rPr>
        <w:t>ALEXO THERAPEUTICS</w:t>
      </w:r>
      <w:r>
        <w:rPr>
          <w:rFonts w:ascii="Arial" w:cs="Arial" w:eastAsia="Arial" w:hAnsi="Arial"/>
          <w:sz w:val="18"/>
          <w:szCs w:val="18"/>
          <w:color w:val="auto"/>
        </w:rPr>
        <w:t xml:space="preserve"> </w:t>
      </w:r>
      <w:r>
        <w:rPr>
          <w:rFonts w:ascii="Arial" w:cs="Arial" w:eastAsia="Arial" w:hAnsi="Arial"/>
          <w:sz w:val="18"/>
          <w:szCs w:val="18"/>
          <w:b w:val="1"/>
          <w:bCs w:val="1"/>
          <w:color w:val="auto"/>
        </w:rPr>
        <w:t>INTERNATIONAL</w:t>
      </w:r>
      <w:r>
        <w:rPr>
          <w:rFonts w:ascii="Arial" w:cs="Arial" w:eastAsia="Arial" w:hAnsi="Arial"/>
          <w:sz w:val="18"/>
          <w:szCs w:val="18"/>
          <w:color w:val="auto"/>
        </w:rPr>
        <w:t>, an exempted company incorporated under the laws of the Cayman Islands (“</w:t>
      </w:r>
      <w:r>
        <w:rPr>
          <w:rFonts w:ascii="Arial" w:cs="Arial" w:eastAsia="Arial" w:hAnsi="Arial"/>
          <w:sz w:val="18"/>
          <w:szCs w:val="18"/>
          <w:b w:val="1"/>
          <w:bCs w:val="1"/>
          <w:color w:val="auto"/>
        </w:rPr>
        <w:t>Alexo</w:t>
      </w:r>
      <w:r>
        <w:rPr>
          <w:rFonts w:ascii="Arial" w:cs="Arial" w:eastAsia="Arial" w:hAnsi="Arial"/>
          <w:sz w:val="18"/>
          <w:szCs w:val="18"/>
          <w:color w:val="auto"/>
        </w:rPr>
        <w:t>”), (ii)</w:t>
      </w:r>
      <w:r>
        <w:rPr>
          <w:rFonts w:ascii="Arial" w:cs="Arial" w:eastAsia="Arial" w:hAnsi="Arial"/>
          <w:sz w:val="18"/>
          <w:szCs w:val="18"/>
          <w:b w:val="1"/>
          <w:bCs w:val="1"/>
          <w:color w:val="auto"/>
        </w:rPr>
        <w:t xml:space="preserve"> SIRPANT THERAPEUTICS</w:t>
      </w:r>
      <w:r>
        <w:rPr>
          <w:rFonts w:ascii="Arial" w:cs="Arial" w:eastAsia="Arial" w:hAnsi="Arial"/>
          <w:sz w:val="18"/>
          <w:szCs w:val="18"/>
          <w:color w:val="auto"/>
        </w:rPr>
        <w:t>, an exempted company incorporated under the laws of the Cayman Islands (“</w:t>
      </w:r>
      <w:r>
        <w:rPr>
          <w:rFonts w:ascii="Arial" w:cs="Arial" w:eastAsia="Arial" w:hAnsi="Arial"/>
          <w:sz w:val="18"/>
          <w:szCs w:val="18"/>
          <w:b w:val="1"/>
          <w:bCs w:val="1"/>
          <w:color w:val="auto"/>
        </w:rPr>
        <w:t>Sirpant</w:t>
      </w:r>
      <w:r>
        <w:rPr>
          <w:rFonts w:ascii="Arial" w:cs="Arial" w:eastAsia="Arial" w:hAnsi="Arial"/>
          <w:sz w:val="18"/>
          <w:szCs w:val="18"/>
          <w:color w:val="auto"/>
        </w:rPr>
        <w:t>”) and (iii)</w:t>
      </w:r>
      <w:r>
        <w:rPr>
          <w:rFonts w:ascii="Arial" w:cs="Arial" w:eastAsia="Arial" w:hAnsi="Arial"/>
          <w:sz w:val="18"/>
          <w:szCs w:val="18"/>
          <w:b w:val="1"/>
          <w:bCs w:val="1"/>
          <w:color w:val="auto"/>
        </w:rPr>
        <w:t xml:space="preserve"> ALX ONCOLOGY HOLDINGS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Parent</w:t>
      </w:r>
      <w:r>
        <w:rPr>
          <w:rFonts w:ascii="Arial" w:cs="Arial" w:eastAsia="Arial" w:hAnsi="Arial"/>
          <w:sz w:val="18"/>
          <w:szCs w:val="18"/>
          <w:color w:val="auto"/>
        </w:rPr>
        <w:t>”; together with Sirpant and Alexo, individually and collectively, jointly and</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the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Agent and the Lenders shall lend to Borrower, and Borrower shall repay Agent and the Lenders. The parties agree as follows:”</w:t>
      </w:r>
    </w:p>
    <w:p>
      <w:pPr>
        <w:spacing w:after="0" w:line="1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Section 2.7 (Withholding)</w:t>
      </w:r>
      <w:r>
        <w:rPr>
          <w:rFonts w:ascii="Arial" w:cs="Arial" w:eastAsia="Arial" w:hAnsi="Arial"/>
          <w:sz w:val="16"/>
          <w:szCs w:val="16"/>
          <w:color w:val="auto"/>
        </w:rPr>
        <w:t>. Section 2.7 is amended in its entirety and replaced with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2.7  Withholding</w:t>
      </w:r>
      <w:r>
        <w:rPr>
          <w:rFonts w:ascii="Arial" w:cs="Arial" w:eastAsia="Arial" w:hAnsi="Arial"/>
          <w:sz w:val="18"/>
          <w:szCs w:val="18"/>
          <w:color w:val="auto"/>
        </w:rPr>
        <w:t>.</w:t>
      </w:r>
    </w:p>
    <w:p>
      <w:pPr>
        <w:spacing w:after="0" w:line="121" w:lineRule="exact"/>
        <w:rPr>
          <w:sz w:val="20"/>
          <w:szCs w:val="20"/>
          <w:color w:val="auto"/>
        </w:rPr>
      </w:pPr>
    </w:p>
    <w:p>
      <w:pPr>
        <w:ind w:left="440" w:right="60" w:firstLine="391"/>
        <w:spacing w:after="0" w:line="268" w:lineRule="auto"/>
        <w:tabs>
          <w:tab w:leader="none" w:pos="1203" w:val="left"/>
        </w:tabs>
        <w:numPr>
          <w:ilvl w:val="1"/>
          <w:numId w:val="289"/>
        </w:numPr>
        <w:rPr>
          <w:rFonts w:ascii="Arial" w:cs="Arial" w:eastAsia="Arial" w:hAnsi="Arial"/>
          <w:sz w:val="17"/>
          <w:szCs w:val="17"/>
          <w:color w:val="auto"/>
        </w:rPr>
      </w:pPr>
      <w:r>
        <w:rPr>
          <w:rFonts w:ascii="Arial" w:cs="Arial" w:eastAsia="Arial" w:hAnsi="Arial"/>
          <w:sz w:val="17"/>
          <w:szCs w:val="17"/>
          <w:color w:val="auto"/>
        </w:rPr>
        <w:t>Payments made by Borrower under this Agreement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w:t>
      </w:r>
      <w:r>
        <w:rPr>
          <w:rFonts w:ascii="Arial" w:cs="Arial" w:eastAsia="Arial" w:hAnsi="Arial"/>
          <w:sz w:val="17"/>
          <w:szCs w:val="17"/>
          <w:b w:val="1"/>
          <w:bCs w:val="1"/>
          <w:color w:val="auto"/>
        </w:rPr>
        <w:t>Taxes</w:t>
      </w:r>
      <w:r>
        <w:rPr>
          <w:rFonts w:ascii="Arial" w:cs="Arial" w:eastAsia="Arial" w:hAnsi="Arial"/>
          <w:sz w:val="17"/>
          <w:szCs w:val="17"/>
          <w:color w:val="auto"/>
        </w:rPr>
        <w:t>”), except as required by applicable law. Specifically, however, if at any time any Governmental Authority, applicable law, regulation or international agreement requires Borrower to make any withholding or deduction of Taxes from any such payment or other sum payable hereunder, Borrower hereby covenants and agrees that the amount due from Borrower with respect to such payment or other sum payable hereunder will be increased to the extent necessary to ensure that, after the making of such required withholding or deduction, the applicable recipient receives a net sum equal to the sum which it would have received had no withholding or deduction been required, and Borrower shall pay the full amount withheld or deducted to the relevant Governmental Authority, provided, however, that no such additional amounts will be paid in respect of any amounts required to be withheld (x) under FATCA or (y) under U.S. backup withholding rules. Borrower will, upon request, furnish Agent with proof reasonably satisfactory to Agent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2.7 shall survive the termination of this Agreement.</w:t>
      </w:r>
    </w:p>
    <w:p>
      <w:pPr>
        <w:spacing w:after="0" w:line="73" w:lineRule="exact"/>
        <w:rPr>
          <w:rFonts w:ascii="Arial" w:cs="Arial" w:eastAsia="Arial" w:hAnsi="Arial"/>
          <w:sz w:val="17"/>
          <w:szCs w:val="17"/>
          <w:color w:val="auto"/>
        </w:rPr>
      </w:pPr>
    </w:p>
    <w:p>
      <w:pPr>
        <w:ind w:left="440" w:right="240" w:firstLine="391"/>
        <w:spacing w:after="0" w:line="277" w:lineRule="auto"/>
        <w:tabs>
          <w:tab w:leader="none" w:pos="1213" w:val="left"/>
        </w:tabs>
        <w:numPr>
          <w:ilvl w:val="1"/>
          <w:numId w:val="289"/>
        </w:numPr>
        <w:rPr>
          <w:rFonts w:ascii="Arial" w:cs="Arial" w:eastAsia="Arial" w:hAnsi="Arial"/>
          <w:sz w:val="18"/>
          <w:szCs w:val="18"/>
          <w:color w:val="auto"/>
        </w:rPr>
      </w:pPr>
      <w:r>
        <w:rPr>
          <w:rFonts w:ascii="Arial" w:cs="Arial" w:eastAsia="Arial" w:hAnsi="Arial"/>
          <w:sz w:val="18"/>
          <w:szCs w:val="18"/>
          <w:color w:val="auto"/>
        </w:rPr>
        <w:t>Each U.S. Lender shall, upon becoming party to this Agreement, deliver to any U.S. Borrower a complete and properly executed IRS Form W-9.</w:t>
      </w:r>
    </w:p>
    <w:p>
      <w:pPr>
        <w:spacing w:after="0" w:line="62" w:lineRule="exact"/>
        <w:rPr>
          <w:rFonts w:ascii="Arial" w:cs="Arial" w:eastAsia="Arial" w:hAnsi="Arial"/>
          <w:sz w:val="18"/>
          <w:szCs w:val="18"/>
          <w:color w:val="auto"/>
        </w:rPr>
      </w:pPr>
    </w:p>
    <w:p>
      <w:pPr>
        <w:ind w:left="440" w:firstLine="391"/>
        <w:spacing w:after="0" w:line="263" w:lineRule="auto"/>
        <w:tabs>
          <w:tab w:leader="none" w:pos="1203" w:val="left"/>
        </w:tabs>
        <w:numPr>
          <w:ilvl w:val="1"/>
          <w:numId w:val="289"/>
        </w:numPr>
        <w:rPr>
          <w:rFonts w:ascii="Arial" w:cs="Arial" w:eastAsia="Arial" w:hAnsi="Arial"/>
          <w:sz w:val="18"/>
          <w:szCs w:val="18"/>
          <w:color w:val="auto"/>
        </w:rPr>
      </w:pPr>
      <w:r>
        <w:rPr>
          <w:rFonts w:ascii="Arial" w:cs="Arial" w:eastAsia="Arial" w:hAnsi="Arial"/>
          <w:sz w:val="18"/>
          <w:szCs w:val="18"/>
          <w:color w:val="auto"/>
        </w:rPr>
        <w:t>Each Non-U.S. Lender shall, upon becoming party to this Agreement, to the extent that such Non-U.S. Lender is entitled to an exemption from U.S withholding tax on payments under this Agreement, deliver to any U.S. Borrower a complete and properly executed IRS Form W-8BEN, W-8BEN-E, W-</w:t>
      </w:r>
    </w:p>
    <w:p>
      <w:pPr>
        <w:sectPr>
          <w:pgSz w:w="11900" w:h="16838" w:orient="portrait"/>
          <w:cols w:equalWidth="0" w:num="1">
            <w:col w:w="10040"/>
          </w:cols>
          <w:pgMar w:left="1420" w:top="270" w:right="439" w:bottom="1440" w:gutter="0" w:footer="0" w:header="0"/>
        </w:sectPr>
      </w:pPr>
    </w:p>
    <w:bookmarkStart w:id="327" w:name="page328"/>
    <w:bookmarkEnd w:id="327"/>
    <w:p>
      <w:pPr>
        <w:ind w:left="14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8ECI or W-8IMY, as appropriate, or any successor form prescribed by the IRS, establishing that such Non-U.S. Lender is entitled to such exemption from U.S. withholding tax on interest. Notwithstanding Section 2.7(a) above, a U.S. Borrower shall not be required to pay any additional amount to any Lender under Section 2.7(a) if such Lender fails or is unable to deliver the forms, certificates or other evidence described in Section 2.7(b) or the preceding sentence, as applicable. Each Lender agrees that if any form it previously delivered expires or becomes obsolete or inaccurate in any respect, it shall update such form or certification or promptly notify the U.S. Borrower in writing of its legal inability to do so.”</w:t>
      </w:r>
    </w:p>
    <w:p>
      <w:pPr>
        <w:spacing w:after="0" w:line="17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Section 5.4 (Financial Statements; Financial Condition)</w:t>
      </w:r>
      <w:r>
        <w:rPr>
          <w:rFonts w:ascii="Arial" w:cs="Arial" w:eastAsia="Arial" w:hAnsi="Arial"/>
          <w:sz w:val="16"/>
          <w:szCs w:val="16"/>
          <w:color w:val="auto"/>
        </w:rPr>
        <w:t>. Section 5.4 is amended in its entirety and replaced with the following:</w:t>
      </w:r>
    </w:p>
    <w:p>
      <w:pPr>
        <w:spacing w:after="0" w:line="117" w:lineRule="exact"/>
        <w:rPr>
          <w:sz w:val="20"/>
          <w:szCs w:val="20"/>
          <w:color w:val="auto"/>
        </w:rPr>
      </w:pPr>
    </w:p>
    <w:p>
      <w:pPr>
        <w:ind w:left="980" w:right="40"/>
        <w:spacing w:after="0" w:line="25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5.4 Financial Statements; Financial Condition</w:t>
      </w:r>
      <w:r>
        <w:rPr>
          <w:rFonts w:ascii="Arial" w:cs="Arial" w:eastAsia="Arial" w:hAnsi="Arial"/>
          <w:sz w:val="18"/>
          <w:szCs w:val="18"/>
          <w:color w:val="auto"/>
        </w:rPr>
        <w:t>. All consolidated and consolidating financial statements for Parent and its direct and indirect Subsidiaries delivered to Agent and the Lenders fairly present in all material respects Parent’s and its direct and indirect Subsidiaries’ consolidated financial condition and each such entity’s consolidated results of operations. There has not been any material deterioration in Parent’s and its direct and indirect Subsidiaries’ consolidated financial condition since the date of the most recent financial statements submitted to Agent and the Lenders.”</w:t>
      </w:r>
    </w:p>
    <w:p>
      <w:pPr>
        <w:spacing w:after="0" w:line="183" w:lineRule="exact"/>
        <w:rPr>
          <w:sz w:val="20"/>
          <w:szCs w:val="20"/>
          <w:color w:val="auto"/>
        </w:rPr>
      </w:pPr>
    </w:p>
    <w:p>
      <w:pPr>
        <w:ind w:right="360" w:firstLine="991"/>
        <w:spacing w:after="0" w:line="282" w:lineRule="auto"/>
        <w:rPr>
          <w:sz w:val="20"/>
          <w:szCs w:val="20"/>
          <w:color w:val="auto"/>
        </w:rPr>
      </w:pPr>
      <w:r>
        <w:rPr>
          <w:rFonts w:ascii="Arial" w:cs="Arial" w:eastAsia="Arial" w:hAnsi="Arial"/>
          <w:sz w:val="18"/>
          <w:szCs w:val="18"/>
          <w:b w:val="1"/>
          <w:bCs w:val="1"/>
          <w:color w:val="auto"/>
        </w:rPr>
        <w:t>7.4 Section 6.2 (Financial Statements, Reports, Certificates</w:t>
      </w:r>
      <w:r>
        <w:rPr>
          <w:rFonts w:ascii="Arial" w:cs="Arial" w:eastAsia="Arial" w:hAnsi="Arial"/>
          <w:sz w:val="18"/>
          <w:szCs w:val="18"/>
          <w:color w:val="auto"/>
        </w:rPr>
        <w:t>). Section 6.2 is amending subsections (a), (c), (d), (e), and (f) in their</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and replacing them with the following:</w:t>
      </w:r>
    </w:p>
    <w:p>
      <w:pPr>
        <w:spacing w:after="0" w:line="58" w:lineRule="exact"/>
        <w:rPr>
          <w:sz w:val="20"/>
          <w:szCs w:val="20"/>
          <w:color w:val="auto"/>
        </w:rPr>
      </w:pPr>
    </w:p>
    <w:p>
      <w:pPr>
        <w:ind w:left="980" w:right="60"/>
        <w:spacing w:after="0" w:line="296" w:lineRule="auto"/>
        <w:rPr>
          <w:sz w:val="20"/>
          <w:szCs w:val="20"/>
          <w:color w:val="auto"/>
        </w:rPr>
      </w:pPr>
      <w:r>
        <w:rPr>
          <w:rFonts w:ascii="Arial" w:cs="Arial" w:eastAsia="Arial" w:hAnsi="Arial"/>
          <w:sz w:val="16"/>
          <w:szCs w:val="16"/>
          <w:color w:val="auto"/>
        </w:rPr>
        <w:t xml:space="preserve">“ (a) </w:t>
      </w:r>
      <w:r>
        <w:rPr>
          <w:rFonts w:ascii="Arial" w:cs="Arial" w:eastAsia="Arial" w:hAnsi="Arial"/>
          <w:sz w:val="16"/>
          <w:szCs w:val="16"/>
          <w:u w:val="single" w:color="auto"/>
          <w:color w:val="auto"/>
        </w:rPr>
        <w:t>Monthly Financial Statements</w:t>
      </w:r>
      <w:r>
        <w:rPr>
          <w:rFonts w:ascii="Arial" w:cs="Arial" w:eastAsia="Arial" w:hAnsi="Arial"/>
          <w:sz w:val="16"/>
          <w:szCs w:val="16"/>
          <w:color w:val="auto"/>
        </w:rPr>
        <w:t>. As soon as available, but no later than thirty (30) days after the last day of each month, company prepared consolidated and consolidating balance sheet and income statement covering (i) at all times prior to the month ended April 30, 2020, ALX Ireland’s and its direct and indirect Subsidiaries’ consolidated operations for such month, and (ii) commencing with the month ended April 30, 2020, Parent’s and its direct and indirect Subsidiaries’ consolidated operations for such month, in each case, certified by a Responsible Officer and in a form of presentation reasonably acceptable to Agent (the “</w:t>
      </w:r>
      <w:r>
        <w:rPr>
          <w:rFonts w:ascii="Arial" w:cs="Arial" w:eastAsia="Arial" w:hAnsi="Arial"/>
          <w:sz w:val="16"/>
          <w:szCs w:val="16"/>
          <w:b w:val="1"/>
          <w:bCs w:val="1"/>
          <w:color w:val="auto"/>
        </w:rPr>
        <w:t>Monthly Financial Statements</w:t>
      </w:r>
      <w:r>
        <w:rPr>
          <w:rFonts w:ascii="Arial" w:cs="Arial" w:eastAsia="Arial" w:hAnsi="Arial"/>
          <w:sz w:val="16"/>
          <w:szCs w:val="16"/>
          <w:color w:val="auto"/>
        </w:rPr>
        <w:t>”);”</w:t>
      </w:r>
    </w:p>
    <w:p>
      <w:pPr>
        <w:spacing w:after="0" w:line="53"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 xml:space="preserve">“ (c) </w:t>
      </w:r>
      <w:r>
        <w:rPr>
          <w:rFonts w:ascii="Arial" w:cs="Arial" w:eastAsia="Arial" w:hAnsi="Arial"/>
          <w:sz w:val="18"/>
          <w:szCs w:val="18"/>
          <w:u w:val="single" w:color="auto"/>
          <w:color w:val="auto"/>
        </w:rPr>
        <w:t>Board Projections</w:t>
      </w:r>
      <w:r>
        <w:rPr>
          <w:rFonts w:ascii="Arial" w:cs="Arial" w:eastAsia="Arial" w:hAnsi="Arial"/>
          <w:sz w:val="18"/>
          <w:szCs w:val="18"/>
          <w:color w:val="auto"/>
        </w:rPr>
        <w:t>. As soon as available, at least annually, and in any event no later than the earlier to occur of (i) sixty (60) days after the end of each fiscal year of Parent and (ii) ten (10) days after Board approval, and contemporaneously with any updates or changes thereto, annual Board-approved operating budget and financial projections with respect to Parent and its direct and indirect Subsidiaries, in a form of presentation reasonably acceptable to Agent;”</w:t>
      </w:r>
    </w:p>
    <w:p>
      <w:pPr>
        <w:spacing w:after="0" w:line="78" w:lineRule="exact"/>
        <w:rPr>
          <w:sz w:val="20"/>
          <w:szCs w:val="20"/>
          <w:color w:val="auto"/>
        </w:rPr>
      </w:pPr>
    </w:p>
    <w:p>
      <w:pPr>
        <w:ind w:left="980" w:right="380"/>
        <w:spacing w:after="0" w:line="277" w:lineRule="auto"/>
        <w:rPr>
          <w:sz w:val="20"/>
          <w:szCs w:val="20"/>
          <w:color w:val="auto"/>
        </w:rPr>
      </w:pPr>
      <w:r>
        <w:rPr>
          <w:rFonts w:ascii="Arial" w:cs="Arial" w:eastAsia="Arial" w:hAnsi="Arial"/>
          <w:sz w:val="18"/>
          <w:szCs w:val="18"/>
          <w:color w:val="auto"/>
        </w:rPr>
        <w:t xml:space="preserve">“ (d) </w:t>
      </w:r>
      <w:r>
        <w:rPr>
          <w:rFonts w:ascii="Arial" w:cs="Arial" w:eastAsia="Arial" w:hAnsi="Arial"/>
          <w:sz w:val="18"/>
          <w:szCs w:val="18"/>
          <w:u w:val="single" w:color="auto"/>
          <w:color w:val="auto"/>
        </w:rPr>
        <w:t>Annual Audited Financial Statements</w:t>
      </w:r>
      <w:r>
        <w:rPr>
          <w:rFonts w:ascii="Arial" w:cs="Arial" w:eastAsia="Arial" w:hAnsi="Arial"/>
          <w:sz w:val="18"/>
          <w:szCs w:val="18"/>
          <w:color w:val="auto"/>
        </w:rPr>
        <w:t>. As soon as available, but no later than October 31</w:t>
      </w:r>
      <w:r>
        <w:rPr>
          <w:rFonts w:ascii="Arial" w:cs="Arial" w:eastAsia="Arial" w:hAnsi="Arial"/>
          <w:sz w:val="15"/>
          <w:szCs w:val="15"/>
          <w:color w:val="auto"/>
        </w:rPr>
        <w:t>st</w:t>
      </w:r>
      <w:r>
        <w:rPr>
          <w:rFonts w:ascii="Arial" w:cs="Arial" w:eastAsia="Arial" w:hAnsi="Arial"/>
          <w:sz w:val="18"/>
          <w:szCs w:val="18"/>
          <w:color w:val="auto"/>
        </w:rPr>
        <w:t xml:space="preserve"> of each year, beginning with ALX Ireland’s fiscal year ended December 31, 2019 and for each fiscal year of Parent thereafter, audited</w:t>
      </w:r>
    </w:p>
    <w:p>
      <w:pPr>
        <w:sectPr>
          <w:pgSz w:w="11900" w:h="16838" w:orient="portrait"/>
          <w:cols w:equalWidth="0" w:num="1">
            <w:col w:w="11000"/>
          </w:cols>
          <w:pgMar w:left="440" w:top="274" w:right="459" w:bottom="1440" w:gutter="0" w:footer="0" w:header="0"/>
        </w:sectPr>
      </w:pPr>
    </w:p>
    <w:bookmarkStart w:id="328" w:name="page329"/>
    <w:bookmarkEnd w:id="328"/>
    <w:p>
      <w:pPr>
        <w:ind w:left="440" w:right="3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consolidated financial statements prepared under GAAP, consistently applied, together with an unqualified opinion (other than a qualification as to going concern typical for venture backed companies similar to Parent) on the financial statements from an independent certified public accounting firm reasonably acceptable to Agent. Notwithstanding the foregoing, if the Board determines in its reasonable discretion not to require an audit for any fiscal year of Parent, then Agent shall accept company prepared annual consolidated financial statements no later than thirty (30) days after the end of such fiscal year of Parent;”</w:t>
      </w:r>
    </w:p>
    <w:p>
      <w:pPr>
        <w:spacing w:after="0" w:line="53" w:lineRule="exact"/>
        <w:rPr>
          <w:sz w:val="20"/>
          <w:szCs w:val="20"/>
          <w:color w:val="auto"/>
        </w:rPr>
      </w:pPr>
    </w:p>
    <w:p>
      <w:pPr>
        <w:ind w:left="440" w:right="160"/>
        <w:spacing w:after="0" w:line="308" w:lineRule="auto"/>
        <w:rPr>
          <w:sz w:val="20"/>
          <w:szCs w:val="20"/>
          <w:color w:val="auto"/>
        </w:rPr>
      </w:pPr>
      <w:r>
        <w:rPr>
          <w:rFonts w:ascii="Arial" w:cs="Arial" w:eastAsia="Arial" w:hAnsi="Arial"/>
          <w:sz w:val="17"/>
          <w:szCs w:val="17"/>
          <w:color w:val="auto"/>
        </w:rPr>
        <w:t xml:space="preserve">“ (e) </w:t>
      </w:r>
      <w:r>
        <w:rPr>
          <w:rFonts w:ascii="Arial" w:cs="Arial" w:eastAsia="Arial" w:hAnsi="Arial"/>
          <w:sz w:val="17"/>
          <w:szCs w:val="17"/>
          <w:u w:val="single" w:color="auto"/>
          <w:color w:val="auto"/>
        </w:rPr>
        <w:t>Other Statements</w:t>
      </w:r>
      <w:r>
        <w:rPr>
          <w:rFonts w:ascii="Arial" w:cs="Arial" w:eastAsia="Arial" w:hAnsi="Arial"/>
          <w:sz w:val="17"/>
          <w:szCs w:val="17"/>
          <w:color w:val="auto"/>
        </w:rPr>
        <w:t>. Within five (5) days of delivery, copies of all statements, reports and notices made available to Parent’s security holders (in their capacity as such) or to any holders of Subordinated Debt (in their capacity as such);”</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  (f)  </w:t>
      </w:r>
      <w:r>
        <w:rPr>
          <w:rFonts w:ascii="Arial" w:cs="Arial" w:eastAsia="Arial" w:hAnsi="Arial"/>
          <w:sz w:val="17"/>
          <w:szCs w:val="17"/>
          <w:u w:val="single" w:color="auto"/>
          <w:color w:val="auto"/>
        </w:rPr>
        <w:t>SEC Filings</w:t>
      </w:r>
      <w:r>
        <w:rPr>
          <w:rFonts w:ascii="Arial" w:cs="Arial" w:eastAsia="Arial" w:hAnsi="Arial"/>
          <w:sz w:val="17"/>
          <w:szCs w:val="17"/>
          <w:color w:val="auto"/>
        </w:rPr>
        <w:t>. In the event that Parent becomes subject to the reporting requirements under the Exchange Act, within five</w:t>
      </w:r>
    </w:p>
    <w:p>
      <w:pPr>
        <w:spacing w:after="0" w:line="34"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(5) days of filing, copies of all periodic and other reports, proxy statements and other materials filed by Parent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Parent posts such documents, or provides a link thereto, on Parent’s website on the internet at Parent’s website address; provided, however, Borrower shall promptly notify Agent and the Lenders in writing (which may be by electronic mail) of the posting of any such documents;”</w:t>
      </w:r>
    </w:p>
    <w:p>
      <w:pPr>
        <w:spacing w:after="0" w:line="1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Section 13.2 (Successors and Assigns)</w:t>
      </w:r>
      <w:r>
        <w:rPr>
          <w:rFonts w:ascii="Arial" w:cs="Arial" w:eastAsia="Arial" w:hAnsi="Arial"/>
          <w:sz w:val="16"/>
          <w:szCs w:val="16"/>
          <w:color w:val="auto"/>
        </w:rPr>
        <w:t>. Section 13.2 is amended in its entirety and replaced with the following: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13.2  Successors and Assigns</w:t>
      </w:r>
      <w:r>
        <w:rPr>
          <w:rFonts w:ascii="Arial" w:cs="Arial" w:eastAsia="Arial" w:hAnsi="Arial"/>
          <w:sz w:val="18"/>
          <w:szCs w:val="18"/>
          <w:color w:val="auto"/>
        </w:rPr>
        <w:t>.</w:t>
      </w:r>
    </w:p>
    <w:p>
      <w:pPr>
        <w:spacing w:after="0" w:line="121" w:lineRule="exact"/>
        <w:rPr>
          <w:sz w:val="20"/>
          <w:szCs w:val="20"/>
          <w:color w:val="auto"/>
        </w:rPr>
      </w:pPr>
    </w:p>
    <w:p>
      <w:pPr>
        <w:ind w:left="440" w:right="40" w:firstLine="391"/>
        <w:spacing w:after="0" w:line="273" w:lineRule="auto"/>
        <w:tabs>
          <w:tab w:leader="none" w:pos="1200" w:val="left"/>
        </w:tabs>
        <w:numPr>
          <w:ilvl w:val="1"/>
          <w:numId w:val="293"/>
        </w:numPr>
        <w:rPr>
          <w:rFonts w:ascii="Arial" w:cs="Arial" w:eastAsia="Arial" w:hAnsi="Arial"/>
          <w:sz w:val="17"/>
          <w:szCs w:val="17"/>
          <w:color w:val="auto"/>
        </w:rPr>
      </w:pPr>
      <w:r>
        <w:rPr>
          <w:rFonts w:ascii="Arial" w:cs="Arial" w:eastAsia="Arial" w:hAnsi="Arial"/>
          <w:sz w:val="17"/>
          <w:szCs w:val="17"/>
          <w:color w:val="auto"/>
        </w:rPr>
        <w:t>This Agreement binds and is for the benefit of the successors and permitted assigns of each party. Borrower may not assign this Agreement or any rights or obligations under it without Agent and Lenders’ prior written consent (which may be granted or withheld in Agent’s and Lenders’ sole discretion). Agent and each Lender has the right, without the consent of or notice to Borrower, to sell, transfer, assign, negotiate, or grant participation in all or any part of, or any interest in, such Agent or Lender’s obligations, rights, and benefits under this Agreement and the other Loan Documents (other than the Warrant, as to which assignment, transfer and other such actions are governed by the terms thereof).</w:t>
      </w:r>
    </w:p>
    <w:p>
      <w:pPr>
        <w:spacing w:after="0" w:line="69" w:lineRule="exact"/>
        <w:rPr>
          <w:rFonts w:ascii="Arial" w:cs="Arial" w:eastAsia="Arial" w:hAnsi="Arial"/>
          <w:sz w:val="17"/>
          <w:szCs w:val="17"/>
          <w:color w:val="auto"/>
        </w:rPr>
      </w:pPr>
    </w:p>
    <w:p>
      <w:pPr>
        <w:ind w:left="440" w:right="160" w:firstLine="391"/>
        <w:spacing w:after="0" w:line="263" w:lineRule="auto"/>
        <w:tabs>
          <w:tab w:leader="none" w:pos="1203"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Agent, acting solely for this purpose as a non-fiduciary agent of the Borrower, shall maintain a copy of each assignment delivered to it and register for the recordation of the names and addresses of the Lenders, including the principal amount of (and stated interest on) the portion of the Term Loan Advance owing to</w:t>
      </w:r>
    </w:p>
    <w:p>
      <w:pPr>
        <w:sectPr>
          <w:pgSz w:w="11900" w:h="16838" w:orient="portrait"/>
          <w:cols w:equalWidth="0" w:num="1">
            <w:col w:w="10000"/>
          </w:cols>
          <w:pgMar w:left="1420" w:top="274" w:right="479" w:bottom="1440" w:gutter="0" w:footer="0" w:header="0"/>
        </w:sectPr>
      </w:pPr>
    </w:p>
    <w:bookmarkStart w:id="329" w:name="page330"/>
    <w:bookmarkEnd w:id="329"/>
    <w:p>
      <w:pPr>
        <w:ind w:left="1420"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No assignment shall become effective unless and until such assignment is recorded in the Register pursuant to this Section 13.2.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50" w:lineRule="exact"/>
        <w:rPr>
          <w:sz w:val="20"/>
          <w:szCs w:val="20"/>
          <w:color w:val="auto"/>
        </w:rPr>
      </w:pPr>
    </w:p>
    <w:p>
      <w:pPr>
        <w:ind w:left="1420" w:firstLine="391"/>
        <w:spacing w:after="0" w:line="269" w:lineRule="auto"/>
        <w:tabs>
          <w:tab w:leader="none" w:pos="21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To the extent any Lender sells a participation, it shall, acting solely for this purpose as a non-fiduciary agent of Borrower, maintain a register on which it enters the name and address of each participant and the principal amounts (and stated interest) of each participant’s interest in the Term Loan Advance or other obligations under the Loan Documents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provided that the Lenders shall not have any obligation to disclose all or any portion of the Participant Register (including the identity of any participant or any information relating to a participant’s interest in a Term Loan Advance or any commitments or other obligations under any Loan Document) to any person except to the extent that such disclosure is necessary to establish that such Term Loan Advance or any commitment or other obligation is in registered form under Section 5f.103-1(c) of the United States Treasury Regulations. The entries in the Participant Register shall be conclusive absent manifest error, and the Lenders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Section 13.12 (Electronic Execution of Documents). </w:t>
      </w:r>
      <w:r>
        <w:rPr>
          <w:rFonts w:ascii="Arial" w:cs="Arial" w:eastAsia="Arial" w:hAnsi="Arial"/>
          <w:sz w:val="16"/>
          <w:szCs w:val="16"/>
          <w:color w:val="auto"/>
        </w:rPr>
        <w:t>Section 13.12 is amended in its entirety and replaced with the following:</w:t>
      </w:r>
    </w:p>
    <w:p>
      <w:pPr>
        <w:spacing w:after="0" w:line="117" w:lineRule="exact"/>
        <w:rPr>
          <w:sz w:val="20"/>
          <w:szCs w:val="20"/>
          <w:color w:val="auto"/>
        </w:rPr>
      </w:pPr>
    </w:p>
    <w:p>
      <w:pPr>
        <w:ind w:left="980" w:right="80"/>
        <w:spacing w:after="0" w:line="29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13.12 Electronic Execution of Documents</w:t>
      </w:r>
      <w:r>
        <w:rPr>
          <w:rFonts w:ascii="Arial" w:cs="Arial" w:eastAsia="Arial" w:hAnsi="Arial"/>
          <w:sz w:val="16"/>
          <w:szCs w:val="16"/>
          <w:color w:val="auto"/>
        </w:rPr>
        <w:t>. The words “execution,” “signed,” “signature” and words of like import in any Loan Document shall be deemed to include electronic signatures, including any Electronic Signature as defined in the Electronic Transactions Law (2003 Revision) of the Cayman Islands (the “</w:t>
      </w:r>
      <w:r>
        <w:rPr>
          <w:rFonts w:ascii="Arial" w:cs="Arial" w:eastAsia="Arial" w:hAnsi="Arial"/>
          <w:sz w:val="16"/>
          <w:szCs w:val="16"/>
          <w:b w:val="1"/>
          <w:bCs w:val="1"/>
          <w:color w:val="auto"/>
        </w:rPr>
        <w:t>Cayman Islands Electronic Signature Law</w:t>
      </w:r>
      <w:r>
        <w:rPr>
          <w:rFonts w:ascii="Arial" w:cs="Arial" w:eastAsia="Arial" w:hAnsi="Arial"/>
          <w:sz w:val="16"/>
          <w:szCs w:val="16"/>
          <w:color w:val="auto"/>
        </w:rPr>
        <w:t>”), or the keeping of records in electronic form, including any Electronic Record, as defined in Cayman Islands Electronic Signature Law,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or the Cayman Islands Electronic Signature Law; provided, however that sections 8 and 19(3) of the Cayman Islands Electronic Signature Law shall not apply to this Agreement or the execution or delivery thereof.”</w:t>
      </w:r>
    </w:p>
    <w:p>
      <w:pPr>
        <w:spacing w:after="0" w:line="159"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b w:val="1"/>
          <w:bCs w:val="1"/>
          <w:color w:val="auto"/>
        </w:rPr>
        <w:t>7.7</w:t>
      </w:r>
      <w:r>
        <w:rPr>
          <w:sz w:val="20"/>
          <w:szCs w:val="20"/>
          <w:color w:val="auto"/>
        </w:rPr>
        <w:tab/>
      </w:r>
      <w:r>
        <w:rPr>
          <w:rFonts w:ascii="Arial" w:cs="Arial" w:eastAsia="Arial" w:hAnsi="Arial"/>
          <w:sz w:val="16"/>
          <w:szCs w:val="16"/>
          <w:b w:val="1"/>
          <w:bCs w:val="1"/>
          <w:color w:val="auto"/>
        </w:rPr>
        <w:t>Section 14.1 (Definitions)</w:t>
      </w:r>
      <w:r>
        <w:rPr>
          <w:rFonts w:ascii="Arial" w:cs="Arial" w:eastAsia="Arial" w:hAnsi="Arial"/>
          <w:sz w:val="16"/>
          <w:szCs w:val="16"/>
          <w:color w:val="auto"/>
        </w:rPr>
        <w:t>. The following new terms and their respective definitions are hereby inserted to appear alphabetically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Section 14.1 of the Loan Agreement:</w:t>
      </w:r>
    </w:p>
    <w:p>
      <w:pPr>
        <w:sectPr>
          <w:pgSz w:w="11900" w:h="16838" w:orient="portrait"/>
          <w:cols w:equalWidth="0" w:num="1">
            <w:col w:w="11020"/>
          </w:cols>
          <w:pgMar w:left="440" w:top="270" w:right="439" w:bottom="1440" w:gutter="0" w:footer="0" w:header="0"/>
        </w:sectPr>
      </w:pPr>
    </w:p>
    <w:bookmarkStart w:id="330" w:name="page331"/>
    <w:bookmarkEnd w:id="3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w:t>
      </w:r>
      <w:r>
        <w:rPr>
          <w:rFonts w:ascii="Arial" w:cs="Arial" w:eastAsia="Arial" w:hAnsi="Arial"/>
          <w:sz w:val="18"/>
          <w:szCs w:val="18"/>
          <w:b w:val="1"/>
          <w:bCs w:val="1"/>
          <w:color w:val="auto"/>
        </w:rPr>
        <w:t>Cayman Islands Electronic Signature Law</w:t>
      </w:r>
      <w:r>
        <w:rPr>
          <w:rFonts w:ascii="Arial" w:cs="Arial" w:eastAsia="Arial" w:hAnsi="Arial"/>
          <w:sz w:val="18"/>
          <w:szCs w:val="18"/>
          <w:color w:val="auto"/>
        </w:rPr>
        <w:t>” is defined in Section 13.12.”</w:t>
      </w:r>
    </w:p>
    <w:p>
      <w:pPr>
        <w:spacing w:after="0" w:line="117" w:lineRule="exact"/>
        <w:rPr>
          <w:sz w:val="20"/>
          <w:szCs w:val="20"/>
          <w:color w:val="auto"/>
        </w:rPr>
      </w:pPr>
    </w:p>
    <w:p>
      <w:pPr>
        <w:ind w:left="980" w:right="100"/>
        <w:spacing w:after="0" w:line="277"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FATCA</w:t>
      </w:r>
      <w:r>
        <w:rPr>
          <w:rFonts w:ascii="Arial" w:cs="Arial" w:eastAsia="Arial" w:hAnsi="Arial"/>
          <w:sz w:val="17"/>
          <w:szCs w:val="17"/>
          <w:color w:val="auto"/>
        </w:rPr>
        <w:t>” means Sections 1471 through 1474 of the Internal Revenue Code as of the date of this Agreement (or any amended or successor version that is substantially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w:t>
      </w:r>
    </w:p>
    <w:p>
      <w:pPr>
        <w:spacing w:after="0" w:line="5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First Amendment Effective Date</w:t>
      </w:r>
      <w:r>
        <w:rPr>
          <w:rFonts w:ascii="Arial" w:cs="Arial" w:eastAsia="Arial" w:hAnsi="Arial"/>
          <w:sz w:val="18"/>
          <w:szCs w:val="18"/>
          <w:color w:val="auto"/>
        </w:rPr>
        <w:t>” is May 21, 2020</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U.S. Internal Revenue Code of 1986, as amended.”</w:t>
      </w:r>
    </w:p>
    <w:p>
      <w:pPr>
        <w:spacing w:after="0" w:line="117" w:lineRule="exact"/>
        <w:rPr>
          <w:sz w:val="20"/>
          <w:szCs w:val="20"/>
          <w:color w:val="auto"/>
        </w:rPr>
      </w:pPr>
    </w:p>
    <w:p>
      <w:pPr>
        <w:ind w:left="980" w:right="60"/>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Non-U.S. Lender</w:t>
      </w:r>
      <w:r>
        <w:rPr>
          <w:rFonts w:ascii="Arial" w:cs="Arial" w:eastAsia="Arial" w:hAnsi="Arial"/>
          <w:sz w:val="18"/>
          <w:szCs w:val="18"/>
          <w:color w:val="auto"/>
        </w:rPr>
        <w:t>” means, in the case of a Borrower that is a U.S. Person, any Lender or Agent (including any assignee thereof under Section 13.2 of this Agreement) that is not a U.S. Person.”</w:t>
      </w:r>
    </w:p>
    <w:p>
      <w:pPr>
        <w:spacing w:after="0" w:line="5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Parent</w:t>
      </w:r>
      <w:r>
        <w:rPr>
          <w:rFonts w:ascii="Arial" w:cs="Arial" w:eastAsia="Arial" w:hAnsi="Arial"/>
          <w:sz w:val="18"/>
          <w:szCs w:val="18"/>
          <w:color w:val="auto"/>
        </w:rPr>
        <w:t>” is defined in the preamble hereof.”</w:t>
      </w:r>
    </w:p>
    <w:p>
      <w:pPr>
        <w:spacing w:after="0" w:line="117" w:lineRule="exact"/>
        <w:rPr>
          <w:sz w:val="20"/>
          <w:szCs w:val="20"/>
          <w:color w:val="auto"/>
        </w:rPr>
      </w:pPr>
    </w:p>
    <w:p>
      <w:pPr>
        <w:ind w:left="980" w:right="5860"/>
        <w:spacing w:after="0" w:line="375"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Participant Register</w:t>
      </w:r>
      <w:r>
        <w:rPr>
          <w:rFonts w:ascii="Arial" w:cs="Arial" w:eastAsia="Arial" w:hAnsi="Arial"/>
          <w:sz w:val="18"/>
          <w:szCs w:val="18"/>
          <w:color w:val="auto"/>
        </w:rPr>
        <w:t>” is defined in Section 13.2(c).” “ “</w:t>
      </w:r>
      <w:r>
        <w:rPr>
          <w:rFonts w:ascii="Arial" w:cs="Arial" w:eastAsia="Arial" w:hAnsi="Arial"/>
          <w:sz w:val="18"/>
          <w:szCs w:val="18"/>
          <w:b w:val="1"/>
          <w:bCs w:val="1"/>
          <w:color w:val="auto"/>
        </w:rPr>
        <w:t>Register</w:t>
      </w:r>
      <w:r>
        <w:rPr>
          <w:rFonts w:ascii="Arial" w:cs="Arial" w:eastAsia="Arial" w:hAnsi="Arial"/>
          <w:sz w:val="18"/>
          <w:szCs w:val="18"/>
          <w:color w:val="auto"/>
        </w:rPr>
        <w:t>” is defined in Section 13.2(c).”</w:t>
      </w:r>
    </w:p>
    <w:p>
      <w:pPr>
        <w:spacing w:after="0" w:line="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Taxes</w:t>
      </w:r>
      <w:r>
        <w:rPr>
          <w:rFonts w:ascii="Arial" w:cs="Arial" w:eastAsia="Arial" w:hAnsi="Arial"/>
          <w:sz w:val="18"/>
          <w:szCs w:val="18"/>
          <w:color w:val="auto"/>
        </w:rPr>
        <w:t>” is defined in Section 2.7(a).”</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U.S. Borrower</w:t>
      </w:r>
      <w:r>
        <w:rPr>
          <w:rFonts w:ascii="Arial" w:cs="Arial" w:eastAsia="Arial" w:hAnsi="Arial"/>
          <w:sz w:val="18"/>
          <w:szCs w:val="18"/>
          <w:color w:val="auto"/>
        </w:rPr>
        <w:t>” means any Borrower that is a U.S. Person.”</w:t>
      </w:r>
    </w:p>
    <w:p>
      <w:pPr>
        <w:spacing w:after="0" w:line="117" w:lineRule="exact"/>
        <w:rPr>
          <w:sz w:val="20"/>
          <w:szCs w:val="20"/>
          <w:color w:val="auto"/>
        </w:rPr>
      </w:pPr>
    </w:p>
    <w:p>
      <w:pPr>
        <w:ind w:left="980" w:right="440"/>
        <w:spacing w:after="0" w:line="282"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U.S. Lender</w:t>
      </w:r>
      <w:r>
        <w:rPr>
          <w:rFonts w:ascii="Arial" w:cs="Arial" w:eastAsia="Arial" w:hAnsi="Arial"/>
          <w:sz w:val="18"/>
          <w:szCs w:val="18"/>
          <w:color w:val="auto"/>
        </w:rPr>
        <w:t>” means, in the case of a Borrower that is a U.S. Person, any Lender or Agent (including any assignee thereof under Section 13.2 of this Agreement) that is a U.S. Person.”</w:t>
      </w:r>
    </w:p>
    <w:p>
      <w:pPr>
        <w:spacing w:after="0" w:line="5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7.8 Section 14.1 (Definitions)</w:t>
      </w:r>
      <w:r>
        <w:rPr>
          <w:rFonts w:ascii="Arial" w:cs="Arial" w:eastAsia="Arial" w:hAnsi="Arial"/>
          <w:sz w:val="18"/>
          <w:szCs w:val="18"/>
          <w:color w:val="auto"/>
        </w:rPr>
        <w:t>. The following terms and their respective definitions appearing in Section 14.1 of the Loan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in their entirety and replaced with the following:</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Board</w:t>
      </w:r>
      <w:r>
        <w:rPr>
          <w:rFonts w:ascii="Arial" w:cs="Arial" w:eastAsia="Arial" w:hAnsi="Arial"/>
          <w:sz w:val="18"/>
          <w:szCs w:val="18"/>
          <w:color w:val="auto"/>
        </w:rPr>
        <w:t>” means Borrower’s board of directors, as applicable.”</w:t>
      </w:r>
    </w:p>
    <w:p>
      <w:pPr>
        <w:spacing w:after="0" w:line="117" w:lineRule="exact"/>
        <w:rPr>
          <w:sz w:val="20"/>
          <w:szCs w:val="20"/>
          <w:color w:val="auto"/>
        </w:rPr>
      </w:pPr>
    </w:p>
    <w:p>
      <w:pPr>
        <w:jc w:val="both"/>
        <w:ind w:left="980" w:right="20"/>
        <w:spacing w:after="0" w:line="266"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Equity Event</w:t>
      </w:r>
      <w:r>
        <w:rPr>
          <w:rFonts w:ascii="Arial" w:cs="Arial" w:eastAsia="Arial" w:hAnsi="Arial"/>
          <w:sz w:val="18"/>
          <w:szCs w:val="18"/>
          <w:color w:val="auto"/>
        </w:rPr>
        <w:t>” means Borrower has provided Agent and the Lenders with evidence, satisfactory to Agent and each Lender in Agent’s and each Lender’s sole and absolute discretion, that ALX Ireland has received, after the Effective Date, unrestricted and unencumbered net cash proceeds in an amount of</w:t>
      </w:r>
    </w:p>
    <w:p>
      <w:pPr>
        <w:sectPr>
          <w:pgSz w:w="11900" w:h="16838" w:orient="portrait"/>
          <w:cols w:equalWidth="0" w:num="1">
            <w:col w:w="11020"/>
          </w:cols>
          <w:pgMar w:left="440" w:top="270" w:right="439" w:bottom="1440" w:gutter="0" w:footer="0" w:header="0"/>
        </w:sectPr>
      </w:pPr>
    </w:p>
    <w:bookmarkStart w:id="331" w:name="page332"/>
    <w:bookmarkEnd w:id="331"/>
    <w:p>
      <w:pPr>
        <w:jc w:val="both"/>
        <w:ind w:right="4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least Fifty Million Dollars ($50,000,000.00) from the issuance and sale by ALX Ireland of its equity securities to investors (which amount shall be inclusive of any funds received by ALX Ireland with respect to the Interest Only Extension Event). Agent and each Lender acknowledge and agree that the Equity Event has occurred.”</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w:t>
      </w:r>
      <w:r>
        <w:rPr>
          <w:rFonts w:ascii="Arial" w:cs="Arial" w:eastAsia="Arial" w:hAnsi="Arial"/>
          <w:sz w:val="16"/>
          <w:szCs w:val="16"/>
          <w:b w:val="1"/>
          <w:bCs w:val="1"/>
          <w:color w:val="auto"/>
        </w:rPr>
        <w:t>Interest Only Extension Event</w:t>
      </w:r>
      <w:r>
        <w:rPr>
          <w:rFonts w:ascii="Arial" w:cs="Arial" w:eastAsia="Arial" w:hAnsi="Arial"/>
          <w:sz w:val="16"/>
          <w:szCs w:val="16"/>
          <w:color w:val="auto"/>
        </w:rPr>
        <w:t>” means Borrower has provided Agent and the Lenders with evidence, satisfactory to Agent and each Lender in Agent’s and each Lender’s sole and absolute discretion, on or prior to March 31, 2020, that ALX Ireland has received, after the Effective Date, but on or prior to March 31, 2020, unrestricted and unencumbered net cash proceeds in an amount of at least Forty Million Dollars ($40,000,000.00) from either (a) the issuance and sale by ALX Ireland of its equity securities to investors or (b) a partnership, joint-venture or strategic alliance. Agent and each Lender acknowledge and agree that the Interest Only Extension Event has occurred.”</w:t>
      </w:r>
    </w:p>
    <w:p>
      <w:pPr>
        <w:spacing w:after="0" w:line="45"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Agent’s, for the ratable benefit of the Lenders, Lien in the Collateral or in the value of such Collateral; (b) a material adverse change in the business, operations, financial condition of Borrower; or (c) a material impairment of the prospect of repayment of any portion of the Obligations.”</w:t>
      </w:r>
    </w:p>
    <w:p>
      <w:pPr>
        <w:spacing w:after="0" w:line="67"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exempted company, exempted limited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6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Term Sheet Event</w:t>
      </w:r>
      <w:r>
        <w:rPr>
          <w:rFonts w:ascii="Arial" w:cs="Arial" w:eastAsia="Arial" w:hAnsi="Arial"/>
          <w:sz w:val="17"/>
          <w:szCs w:val="17"/>
          <w:color w:val="auto"/>
        </w:rPr>
        <w:t>” means confirmation by Agent, on or prior to March 31, 2020, that Borrower has delivered to Agent, a signed, binding, and unconditional term sheet (“</w:t>
      </w:r>
      <w:r>
        <w:rPr>
          <w:rFonts w:ascii="Arial" w:cs="Arial" w:eastAsia="Arial" w:hAnsi="Arial"/>
          <w:sz w:val="17"/>
          <w:szCs w:val="17"/>
          <w:b w:val="1"/>
          <w:bCs w:val="1"/>
          <w:color w:val="auto"/>
        </w:rPr>
        <w:t>Term Sheet</w:t>
      </w:r>
      <w:r>
        <w:rPr>
          <w:rFonts w:ascii="Arial" w:cs="Arial" w:eastAsia="Arial" w:hAnsi="Arial"/>
          <w:sz w:val="17"/>
          <w:szCs w:val="17"/>
          <w:color w:val="auto"/>
        </w:rPr>
        <w:t>”) from one or more parties, satisfactory to Agent and each Lender, in Agent’s and each Lender’s sole but reasonable discretion, in favor of, and accepted by Borrower or ALX Ireland, evidencing such party’s or parties’ commitment to either (i) purchase equity securities of Borrower or ALX Ireland or enter into a partnership, joint venture, or strategic alliance (on terms satisfactory to Agent and each Lender in Agent’s and each Lender’s sole but reasonable discretion), which would result in the receipt by Borrower or ALX Ireland of unrestricted and unencumbered net cash proceeds in an amount of at least Thirty Million Dollars ($30,000,000.00) or (ii) merge or consolidate with another Person, which merger or consolidation agreement shall provide for an up-front cash payment to Borrower or ALX Ireland in an amount</w:t>
      </w:r>
    </w:p>
    <w:p>
      <w:pPr>
        <w:sectPr>
          <w:pgSz w:w="11900" w:h="16838" w:orient="portrait"/>
          <w:cols w:equalWidth="0" w:num="1">
            <w:col w:w="10020"/>
          </w:cols>
          <w:pgMar w:left="1420" w:top="274" w:right="459" w:bottom="1440" w:gutter="0" w:footer="0" w:header="0"/>
        </w:sectPr>
      </w:pPr>
    </w:p>
    <w:bookmarkStart w:id="332" w:name="page333"/>
    <w:bookmarkEnd w:id="332"/>
    <w:p>
      <w:pPr>
        <w:jc w:val="both"/>
        <w:ind w:left="98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at least One Hundred Million Dollars ($100,000,000.00); provided that, in the case of either (i) or (ii) herein, such proposed transaction is consummated and Borrower or ALX Ireland has received such funds after the Effective Date, but no later than ninety (90) days after the execution of such Term Sheet. Agent and each Lender acknowledge and agree that the Term Sheet Event has occurred.”</w:t>
      </w:r>
    </w:p>
    <w:p>
      <w:pPr>
        <w:spacing w:after="0" w:line="37" w:lineRule="exact"/>
        <w:rPr>
          <w:sz w:val="20"/>
          <w:szCs w:val="20"/>
          <w:color w:val="auto"/>
        </w:rPr>
      </w:pPr>
    </w:p>
    <w:p>
      <w:pPr>
        <w:ind w:left="984" w:right="140"/>
        <w:spacing w:after="0" w:line="261" w:lineRule="auto"/>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Warrant</w:t>
      </w:r>
      <w:r>
        <w:rPr>
          <w:rFonts w:ascii="Arial" w:cs="Arial" w:eastAsia="Arial" w:hAnsi="Arial"/>
          <w:sz w:val="18"/>
          <w:szCs w:val="18"/>
          <w:color w:val="auto"/>
        </w:rPr>
        <w:t>” means, collectively, (a) that certain amended and restated warrant to purchase stock dated as of the First Amendment Effective Date between Parent and SVB Financial Group and (b) that certain amended and restated warrant to purchase stock dated as of the First Amendment Effective Date between Parent and WestRiver, in each case, as may be amended, modified, supplemented and/or restated from time to time.”</w:t>
      </w:r>
    </w:p>
    <w:p>
      <w:pPr>
        <w:spacing w:after="0" w:line="180" w:lineRule="exact"/>
        <w:rPr>
          <w:sz w:val="20"/>
          <w:szCs w:val="20"/>
          <w:color w:val="auto"/>
        </w:rPr>
      </w:pPr>
    </w:p>
    <w:p>
      <w:pPr>
        <w:ind w:left="4" w:right="220" w:firstLine="991"/>
        <w:spacing w:after="0" w:line="282" w:lineRule="auto"/>
        <w:rPr>
          <w:sz w:val="20"/>
          <w:szCs w:val="20"/>
          <w:color w:val="auto"/>
        </w:rPr>
      </w:pPr>
      <w:r>
        <w:rPr>
          <w:rFonts w:ascii="Arial" w:cs="Arial" w:eastAsia="Arial" w:hAnsi="Arial"/>
          <w:sz w:val="18"/>
          <w:szCs w:val="18"/>
          <w:b w:val="1"/>
          <w:bCs w:val="1"/>
          <w:color w:val="auto"/>
        </w:rPr>
        <w:t xml:space="preserve">7.9 Exhibit B (Compliance Certificate). </w:t>
      </w:r>
      <w:r>
        <w:rPr>
          <w:rFonts w:ascii="Arial" w:cs="Arial" w:eastAsia="Arial" w:hAnsi="Arial"/>
          <w:sz w:val="18"/>
          <w:szCs w:val="18"/>
          <w:color w:val="auto"/>
        </w:rPr>
        <w:t>The Compliance Certificate appearing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Loan Agreement is deleted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entirety and replaced with the Compliance Certificate attached as </w:t>
      </w:r>
      <w:r>
        <w:rPr>
          <w:rFonts w:ascii="Arial" w:cs="Arial" w:eastAsia="Arial" w:hAnsi="Arial"/>
          <w:sz w:val="18"/>
          <w:szCs w:val="18"/>
          <w:b w:val="1"/>
          <w:bCs w:val="1"/>
          <w:u w:val="single" w:color="auto"/>
          <w:color w:val="auto"/>
        </w:rPr>
        <w:t>Schedule 3</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left="4" w:right="180" w:firstLine="991"/>
        <w:spacing w:after="0" w:line="347" w:lineRule="auto"/>
        <w:rPr>
          <w:sz w:val="20"/>
          <w:szCs w:val="20"/>
          <w:color w:val="auto"/>
        </w:rPr>
      </w:pPr>
      <w:r>
        <w:rPr>
          <w:rFonts w:ascii="Arial" w:cs="Arial" w:eastAsia="Arial" w:hAnsi="Arial"/>
          <w:sz w:val="16"/>
          <w:szCs w:val="16"/>
          <w:b w:val="1"/>
          <w:bCs w:val="1"/>
          <w:color w:val="auto"/>
        </w:rPr>
        <w:t xml:space="preserve">7.10 Exhibit C (Loan Payment/Advance Request Form). </w:t>
      </w:r>
      <w:r>
        <w:rPr>
          <w:rFonts w:ascii="Arial" w:cs="Arial" w:eastAsia="Arial" w:hAnsi="Arial"/>
          <w:sz w:val="16"/>
          <w:szCs w:val="16"/>
          <w:color w:val="auto"/>
        </w:rPr>
        <w:t>The Loan Payment/Advance Request Form appearing as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Exhibit C</w:t>
      </w:r>
      <w:r>
        <w:rPr>
          <w:rFonts w:ascii="Arial" w:cs="Arial" w:eastAsia="Arial" w:hAnsi="Arial"/>
          <w:sz w:val="16"/>
          <w:szCs w:val="16"/>
          <w:b w:val="1"/>
          <w:bCs w:val="1"/>
          <w:color w:val="auto"/>
        </w:rPr>
        <w:t xml:space="preserve"> </w:t>
      </w:r>
      <w:r>
        <w:rPr>
          <w:rFonts w:ascii="Arial" w:cs="Arial" w:eastAsia="Arial" w:hAnsi="Arial"/>
          <w:sz w:val="16"/>
          <w:szCs w:val="16"/>
          <w:color w:val="auto"/>
        </w:rPr>
        <w:t>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Loan Agreement is deleted in its entirety and replaced with the Loan Payment/Advance Request Form attached as </w:t>
      </w:r>
      <w:r>
        <w:rPr>
          <w:rFonts w:ascii="Arial" w:cs="Arial" w:eastAsia="Arial" w:hAnsi="Arial"/>
          <w:sz w:val="16"/>
          <w:szCs w:val="16"/>
          <w:b w:val="1"/>
          <w:bCs w:val="1"/>
          <w:u w:val="single" w:color="auto"/>
          <w:color w:val="auto"/>
        </w:rPr>
        <w:t>Schedule 4</w:t>
      </w:r>
      <w:r>
        <w:rPr>
          <w:rFonts w:ascii="Arial" w:cs="Arial" w:eastAsia="Arial" w:hAnsi="Arial"/>
          <w:sz w:val="16"/>
          <w:szCs w:val="16"/>
          <w:color w:val="auto"/>
        </w:rPr>
        <w:t xml:space="preserve"> attached hereto.</w:t>
      </w:r>
    </w:p>
    <w:p>
      <w:pPr>
        <w:spacing w:after="0" w:line="116" w:lineRule="exact"/>
        <w:rPr>
          <w:sz w:val="20"/>
          <w:szCs w:val="20"/>
          <w:color w:val="auto"/>
        </w:rPr>
      </w:pPr>
    </w:p>
    <w:p>
      <w:pPr>
        <w:ind w:left="4" w:right="520" w:firstLine="991"/>
        <w:spacing w:after="0" w:line="282" w:lineRule="auto"/>
        <w:rPr>
          <w:sz w:val="20"/>
          <w:szCs w:val="20"/>
          <w:color w:val="auto"/>
        </w:rPr>
      </w:pPr>
      <w:r>
        <w:rPr>
          <w:rFonts w:ascii="Arial" w:cs="Arial" w:eastAsia="Arial" w:hAnsi="Arial"/>
          <w:sz w:val="18"/>
          <w:szCs w:val="18"/>
          <w:b w:val="1"/>
          <w:bCs w:val="1"/>
          <w:color w:val="auto"/>
        </w:rPr>
        <w:t xml:space="preserve">7.11 Exhibit D (Disbursement Letter). </w:t>
      </w:r>
      <w:r>
        <w:rPr>
          <w:rFonts w:ascii="Arial" w:cs="Arial" w:eastAsia="Arial" w:hAnsi="Arial"/>
          <w:sz w:val="18"/>
          <w:szCs w:val="18"/>
          <w:color w:val="auto"/>
        </w:rPr>
        <w:t>The Disbursement Letter appearing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Loan Agreement is deleted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entirety and replaced with the Disbursement Letter attached as </w:t>
      </w:r>
      <w:r>
        <w:rPr>
          <w:rFonts w:ascii="Arial" w:cs="Arial" w:eastAsia="Arial" w:hAnsi="Arial"/>
          <w:sz w:val="18"/>
          <w:szCs w:val="18"/>
          <w:b w:val="1"/>
          <w:bCs w:val="1"/>
          <w:u w:val="single" w:color="auto"/>
          <w:color w:val="auto"/>
        </w:rPr>
        <w:t>Schedule 5</w:t>
      </w:r>
      <w:r>
        <w:rPr>
          <w:rFonts w:ascii="Arial" w:cs="Arial" w:eastAsia="Arial" w:hAnsi="Arial"/>
          <w:sz w:val="18"/>
          <w:szCs w:val="18"/>
          <w:color w:val="auto"/>
        </w:rPr>
        <w:t xml:space="preserve"> attached hereto.</w:t>
      </w:r>
    </w:p>
    <w:p>
      <w:pPr>
        <w:spacing w:after="0" w:line="162" w:lineRule="exact"/>
        <w:rPr>
          <w:sz w:val="20"/>
          <w:szCs w:val="20"/>
          <w:color w:val="auto"/>
        </w:rPr>
      </w:pPr>
    </w:p>
    <w:p>
      <w:pPr>
        <w:ind w:left="764" w:hanging="324"/>
        <w:spacing w:after="0"/>
        <w:tabs>
          <w:tab w:leader="none" w:pos="764"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Amendments.</w:t>
      </w:r>
    </w:p>
    <w:p>
      <w:pPr>
        <w:spacing w:after="0" w:line="225" w:lineRule="exact"/>
        <w:rPr>
          <w:sz w:val="20"/>
          <w:szCs w:val="20"/>
          <w:color w:val="auto"/>
        </w:rPr>
      </w:pPr>
    </w:p>
    <w:p>
      <w:pPr>
        <w:ind w:left="4" w:right="60" w:firstLine="991"/>
        <w:spacing w:after="0" w:line="293" w:lineRule="auto"/>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color w:val="auto"/>
        </w:rPr>
        <w:t>The amendments set forth in Section 7, above, are effective for the purposes set forth herein and shall be limited precisely as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not be deemed to (a) be a consent to any amendment, waiver or modification of any other term or condition of any Loan Document, or</w:t>
      </w:r>
    </w:p>
    <w:p>
      <w:pPr>
        <w:spacing w:after="0" w:line="1" w:lineRule="exact"/>
        <w:rPr>
          <w:sz w:val="20"/>
          <w:szCs w:val="20"/>
          <w:color w:val="auto"/>
        </w:rPr>
      </w:pPr>
    </w:p>
    <w:p>
      <w:pPr>
        <w:ind w:left="4" w:right="60" w:hanging="4"/>
        <w:spacing w:after="0" w:line="260" w:lineRule="auto"/>
        <w:tabs>
          <w:tab w:leader="none" w:pos="25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otherwise prejudice any right or remedy which Agent or the Lenders may now have or may have in the future under or in connection with any Loan Document.</w:t>
      </w:r>
    </w:p>
    <w:p>
      <w:pPr>
        <w:spacing w:after="0" w:line="181" w:lineRule="exact"/>
        <w:rPr>
          <w:sz w:val="20"/>
          <w:szCs w:val="20"/>
          <w:color w:val="auto"/>
        </w:rPr>
      </w:pPr>
    </w:p>
    <w:p>
      <w:pPr>
        <w:jc w:val="both"/>
        <w:ind w:left="4" w:firstLine="991"/>
        <w:spacing w:after="0" w:line="266"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left="4" w:right="40" w:firstLine="436"/>
        <w:spacing w:after="0" w:line="282" w:lineRule="auto"/>
        <w:tabs>
          <w:tab w:leader="none" w:pos="759"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Agent and the Lenders to enter into this Amendment, Borrower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Agent and the Lenders as follows:</w:t>
      </w:r>
    </w:p>
    <w:p>
      <w:pPr>
        <w:spacing w:after="0" w:line="54" w:lineRule="exact"/>
        <w:rPr>
          <w:sz w:val="20"/>
          <w:szCs w:val="20"/>
          <w:color w:val="auto"/>
        </w:rPr>
      </w:pPr>
    </w:p>
    <w:p>
      <w:pPr>
        <w:jc w:val="both"/>
        <w:ind w:left="4" w:right="100" w:firstLine="991"/>
        <w:spacing w:after="0" w:line="289" w:lineRule="auto"/>
        <w:rPr>
          <w:sz w:val="20"/>
          <w:szCs w:val="20"/>
          <w:color w:val="auto"/>
        </w:rPr>
      </w:pPr>
      <w:r>
        <w:rPr>
          <w:rFonts w:ascii="Arial" w:cs="Arial" w:eastAsia="Arial" w:hAnsi="Arial"/>
          <w:sz w:val="17"/>
          <w:szCs w:val="17"/>
          <w:b w:val="1"/>
          <w:bCs w:val="1"/>
          <w:color w:val="auto"/>
        </w:rPr>
        <w:t xml:space="preserve">9.1 </w:t>
      </w:r>
      <w:r>
        <w:rPr>
          <w:rFonts w:ascii="Arial" w:cs="Arial" w:eastAsia="Arial" w:hAnsi="Arial"/>
          <w:sz w:val="17"/>
          <w:szCs w:val="17"/>
          <w:color w:val="auto"/>
        </w:rPr>
        <w:t>Immediately after giving effect to this Amendment (a) the representations and warranties contained in the Loan Documents are true</w:t>
      </w:r>
      <w:r>
        <w:rPr>
          <w:rFonts w:ascii="Arial" w:cs="Arial" w:eastAsia="Arial" w:hAnsi="Arial"/>
          <w:sz w:val="17"/>
          <w:szCs w:val="17"/>
          <w:b w:val="1"/>
          <w:bCs w:val="1"/>
          <w:color w:val="auto"/>
        </w:rPr>
        <w:t xml:space="preserve"> </w:t>
      </w:r>
      <w:r>
        <w:rPr>
          <w:rFonts w:ascii="Arial" w:cs="Arial" w:eastAsia="Arial" w:hAnsi="Arial"/>
          <w:sz w:val="17"/>
          <w:szCs w:val="17"/>
          <w:color w:val="auto"/>
        </w:rPr>
        <w:t>and correct in all material respects as of the date hereof (except to the extent such representations and warranties relate to an earlier date, in which case they are true and correct as of such date), and (b) no Event of Default has occurred and is continuing;</w:t>
      </w:r>
    </w:p>
    <w:p>
      <w:pPr>
        <w:sectPr>
          <w:pgSz w:w="11900" w:h="16838" w:orient="portrait"/>
          <w:cols w:equalWidth="0" w:num="1">
            <w:col w:w="10964"/>
          </w:cols>
          <w:pgMar w:left="436" w:top="274" w:right="499" w:bottom="1440" w:gutter="0" w:footer="0" w:header="0"/>
        </w:sectPr>
      </w:pPr>
    </w:p>
    <w:bookmarkStart w:id="333" w:name="page334"/>
    <w:bookmarkEnd w:id="333"/>
    <w:p>
      <w:pPr>
        <w:ind w:right="70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9.2 </w:t>
      </w:r>
      <w:r>
        <w:rPr>
          <w:rFonts w:ascii="Arial" w:cs="Arial" w:eastAsia="Arial" w:hAnsi="Arial"/>
          <w:sz w:val="18"/>
          <w:szCs w:val="18"/>
          <w:color w:val="auto"/>
        </w:rPr>
        <w:t>Borrower has the power and authority to execute and deliver this Amendment and to perform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w:t>
      </w:r>
    </w:p>
    <w:p>
      <w:pPr>
        <w:spacing w:after="0" w:line="162"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color w:val="auto"/>
        </w:rPr>
        <w:t>The organizational documents of Existing Borrower delivered to Agent on the Effective Date remain true, accurate and complete and</w:t>
      </w:r>
      <w:r>
        <w:rPr>
          <w:rFonts w:ascii="Arial" w:cs="Arial" w:eastAsia="Arial" w:hAnsi="Arial"/>
          <w:sz w:val="18"/>
          <w:szCs w:val="18"/>
          <w:b w:val="1"/>
          <w:bCs w:val="1"/>
          <w:color w:val="auto"/>
        </w:rPr>
        <w:t xml:space="preserve"> </w:t>
      </w:r>
      <w:r>
        <w:rPr>
          <w:rFonts w:ascii="Arial" w:cs="Arial" w:eastAsia="Arial" w:hAnsi="Arial"/>
          <w:sz w:val="18"/>
          <w:szCs w:val="18"/>
          <w:color w:val="auto"/>
        </w:rPr>
        <w:t>have not been amended, supplemented or restated and are and continue to be in full force and effect;</w:t>
      </w:r>
    </w:p>
    <w:p>
      <w:pPr>
        <w:spacing w:after="0" w:line="162" w:lineRule="exact"/>
        <w:rPr>
          <w:sz w:val="20"/>
          <w:szCs w:val="20"/>
          <w:color w:val="auto"/>
        </w:rPr>
      </w:pPr>
    </w:p>
    <w:p>
      <w:pPr>
        <w:ind w:right="380" w:firstLine="991"/>
        <w:spacing w:after="0" w:line="282" w:lineRule="auto"/>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have been duly authorized;</w:t>
      </w:r>
    </w:p>
    <w:p>
      <w:pPr>
        <w:spacing w:after="0" w:line="162" w:lineRule="exact"/>
        <w:rPr>
          <w:sz w:val="20"/>
          <w:szCs w:val="20"/>
          <w:color w:val="auto"/>
        </w:rPr>
      </w:pPr>
    </w:p>
    <w:p>
      <w:pPr>
        <w:jc w:val="both"/>
        <w:ind w:right="280" w:firstLine="991"/>
        <w:spacing w:after="0" w:line="261" w:lineRule="auto"/>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and will not contravene (a) any material Requirement of Law, (b) any material agreement with a Person binding on Borrower, (c) any applicable material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ind w:right="200" w:firstLine="991"/>
        <w:spacing w:after="0" w:line="261" w:lineRule="auto"/>
        <w:rPr>
          <w:sz w:val="20"/>
          <w:szCs w:val="20"/>
          <w:color w:val="auto"/>
        </w:rPr>
      </w:pPr>
      <w:r>
        <w:rPr>
          <w:rFonts w:ascii="Arial" w:cs="Arial" w:eastAsia="Arial" w:hAnsi="Arial"/>
          <w:sz w:val="18"/>
          <w:szCs w:val="18"/>
          <w:b w:val="1"/>
          <w:bCs w:val="1"/>
          <w:color w:val="auto"/>
        </w:rPr>
        <w:t xml:space="preserve">9.6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80" w:lineRule="exact"/>
        <w:rPr>
          <w:sz w:val="20"/>
          <w:szCs w:val="20"/>
          <w:color w:val="auto"/>
        </w:rPr>
      </w:pPr>
    </w:p>
    <w:p>
      <w:pPr>
        <w:jc w:val="both"/>
        <w:ind w:right="100" w:firstLine="991"/>
        <w:spacing w:after="0" w:line="289" w:lineRule="auto"/>
        <w:rPr>
          <w:sz w:val="20"/>
          <w:szCs w:val="20"/>
          <w:color w:val="auto"/>
        </w:rPr>
      </w:pPr>
      <w:r>
        <w:rPr>
          <w:rFonts w:ascii="Arial" w:cs="Arial" w:eastAsia="Arial" w:hAnsi="Arial"/>
          <w:sz w:val="17"/>
          <w:szCs w:val="17"/>
          <w:b w:val="1"/>
          <w:bCs w:val="1"/>
          <w:color w:val="auto"/>
        </w:rPr>
        <w:t xml:space="preserve">9.7 </w:t>
      </w:r>
      <w:r>
        <w:rPr>
          <w:rFonts w:ascii="Arial" w:cs="Arial" w:eastAsia="Arial" w:hAnsi="Arial"/>
          <w:sz w:val="17"/>
          <w:szCs w:val="17"/>
          <w:color w:val="auto"/>
        </w:rPr>
        <w:t>This Amendment has been duly executed and delivered by Borrower and is the binding obligation of Borrower, enforceable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58" w:lineRule="exact"/>
        <w:rPr>
          <w:sz w:val="20"/>
          <w:szCs w:val="20"/>
          <w:color w:val="auto"/>
        </w:rPr>
      </w:pPr>
    </w:p>
    <w:p>
      <w:pPr>
        <w:ind w:firstLine="436"/>
        <w:spacing w:after="0" w:line="255" w:lineRule="auto"/>
        <w:tabs>
          <w:tab w:leader="none" w:pos="845"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Perfection Certificates</w:t>
      </w:r>
      <w:r>
        <w:rPr>
          <w:rFonts w:ascii="Arial" w:cs="Arial" w:eastAsia="Arial" w:hAnsi="Arial"/>
          <w:sz w:val="18"/>
          <w:szCs w:val="18"/>
          <w:color w:val="auto"/>
        </w:rPr>
        <w:t>. Existing Borrower hereby ratifies, confirms and reaffirms, all and singular, the terms and disclosures contained in a</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Perfection Certificate dated as of December 20, 2019 (the “</w:t>
      </w:r>
      <w:r>
        <w:rPr>
          <w:rFonts w:ascii="Arial" w:cs="Arial" w:eastAsia="Arial" w:hAnsi="Arial"/>
          <w:sz w:val="18"/>
          <w:szCs w:val="18"/>
          <w:b w:val="1"/>
          <w:bCs w:val="1"/>
          <w:color w:val="auto"/>
        </w:rPr>
        <w:t>Existing Borrower Perfection Certificate</w:t>
      </w:r>
      <w:r>
        <w:rPr>
          <w:rFonts w:ascii="Arial" w:cs="Arial" w:eastAsia="Arial" w:hAnsi="Arial"/>
          <w:sz w:val="18"/>
          <w:szCs w:val="18"/>
          <w:color w:val="auto"/>
        </w:rPr>
        <w:t xml:space="preserve">”), and acknowledges, confirms and agrees that the disclosures and information Borrower provided to Agent in the Existing Borrower Perfection Certificate have not changed, as of the date hereof, except as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New Borrower has delivered a Perfection Certificate in connection with this Amendment dated as of the date hereof (the “</w:t>
      </w:r>
      <w:r>
        <w:rPr>
          <w:rFonts w:ascii="Arial" w:cs="Arial" w:eastAsia="Arial" w:hAnsi="Arial"/>
          <w:sz w:val="18"/>
          <w:szCs w:val="18"/>
          <w:b w:val="1"/>
          <w:bCs w:val="1"/>
          <w:color w:val="auto"/>
        </w:rPr>
        <w:t>New Borrower Perfection Certificate</w:t>
      </w:r>
      <w:r>
        <w:rPr>
          <w:rFonts w:ascii="Arial" w:cs="Arial" w:eastAsia="Arial" w:hAnsi="Arial"/>
          <w:sz w:val="18"/>
          <w:szCs w:val="18"/>
          <w:color w:val="auto"/>
        </w:rPr>
        <w:t>”). Each Borrower hereby agrees that all references in the Loan Agreement to the “Perfection Certificate” shall hereinafter be deemed to be references to the Existing Borrower Perfection Certificate and the New Borrower Perfection Certificate, as applicable.</w:t>
      </w:r>
    </w:p>
    <w:p>
      <w:pPr>
        <w:spacing w:after="0" w:line="188" w:lineRule="exact"/>
        <w:rPr>
          <w:rFonts w:ascii="Arial" w:cs="Arial" w:eastAsia="Arial" w:hAnsi="Arial"/>
          <w:sz w:val="18"/>
          <w:szCs w:val="18"/>
          <w:b w:val="1"/>
          <w:bCs w:val="1"/>
          <w:color w:val="auto"/>
        </w:rPr>
      </w:pPr>
    </w:p>
    <w:p>
      <w:pPr>
        <w:ind w:right="80" w:firstLine="436"/>
        <w:spacing w:after="0" w:line="281" w:lineRule="auto"/>
        <w:tabs>
          <w:tab w:leader="none" w:pos="835" w:val="left"/>
        </w:tabs>
        <w:numPr>
          <w:ilvl w:val="0"/>
          <w:numId w:val="303"/>
        </w:numPr>
        <w:rPr>
          <w:rFonts w:ascii="Arial" w:cs="Arial" w:eastAsia="Arial" w:hAnsi="Arial"/>
          <w:sz w:val="17"/>
          <w:szCs w:val="17"/>
          <w:b w:val="1"/>
          <w:bCs w:val="1"/>
          <w:color w:val="auto"/>
        </w:rPr>
      </w:pPr>
      <w:r>
        <w:rPr>
          <w:rFonts w:ascii="Arial" w:cs="Arial" w:eastAsia="Arial" w:hAnsi="Arial"/>
          <w:sz w:val="17"/>
          <w:szCs w:val="17"/>
          <w:b w:val="1"/>
          <w:bCs w:val="1"/>
          <w:color w:val="auto"/>
        </w:rPr>
        <w:t>Post-Closing Condition</w:t>
      </w:r>
      <w:r>
        <w:rPr>
          <w:rFonts w:ascii="Arial" w:cs="Arial" w:eastAsia="Arial" w:hAnsi="Arial"/>
          <w:sz w:val="17"/>
          <w:szCs w:val="17"/>
          <w:color w:val="auto"/>
        </w:rPr>
        <w:t>. Within thirty (30) days of the First Amendment Effective Date, Borrower shall deliver to Agent (a) evidence</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Agent that the insurance policies and endorsements required by Section 6.5 of the Loan Agreement are in full force and effect, together with appropriate evidence showing lender loss payable and/or additional insured clauses or endorsements in favor of Agent and (b) a certificate of good standing for Parent as a foreign corporation from the State of California, in form and substance satisfactory to Agent.</w:t>
      </w:r>
    </w:p>
    <w:p>
      <w:pPr>
        <w:sectPr>
          <w:pgSz w:w="11900" w:h="16838" w:orient="portrait"/>
          <w:cols w:equalWidth="0" w:num="1">
            <w:col w:w="11000"/>
          </w:cols>
          <w:pgMar w:left="440" w:top="270" w:right="459" w:bottom="1440" w:gutter="0" w:footer="0" w:header="0"/>
        </w:sectPr>
      </w:pPr>
    </w:p>
    <w:bookmarkStart w:id="334" w:name="page335"/>
    <w:bookmarkEnd w:id="334"/>
    <w:p>
      <w:pPr>
        <w:ind w:left="-20" w:right="320" w:firstLine="436"/>
        <w:spacing w:after="0" w:line="289" w:lineRule="auto"/>
        <w:tabs>
          <w:tab w:leader="none" w:pos="825" w:val="left"/>
        </w:tabs>
        <w:numPr>
          <w:ilvl w:val="0"/>
          <w:numId w:val="30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Integration</w:t>
      </w:r>
      <w:r>
        <w:rPr>
          <w:rFonts w:ascii="Arial" w:cs="Arial" w:eastAsia="Arial" w:hAnsi="Arial"/>
          <w:sz w:val="17"/>
          <w:szCs w:val="17"/>
          <w:color w:val="auto"/>
        </w:rPr>
        <w:t>. This Amendment and the Loan Documents represent the entire agreement about this subject matter and supersede prior</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57" w:lineRule="exact"/>
        <w:rPr>
          <w:rFonts w:ascii="Arial" w:cs="Arial" w:eastAsia="Arial" w:hAnsi="Arial"/>
          <w:sz w:val="17"/>
          <w:szCs w:val="17"/>
          <w:b w:val="1"/>
          <w:bCs w:val="1"/>
          <w:color w:val="auto"/>
        </w:rPr>
      </w:pPr>
    </w:p>
    <w:p>
      <w:pPr>
        <w:ind w:left="-20" w:firstLine="436"/>
        <w:spacing w:after="0" w:line="282" w:lineRule="auto"/>
        <w:tabs>
          <w:tab w:leader="none" w:pos="82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constitute one and the same instrument.</w:t>
      </w:r>
    </w:p>
    <w:p>
      <w:pPr>
        <w:spacing w:after="0" w:line="161" w:lineRule="exact"/>
        <w:rPr>
          <w:rFonts w:ascii="Arial" w:cs="Arial" w:eastAsia="Arial" w:hAnsi="Arial"/>
          <w:sz w:val="18"/>
          <w:szCs w:val="18"/>
          <w:b w:val="1"/>
          <w:bCs w:val="1"/>
          <w:color w:val="auto"/>
        </w:rPr>
      </w:pPr>
    </w:p>
    <w:p>
      <w:pPr>
        <w:ind w:left="-20" w:right="80" w:firstLine="436"/>
        <w:spacing w:after="0" w:line="261" w:lineRule="auto"/>
        <w:tabs>
          <w:tab w:leader="none" w:pos="825"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Effectiveness</w:t>
      </w:r>
      <w:r>
        <w:rPr>
          <w:rFonts w:ascii="Arial" w:cs="Arial" w:eastAsia="Arial" w:hAnsi="Arial"/>
          <w:sz w:val="18"/>
          <w:szCs w:val="18"/>
          <w:color w:val="auto"/>
        </w:rPr>
        <w:t>. This Amendment shall be deemed effective upon (a) the due execution and delivery to Agent of this Amendment by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hereto; (b) Bank’s receipt of the Acknowledgement of Amendment and Reaffirmation of Guaranty in the form attached hereto as </w:t>
      </w:r>
      <w:r>
        <w:rPr>
          <w:rFonts w:ascii="Arial" w:cs="Arial" w:eastAsia="Arial" w:hAnsi="Arial"/>
          <w:sz w:val="18"/>
          <w:szCs w:val="18"/>
          <w:u w:val="single" w:color="auto"/>
          <w:color w:val="auto"/>
        </w:rPr>
        <w:t>Schedule 1</w:t>
      </w:r>
      <w:r>
        <w:rPr>
          <w:rFonts w:ascii="Arial" w:cs="Arial" w:eastAsia="Arial" w:hAnsi="Arial"/>
          <w:sz w:val="18"/>
          <w:szCs w:val="18"/>
          <w:color w:val="auto"/>
        </w:rPr>
        <w:t>, duly executed and delivered by Guarantor, and (c) Borrower’s payment to Agent of Agent’s and the Lenders’ legal fees and expenses incurred in connection with this Amendment.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80"/>
          </w:cols>
          <w:pgMar w:left="460" w:top="270" w:right="459" w:bottom="1440" w:gutter="0" w:footer="0" w:header="0"/>
        </w:sectPr>
      </w:pPr>
    </w:p>
    <w:bookmarkStart w:id="335" w:name="page336"/>
    <w:bookmarkEnd w:id="335"/>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Amendment to be duly executed and delivered as of the date first written above.</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ALEXO THERAPEUTICS INTERNATIONAL</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the presence of:  /s/ 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color w:val="auto"/>
        </w:rPr>
        <w:t>EXECUTED AS A DEED BY:</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SIRPANT THERAPEUTICS</w:t>
      </w: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59"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 the presence of:  /s/ 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1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14605</wp:posOffset>
            </wp:positionV>
            <wp:extent cx="18084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Director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SILICON VALLEY BANK, as Agent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LENDERS: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Peter Sletteland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WESTRIVER INNOVATION LENDING FUND VIII, L.P.</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/s/ 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14605</wp:posOffset>
            </wp:positionV>
            <wp:extent cx="25374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Trent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14605</wp:posOffset>
            </wp:positionV>
            <wp:extent cx="237426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14605</wp:posOffset>
            </wp:positionV>
            <wp:extent cx="245999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0600"/>
          </w:cols>
          <w:pgMar w:left="440" w:top="270" w:right="859" w:bottom="1440" w:gutter="0" w:footer="0" w:header="0"/>
        </w:sectPr>
      </w:pPr>
    </w:p>
    <w:bookmarkStart w:id="336" w:name="page337"/>
    <w:bookmarkEnd w:id="336"/>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ACKNOWLEDGMENT OF AMENDMENT</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AND REAFFIRMATION OF GUARANTY</w:t>
      </w:r>
    </w:p>
    <w:p>
      <w:pPr>
        <w:spacing w:after="0" w:line="20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color w:val="auto"/>
        </w:rPr>
        <w:t>Guarantor hereby acknowledges and confirms that it has reviewed and approved the terms and conditions of the Joinder and First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to Loan and Security Agreement dated as of even date herewith (“the “Amendment”).</w:t>
      </w:r>
    </w:p>
    <w:p>
      <w:pPr>
        <w:spacing w:after="0" w:line="162"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color w:val="auto"/>
        </w:rPr>
        <w:t>Guarantor hereby consents to the Amendment and agrees that the Guaranty relating to the Obligations of Borrower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continue in full force and effect, shall be valid and enforceable and shall not be impaired or otherwise affected by the execution of the Amendment or any other document or instruction delivered in connection herewith.</w:t>
      </w:r>
    </w:p>
    <w:p>
      <w:pPr>
        <w:spacing w:after="0" w:line="17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color w:val="auto"/>
        </w:rPr>
        <w:t>Guarantor represents and warrants that, after giving effect to the Amendment, all representations and warranties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Guaranty are true, accurate and complete as if made the date hereof.</w:t>
      </w:r>
    </w:p>
    <w:p>
      <w:pPr>
        <w:spacing w:after="0" w:line="166" w:lineRule="exact"/>
        <w:rPr>
          <w:sz w:val="20"/>
          <w:szCs w:val="20"/>
          <w:color w:val="auto"/>
        </w:rPr>
      </w:pPr>
    </w:p>
    <w:p>
      <w:pPr>
        <w:spacing w:after="0"/>
        <w:tabs>
          <w:tab w:leader="none" w:pos="1240" w:val="left"/>
          <w:tab w:leader="none" w:pos="216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8"/>
          <w:szCs w:val="18"/>
          <w:color w:val="auto"/>
        </w:rPr>
        <w:t>May 21</w:t>
      </w:r>
      <w:r>
        <w:rPr>
          <w:sz w:val="20"/>
          <w:szCs w:val="20"/>
          <w:color w:val="auto"/>
        </w:rPr>
        <w:tab/>
      </w:r>
      <w:r>
        <w:rPr>
          <w:rFonts w:ascii="Arial" w:cs="Arial" w:eastAsia="Arial" w:hAnsi="Arial"/>
          <w:sz w:val="15"/>
          <w:szCs w:val="15"/>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-10160</wp:posOffset>
            </wp:positionV>
            <wp:extent cx="83756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SIGNED AND DELIVERED as a deed</w:t>
      </w:r>
    </w:p>
    <w:p>
      <w:pPr>
        <w:spacing w:after="0" w:line="221"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ALX ONCOLOGY LIMITED</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 its lawfully appointed attorney</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Jaume Pons in the presence of:</w:t>
      </w:r>
    </w:p>
    <w:p>
      <w:pPr>
        <w:spacing w:after="0" w:line="25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(Signature of Witness)</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Christine Bee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Arial" w:cs="Arial" w:eastAsia="Arial" w:hAnsi="Arial"/>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
        <w:spacing w:after="0"/>
        <w:rPr>
          <w:sz w:val="20"/>
          <w:szCs w:val="20"/>
          <w:color w:val="auto"/>
        </w:rPr>
      </w:pPr>
      <w:r>
        <w:rPr>
          <w:rFonts w:ascii="Arial" w:cs="Arial" w:eastAsia="Arial" w:hAnsi="Arial"/>
          <w:sz w:val="18"/>
          <w:szCs w:val="18"/>
          <w:color w:val="auto"/>
        </w:rPr>
        <w:t>(Occupation of Witness)</w:t>
      </w:r>
    </w:p>
    <w:p>
      <w:pPr>
        <w:sectPr>
          <w:pgSz w:w="11900" w:h="16838" w:orient="portrait"/>
          <w:cols w:equalWidth="0" w:num="1">
            <w:col w:w="10860"/>
          </w:cols>
          <w:pgMar w:left="440" w:top="270" w:right="59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2</w:t>
      </w:r>
    </w:p>
    <w:p>
      <w:pPr>
        <w:sectPr>
          <w:pgSz w:w="11900" w:h="16838" w:orient="portrait"/>
          <w:cols w:equalWidth="0" w:num="1">
            <w:col w:w="9019"/>
          </w:cols>
          <w:pgMar w:left="1440" w:top="270" w:right="1440"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N/A</w:t>
      </w:r>
    </w:p>
    <w:p>
      <w:pPr>
        <w:sectPr>
          <w:pgSz w:w="11900" w:h="16838" w:orient="portrait"/>
          <w:cols w:equalWidth="0" w:num="1">
            <w:col w:w="9019"/>
          </w:cols>
          <w:pgMar w:left="1440" w:top="270" w:right="1440" w:bottom="1440" w:gutter="0" w:footer="0" w:header="0"/>
          <w:type w:val="continuous"/>
        </w:sectPr>
      </w:pPr>
    </w:p>
    <w:bookmarkStart w:id="338" w:name="page339"/>
    <w:bookmarkEnd w:id="338"/>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Schedule 3</w:t>
            </w:r>
          </w:p>
        </w:tc>
        <w:tc>
          <w:tcPr>
            <w:tcW w:w="1820" w:type="dxa"/>
            <w:vAlign w:val="bottom"/>
            <w:gridSpan w:val="3"/>
          </w:tcPr>
          <w:p>
            <w:pPr>
              <w:spacing w:after="0"/>
              <w:rPr>
                <w:sz w:val="17"/>
                <w:szCs w:val="17"/>
                <w:color w:val="auto"/>
              </w:rPr>
            </w:pPr>
          </w:p>
        </w:tc>
        <w:tc>
          <w:tcPr>
            <w:tcW w:w="1360" w:type="dxa"/>
            <w:vAlign w:val="bottom"/>
          </w:tcPr>
          <w:p>
            <w:pPr>
              <w:spacing w:after="0"/>
              <w:rPr>
                <w:sz w:val="17"/>
                <w:szCs w:val="17"/>
                <w:color w:val="auto"/>
              </w:rPr>
            </w:pPr>
          </w:p>
        </w:tc>
      </w:tr>
      <w:tr>
        <w:trPr>
          <w:trHeight w:val="412"/>
        </w:trPr>
        <w:tc>
          <w:tcPr>
            <w:tcW w:w="4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B</w:t>
            </w:r>
          </w:p>
        </w:tc>
        <w:tc>
          <w:tcPr>
            <w:tcW w:w="176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500" w:type="dxa"/>
            <w:vAlign w:val="bottom"/>
            <w:gridSpan w:val="6"/>
          </w:tcPr>
          <w:p>
            <w:pPr>
              <w:jc w:val="center"/>
              <w:ind w:right="980"/>
              <w:spacing w:after="0" w:line="196" w:lineRule="exact"/>
              <w:rPr>
                <w:sz w:val="20"/>
                <w:szCs w:val="20"/>
                <w:color w:val="auto"/>
              </w:rPr>
            </w:pPr>
            <w:r>
              <w:rPr>
                <w:rFonts w:ascii="Arial" w:cs="Arial" w:eastAsia="Arial" w:hAnsi="Arial"/>
                <w:sz w:val="18"/>
                <w:szCs w:val="18"/>
                <w:b w:val="1"/>
                <w:bCs w:val="1"/>
                <w:color w:val="auto"/>
              </w:rPr>
              <w:t>COMPLIANCE CERTIFICATE</w:t>
            </w:r>
          </w:p>
        </w:tc>
        <w:tc>
          <w:tcPr>
            <w:tcW w:w="13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520" w:type="dxa"/>
            <w:vAlign w:val="bottom"/>
            <w:gridSpan w:val="5"/>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Arial" w:cs="Arial" w:eastAsia="Arial" w:hAnsi="Arial"/>
                <w:sz w:val="18"/>
                <w:szCs w:val="18"/>
                <w:color w:val="auto"/>
              </w:rPr>
              <w:t>TO:</w:t>
            </w:r>
          </w:p>
        </w:tc>
        <w:tc>
          <w:tcPr>
            <w:tcW w:w="7260" w:type="dxa"/>
            <w:vAlign w:val="bottom"/>
            <w:gridSpan w:val="7"/>
          </w:tcPr>
          <w:p>
            <w:pPr>
              <w:ind w:left="200"/>
              <w:spacing w:after="0"/>
              <w:rPr>
                <w:sz w:val="20"/>
                <w:szCs w:val="20"/>
                <w:color w:val="auto"/>
              </w:rPr>
            </w:pPr>
            <w:r>
              <w:rPr>
                <w:rFonts w:ascii="Arial" w:cs="Arial" w:eastAsia="Arial" w:hAnsi="Arial"/>
                <w:sz w:val="18"/>
                <w:szCs w:val="18"/>
                <w:color w:val="auto"/>
              </w:rPr>
              <w:t>SILICON VALLEY BANK, as Agent, SVB, and WESTRIVER</w:t>
            </w:r>
          </w:p>
        </w:tc>
        <w:tc>
          <w:tcPr>
            <w:tcW w:w="1360" w:type="dxa"/>
            <w:vAlign w:val="bottom"/>
          </w:tcPr>
          <w:p>
            <w:pPr>
              <w:ind w:left="980"/>
              <w:spacing w:after="0"/>
              <w:rPr>
                <w:sz w:val="20"/>
                <w:szCs w:val="20"/>
                <w:color w:val="auto"/>
              </w:rPr>
            </w:pPr>
            <w:r>
              <w:rPr>
                <w:rFonts w:ascii="Arial" w:cs="Arial" w:eastAsia="Arial" w:hAnsi="Arial"/>
                <w:sz w:val="18"/>
                <w:szCs w:val="18"/>
                <w:color w:val="auto"/>
                <w:w w:val="83"/>
              </w:rPr>
              <w:t>Date:</w:t>
            </w: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FROM: ALEXO THERAPEUTICS INTERNATIONAL (“Alexo”)</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SIRPANT THERAPEUTICS (“Sirpant”)</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ALX ONCOLOGY HOLDINGS INC. (“Parent”)</w:t>
      </w:r>
    </w:p>
    <w:p>
      <w:pPr>
        <w:spacing w:after="0" w:line="220" w:lineRule="exact"/>
        <w:rPr>
          <w:sz w:val="20"/>
          <w:szCs w:val="20"/>
          <w:color w:val="auto"/>
        </w:rPr>
      </w:pPr>
    </w:p>
    <w:p>
      <w:pPr>
        <w:ind w:right="740"/>
        <w:spacing w:after="0" w:line="312" w:lineRule="auto"/>
        <w:rPr>
          <w:sz w:val="20"/>
          <w:szCs w:val="20"/>
          <w:color w:val="auto"/>
        </w:rPr>
      </w:pPr>
      <w:r>
        <w:rPr>
          <w:rFonts w:ascii="Arial" w:cs="Arial" w:eastAsia="Arial" w:hAnsi="Arial"/>
          <w:sz w:val="17"/>
          <w:szCs w:val="17"/>
          <w:color w:val="auto"/>
        </w:rPr>
        <w:t>The undersigned authorized officer of Alexo, Sirpant, and Parent (individually and collectively, “</w:t>
      </w:r>
      <w:r>
        <w:rPr>
          <w:rFonts w:ascii="Arial" w:cs="Arial" w:eastAsia="Arial" w:hAnsi="Arial"/>
          <w:sz w:val="17"/>
          <w:szCs w:val="17"/>
          <w:b w:val="1"/>
          <w:bCs w:val="1"/>
          <w:color w:val="auto"/>
        </w:rPr>
        <w:t>Borrower</w:t>
      </w:r>
      <w:r>
        <w:rPr>
          <w:rFonts w:ascii="Arial" w:cs="Arial" w:eastAsia="Arial" w:hAnsi="Arial"/>
          <w:sz w:val="17"/>
          <w:szCs w:val="17"/>
          <w:color w:val="auto"/>
        </w:rPr>
        <w:t>”) certifies that under the terms and conditions of the Loan and Security Agreement among Borrower, SVB, and WestRiver (as amended, the “</w:t>
      </w:r>
      <w:r>
        <w:rPr>
          <w:rFonts w:ascii="Arial" w:cs="Arial" w:eastAsia="Arial" w:hAnsi="Arial"/>
          <w:sz w:val="17"/>
          <w:szCs w:val="17"/>
          <w:b w:val="1"/>
          <w:bCs w:val="1"/>
          <w:color w:val="auto"/>
        </w:rPr>
        <w:t>Loan Agreement</w:t>
      </w:r>
      <w:r>
        <w:rPr>
          <w:rFonts w:ascii="Arial" w:cs="Arial" w:eastAsia="Arial" w:hAnsi="Arial"/>
          <w:sz w:val="17"/>
          <w:szCs w:val="17"/>
          <w:color w:val="auto"/>
        </w:rPr>
        <w:t>”):</w:t>
      </w:r>
    </w:p>
    <w:p>
      <w:pPr>
        <w:spacing w:after="0" w:line="3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(1) Borrower is in complete compliance for the period ending with all required covenants except as noted below, (2) there are no Events of Default, (3) all representations and warranties in the Agreement are true and correct in all material respects on this date except as noted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those representations and warranties expressly referring to a specific date shall be true and correct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5.8 of the Agreement, and (5) no Liens have been levied or claims made against Borrower or any of its Subsidiaries relating to unpaid employee payroll or benefits of which Borrower has not previously provided written notification to Agent.</w:t>
      </w:r>
    </w:p>
    <w:p>
      <w:pPr>
        <w:spacing w:after="0" w:line="1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ectPr>
          <w:pgSz w:w="11900" w:h="16838" w:orient="portrait"/>
          <w:cols w:equalWidth="0" w:num="1">
            <w:col w:w="11020"/>
          </w:cols>
          <w:pgMar w:left="440" w:top="257" w:right="4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Reporting Covenants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Monthly Financial Statements with Compliance Certificate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Annual financial statement (CPA Audited)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4960" w:type="dxa"/>
            <w:vAlign w:val="bottom"/>
            <w:gridSpan w:val="2"/>
          </w:tcPr>
          <w:p>
            <w:pPr>
              <w:ind w:left="2140"/>
              <w:spacing w:after="0"/>
              <w:rPr>
                <w:sz w:val="20"/>
                <w:szCs w:val="20"/>
                <w:color w:val="auto"/>
              </w:rPr>
            </w:pPr>
            <w:r>
              <w:rPr>
                <w:rFonts w:ascii="Arial" w:cs="Arial" w:eastAsia="Arial" w:hAnsi="Arial"/>
                <w:sz w:val="14"/>
                <w:szCs w:val="14"/>
                <w:b w:val="1"/>
                <w:bCs w:val="1"/>
                <w:color w:val="auto"/>
              </w:rPr>
              <w:t>Required</w:t>
            </w:r>
          </w:p>
        </w:tc>
        <w:tc>
          <w:tcPr>
            <w:tcW w:w="8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Complies</w:t>
            </w:r>
          </w:p>
        </w:tc>
      </w:tr>
      <w:tr>
        <w:trPr>
          <w:trHeight w:val="224"/>
        </w:trPr>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Monthly within 30 days</w:t>
            </w:r>
          </w:p>
        </w:tc>
        <w:tc>
          <w:tcPr>
            <w:tcW w:w="120" w:type="dxa"/>
            <w:vAlign w:val="bottom"/>
          </w:tcPr>
          <w:p>
            <w:pPr>
              <w:spacing w:after="0"/>
              <w:rPr>
                <w:sz w:val="19"/>
                <w:szCs w:val="19"/>
                <w:color w:val="auto"/>
              </w:rPr>
            </w:pPr>
          </w:p>
        </w:tc>
        <w:tc>
          <w:tcPr>
            <w:tcW w:w="4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Yes</w:t>
            </w:r>
          </w:p>
        </w:tc>
        <w:tc>
          <w:tcPr>
            <w:tcW w:w="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No</w:t>
            </w:r>
          </w:p>
        </w:tc>
      </w:tr>
      <w:tr>
        <w:trPr>
          <w:trHeight w:val="403"/>
        </w:trPr>
        <w:tc>
          <w:tcPr>
            <w:tcW w:w="4960" w:type="dxa"/>
            <w:vAlign w:val="bottom"/>
            <w:gridSpan w:val="2"/>
          </w:tcPr>
          <w:p>
            <w:pPr>
              <w:spacing w:after="0"/>
              <w:rPr>
                <w:sz w:val="20"/>
                <w:szCs w:val="20"/>
                <w:color w:val="auto"/>
              </w:rPr>
            </w:pPr>
            <w:r>
              <w:rPr>
                <w:rFonts w:ascii="Arial" w:cs="Arial" w:eastAsia="Arial" w:hAnsi="Arial"/>
                <w:sz w:val="18"/>
                <w:szCs w:val="18"/>
                <w:color w:val="auto"/>
                <w:w w:val="93"/>
              </w:rPr>
              <w:t>By October 31; if the Board determines in its reasonable discretion</w:t>
            </w:r>
          </w:p>
        </w:tc>
        <w:tc>
          <w:tcPr>
            <w:tcW w:w="400" w:type="dxa"/>
            <w:vAlign w:val="bottom"/>
          </w:tcPr>
          <w:p>
            <w:pPr>
              <w:ind w:left="60"/>
              <w:spacing w:after="0"/>
              <w:rPr>
                <w:sz w:val="20"/>
                <w:szCs w:val="20"/>
                <w:color w:val="auto"/>
              </w:rPr>
            </w:pPr>
            <w:r>
              <w:rPr>
                <w:rFonts w:ascii="Arial" w:cs="Arial" w:eastAsia="Arial" w:hAnsi="Arial"/>
                <w:sz w:val="18"/>
                <w:szCs w:val="18"/>
                <w:color w:val="auto"/>
              </w:rPr>
              <w:t>Yes</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No</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not to require an audit for any fiscal year of Borrower, then 30</w:t>
            </w: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days after such FYE</w:t>
            </w: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4460" w:space="720"/>
            <w:col w:w="5840"/>
          </w:cols>
          <w:pgMar w:left="440" w:top="257" w:right="439" w:bottom="1440" w:gutter="0" w:footer="0" w:header="0"/>
          <w:type w:val="continuous"/>
        </w:sectPr>
      </w:pPr>
    </w:p>
    <w:p>
      <w:pPr>
        <w:spacing w:after="0" w:line="2" w:lineRule="exact"/>
        <w:rPr>
          <w:sz w:val="20"/>
          <w:szCs w:val="20"/>
          <w:color w:val="auto"/>
        </w:rPr>
      </w:pPr>
    </w:p>
    <w:p>
      <w:pPr>
        <w:spacing w:after="0"/>
        <w:tabs>
          <w:tab w:leader="none" w:pos="5160" w:val="left"/>
          <w:tab w:leader="none" w:pos="10180" w:val="left"/>
          <w:tab w:leader="none" w:pos="10620" w:val="left"/>
        </w:tabs>
        <w:rPr>
          <w:sz w:val="20"/>
          <w:szCs w:val="20"/>
          <w:color w:val="auto"/>
        </w:rPr>
      </w:pPr>
      <w:r>
        <w:rPr>
          <w:rFonts w:ascii="Arial" w:cs="Arial" w:eastAsia="Arial" w:hAnsi="Arial"/>
          <w:sz w:val="18"/>
          <w:szCs w:val="18"/>
          <w:color w:val="auto"/>
        </w:rPr>
        <w:t>10-Q, 10-K and 8-K</w:t>
      </w:r>
      <w:r>
        <w:rPr>
          <w:sz w:val="20"/>
          <w:szCs w:val="20"/>
          <w:color w:val="auto"/>
        </w:rPr>
        <w:tab/>
      </w:r>
      <w:r>
        <w:rPr>
          <w:rFonts w:ascii="Arial" w:cs="Arial" w:eastAsia="Arial" w:hAnsi="Arial"/>
          <w:sz w:val="18"/>
          <w:szCs w:val="18"/>
          <w:color w:val="auto"/>
        </w:rPr>
        <w:t>Within 5 days after filing with SEC</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25" w:lineRule="exact"/>
        <w:rPr>
          <w:sz w:val="20"/>
          <w:szCs w:val="20"/>
          <w:color w:val="auto"/>
        </w:rPr>
      </w:pPr>
    </w:p>
    <w:p>
      <w:pPr>
        <w:spacing w:after="0"/>
        <w:tabs>
          <w:tab w:leader="none" w:pos="5160" w:val="left"/>
          <w:tab w:leader="none" w:pos="10180" w:val="left"/>
          <w:tab w:leader="none" w:pos="10620" w:val="left"/>
        </w:tabs>
        <w:rPr>
          <w:sz w:val="20"/>
          <w:szCs w:val="20"/>
          <w:color w:val="auto"/>
        </w:rPr>
      </w:pPr>
      <w:r>
        <w:rPr>
          <w:rFonts w:ascii="Arial" w:cs="Arial" w:eastAsia="Arial" w:hAnsi="Arial"/>
          <w:sz w:val="18"/>
          <w:szCs w:val="18"/>
          <w:color w:val="auto"/>
        </w:rPr>
        <w:t>Board-Approved Projections</w:t>
      </w:r>
      <w:r>
        <w:rPr>
          <w:sz w:val="20"/>
          <w:szCs w:val="20"/>
          <w:color w:val="auto"/>
        </w:rPr>
        <w:tab/>
      </w:r>
      <w:r>
        <w:rPr>
          <w:rFonts w:ascii="Arial" w:cs="Arial" w:eastAsia="Arial" w:hAnsi="Arial"/>
          <w:sz w:val="18"/>
          <w:szCs w:val="18"/>
          <w:color w:val="auto"/>
        </w:rPr>
        <w:t>Within the earlier to occur of (a) 60 days after FYE and (b) 10</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days after Board approval, and contemporaneously with changes</w:t>
      </w:r>
    </w:p>
    <w:p>
      <w:pPr>
        <w:spacing w:after="0" w:line="211"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Cash maintained at ALX U.S. $</w:t>
      </w:r>
      <w:r>
        <w:rPr>
          <w:sz w:val="20"/>
          <w:szCs w:val="20"/>
          <w:color w:val="auto"/>
        </w:rPr>
        <w:tab/>
      </w:r>
      <w:r>
        <w:rPr>
          <w:rFonts w:ascii="Arial" w:cs="Arial" w:eastAsia="Arial" w:hAnsi="Arial"/>
          <w:sz w:val="15"/>
          <w:szCs w:val="15"/>
          <w:color w:val="auto"/>
        </w:rPr>
        <w:t>as of</w:t>
      </w:r>
    </w:p>
    <w:p>
      <w:pPr>
        <w:sectPr>
          <w:pgSz w:w="11900" w:h="16838" w:orient="portrait"/>
          <w:cols w:equalWidth="0" w:num="1">
            <w:col w:w="11020"/>
          </w:cols>
          <w:pgMar w:left="440" w:top="257" w:right="439" w:bottom="1440" w:gutter="0" w:footer="0" w:header="0"/>
          <w:type w:val="continuous"/>
        </w:sectPr>
      </w:pPr>
    </w:p>
    <w:bookmarkStart w:id="339" w:name="page340"/>
    <w:bookmarkEnd w:id="339"/>
    <w:tbl>
      <w:tblPr>
        <w:tblLayout w:type="fixed"/>
        <w:tblInd w:w="0" w:type="dxa"/>
        <w:tblCellMar>
          <w:top w:w="0" w:type="dxa"/>
          <w:left w:w="0" w:type="dxa"/>
          <w:bottom w:w="0" w:type="dxa"/>
          <w:right w:w="0" w:type="dxa"/>
        </w:tblCellMar>
      </w:tblPr>
      <w:tr>
        <w:trPr>
          <w:trHeight w:val="207"/>
        </w:trPr>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Other Matters</w:t>
            </w:r>
          </w:p>
        </w:tc>
        <w:tc>
          <w:tcPr>
            <w:tcW w:w="8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9560" w:type="dxa"/>
            <w:vAlign w:val="bottom"/>
            <w:gridSpan w:val="2"/>
          </w:tcPr>
          <w:p>
            <w:pPr>
              <w:spacing w:after="0"/>
              <w:rPr>
                <w:sz w:val="20"/>
                <w:szCs w:val="20"/>
                <w:color w:val="auto"/>
              </w:rPr>
            </w:pPr>
            <w:r>
              <w:rPr>
                <w:rFonts w:ascii="Arial" w:cs="Arial" w:eastAsia="Arial" w:hAnsi="Arial"/>
                <w:sz w:val="18"/>
                <w:szCs w:val="18"/>
                <w:color w:val="auto"/>
                <w:w w:val="93"/>
              </w:rPr>
              <w:t>Have there been any amendments of or other changes to the capitalization table of Borrower and to the Operating Documents of</w:t>
            </w:r>
          </w:p>
        </w:tc>
        <w:tc>
          <w:tcPr>
            <w:tcW w:w="880" w:type="dxa"/>
            <w:vAlign w:val="bottom"/>
            <w:vMerge w:val="restart"/>
          </w:tcPr>
          <w:p>
            <w:pPr>
              <w:ind w:left="280"/>
              <w:spacing w:after="0"/>
              <w:rPr>
                <w:sz w:val="20"/>
                <w:szCs w:val="20"/>
                <w:color w:val="auto"/>
              </w:rPr>
            </w:pPr>
            <w:r>
              <w:rPr>
                <w:rFonts w:ascii="Arial" w:cs="Arial" w:eastAsia="Arial" w:hAnsi="Arial"/>
                <w:sz w:val="18"/>
                <w:szCs w:val="18"/>
                <w:color w:val="auto"/>
              </w:rPr>
              <w:t>Yes</w:t>
            </w:r>
          </w:p>
        </w:tc>
        <w:tc>
          <w:tcPr>
            <w:tcW w:w="560" w:type="dxa"/>
            <w:vAlign w:val="bottom"/>
            <w:vMerge w:val="restart"/>
          </w:tcPr>
          <w:p>
            <w:pPr>
              <w:ind w:left="3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122"/>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w w:val="93"/>
              </w:rPr>
              <w:t>Borrower or any of its Subsidiaries? If yes, provide copies of any such amendments or changes with this Compliance Certificate.</w:t>
            </w:r>
          </w:p>
        </w:tc>
        <w:tc>
          <w:tcPr>
            <w:tcW w:w="8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56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9560" w:type="dxa"/>
            <w:vAlign w:val="bottom"/>
            <w:gridSpan w:val="2"/>
          </w:tcPr>
          <w:p>
            <w:pPr>
              <w:spacing w:after="0"/>
              <w:rPr>
                <w:sz w:val="20"/>
                <w:szCs w:val="20"/>
                <w:color w:val="auto"/>
              </w:rPr>
            </w:pPr>
            <w:r>
              <w:rPr>
                <w:rFonts w:ascii="Arial" w:cs="Arial" w:eastAsia="Arial" w:hAnsi="Arial"/>
                <w:sz w:val="18"/>
                <w:szCs w:val="18"/>
                <w:color w:val="auto"/>
                <w:w w:val="95"/>
              </w:rPr>
              <w:t>The following are the exceptions with respect to the certification above: (If no exceptions exist, state “No exceptions to note.”)</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69951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436880</wp:posOffset>
            </wp:positionV>
            <wp:extent cx="699516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291465</wp:posOffset>
            </wp:positionV>
            <wp:extent cx="699516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25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ALEXO THERAPEUTICS INTERNATIONAL</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-19050</wp:posOffset>
            </wp:positionV>
            <wp:extent cx="116586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-19050</wp:posOffset>
            </wp:positionV>
            <wp:extent cx="99441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105410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SIRPANT THERAPEUTICS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-19050</wp:posOffset>
            </wp:positionV>
            <wp:extent cx="116586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-19050</wp:posOffset>
            </wp:positionV>
            <wp:extent cx="99441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105410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-19050</wp:posOffset>
            </wp:positionV>
            <wp:extent cx="11658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-19050</wp:posOffset>
            </wp:positionV>
            <wp:extent cx="99441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-19050</wp:posOffset>
            </wp:positionV>
            <wp:extent cx="105410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 USE ONLY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Received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-19050</wp:posOffset>
            </wp:positionV>
            <wp:extent cx="99441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jc w:val="right"/>
        <w:ind w:right="2820"/>
        <w:spacing w:after="0"/>
        <w:rPr>
          <w:sz w:val="20"/>
          <w:szCs w:val="20"/>
          <w:color w:val="auto"/>
        </w:rPr>
      </w:pPr>
      <w:r>
        <w:rPr>
          <w:rFonts w:ascii="Arial" w:cs="Arial" w:eastAsia="Arial" w:hAnsi="Arial"/>
          <w:sz w:val="15"/>
          <w:szCs w:val="15"/>
          <w:color w:val="auto"/>
        </w:rPr>
        <w:t>AUTHORIZED SIGNER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-19050</wp:posOffset>
            </wp:positionV>
            <wp:extent cx="108013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Verified: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-19050</wp:posOffset>
            </wp:positionV>
            <wp:extent cx="99441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jc w:val="center"/>
        <w:ind w:right="2440"/>
        <w:spacing w:after="0"/>
        <w:rPr>
          <w:sz w:val="20"/>
          <w:szCs w:val="20"/>
          <w:color w:val="auto"/>
        </w:rPr>
      </w:pPr>
      <w:r>
        <w:rPr>
          <w:rFonts w:ascii="Arial" w:cs="Arial" w:eastAsia="Arial" w:hAnsi="Arial"/>
          <w:sz w:val="15"/>
          <w:szCs w:val="15"/>
          <w:color w:val="auto"/>
        </w:rPr>
        <w:t>AUTHORIZED SIGNER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-19050</wp:posOffset>
            </wp:positionV>
            <wp:extent cx="10801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32" w:lineRule="exact"/>
        <w:rPr>
          <w:sz w:val="20"/>
          <w:szCs w:val="20"/>
          <w:color w:val="auto"/>
        </w:rPr>
      </w:pPr>
    </w:p>
    <w:p>
      <w:pPr>
        <w:spacing w:after="0"/>
        <w:tabs>
          <w:tab w:leader="none" w:pos="1560" w:val="left"/>
          <w:tab w:leader="none" w:pos="2080" w:val="left"/>
        </w:tabs>
        <w:rPr>
          <w:sz w:val="20"/>
          <w:szCs w:val="20"/>
          <w:color w:val="auto"/>
        </w:rPr>
      </w:pPr>
      <w:r>
        <w:rPr>
          <w:rFonts w:ascii="Arial" w:cs="Arial" w:eastAsia="Arial" w:hAnsi="Arial"/>
          <w:sz w:val="18"/>
          <w:szCs w:val="18"/>
          <w:color w:val="auto"/>
        </w:rPr>
        <w:t>Compliance Status:</w:t>
        <w:tab/>
        <w:t>Yes</w:t>
      </w:r>
      <w:r>
        <w:rPr>
          <w:sz w:val="20"/>
          <w:szCs w:val="20"/>
          <w:color w:val="auto"/>
        </w:rPr>
        <w:tab/>
      </w:r>
      <w:r>
        <w:rPr>
          <w:rFonts w:ascii="Arial" w:cs="Arial" w:eastAsia="Arial" w:hAnsi="Arial"/>
          <w:sz w:val="17"/>
          <w:szCs w:val="17"/>
          <w:color w:val="auto"/>
        </w:rPr>
        <w:t>No</w:t>
      </w:r>
    </w:p>
    <w:p>
      <w:pPr>
        <w:sectPr>
          <w:pgSz w:w="11900" w:h="16838" w:orient="portrait"/>
          <w:cols w:equalWidth="0" w:num="2">
            <w:col w:w="4900" w:space="720"/>
            <w:col w:w="5380"/>
          </w:cols>
          <w:pgMar w:left="440" w:top="257" w:right="459" w:bottom="1440" w:gutter="0" w:footer="0" w:header="0"/>
          <w:type w:val="continuous"/>
        </w:sectPr>
      </w:pPr>
    </w:p>
    <w:bookmarkStart w:id="340" w:name="page341"/>
    <w:bookmarkEnd w:id="340"/>
    <w:p>
      <w:pPr>
        <w:jc w:val="center"/>
        <w:ind w:right="-1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4</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LOAN PAYMENT/ADVANCE REQUEST FORM</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IME</w:t>
      </w:r>
    </w:p>
    <w:p>
      <w:pPr>
        <w:spacing w:after="0" w:line="256"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Fax To:</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14605</wp:posOffset>
            </wp:positionV>
            <wp:extent cx="13290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329055" cy="825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184150</wp:posOffset>
            </wp:positionV>
            <wp:extent cx="6998970" cy="143573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998970" cy="1435735"/>
                    </a:xfrm>
                    <a:prstGeom prst="rect">
                      <a:avLst/>
                    </a:prstGeom>
                    <a:noFill/>
                  </pic:spPr>
                </pic:pic>
              </a:graphicData>
            </a:graphic>
          </wp:anchor>
        </w:drawing>
      </w:r>
    </w:p>
    <w:p>
      <w:pPr>
        <w:spacing w:after="0" w:line="30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w:t>
      </w:r>
      <w:r>
        <w:rPr>
          <w:sz w:val="20"/>
          <w:szCs w:val="20"/>
          <w:color w:val="auto"/>
        </w:rPr>
        <w:tab/>
      </w:r>
      <w:r>
        <w:rPr>
          <w:rFonts w:ascii="Arial" w:cs="Arial" w:eastAsia="Arial" w:hAnsi="Arial"/>
          <w:sz w:val="17"/>
          <w:szCs w:val="17"/>
          <w:color w:val="auto"/>
        </w:rPr>
        <w:t>ALX ONCOLOGY HOLDINGS INC., ALEXO THERAPEUTICS INTERNATIONAL, AND SIRPANT THERAPEUTICS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00" w:type="dxa"/>
            <w:vAlign w:val="bottom"/>
            <w:gridSpan w:val="6"/>
          </w:tcPr>
          <w:p>
            <w:pPr>
              <w:spacing w:after="0"/>
              <w:rPr>
                <w:sz w:val="20"/>
                <w:szCs w:val="20"/>
                <w:color w:val="auto"/>
              </w:rPr>
            </w:pPr>
            <w:r>
              <w:rPr>
                <w:rFonts w:ascii="Arial" w:cs="Arial" w:eastAsia="Arial" w:hAnsi="Arial"/>
                <w:sz w:val="18"/>
                <w:szCs w:val="18"/>
                <w:color w:val="auto"/>
              </w:rPr>
              <w:t>From Account #</w:t>
            </w:r>
          </w:p>
        </w:tc>
        <w:tc>
          <w:tcPr>
            <w:tcW w:w="4320" w:type="dxa"/>
            <w:vAlign w:val="bottom"/>
            <w:gridSpan w:val="4"/>
          </w:tcPr>
          <w:p>
            <w:pPr>
              <w:ind w:left="180"/>
              <w:spacing w:after="0"/>
              <w:rPr>
                <w:sz w:val="20"/>
                <w:szCs w:val="20"/>
                <w:color w:val="auto"/>
              </w:rPr>
            </w:pPr>
            <w:r>
              <w:rPr>
                <w:rFonts w:ascii="Arial" w:cs="Arial" w:eastAsia="Arial" w:hAnsi="Arial"/>
                <w:sz w:val="18"/>
                <w:szCs w:val="18"/>
                <w:color w:val="auto"/>
              </w:rPr>
              <w:t>To Account #</w:t>
            </w:r>
          </w:p>
        </w:tc>
        <w:tc>
          <w:tcPr>
            <w:tcW w:w="420" w:type="dxa"/>
            <w:vAlign w:val="bottom"/>
          </w:tcPr>
          <w:p>
            <w:pPr>
              <w:spacing w:after="0"/>
              <w:rPr>
                <w:sz w:val="20"/>
                <w:szCs w:val="20"/>
                <w:color w:val="auto"/>
              </w:rPr>
            </w:pPr>
          </w:p>
        </w:tc>
      </w:tr>
      <w:tr>
        <w:trPr>
          <w:trHeight w:val="224"/>
        </w:trPr>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gridSpan w:val="3"/>
          </w:tcPr>
          <w:p>
            <w:pPr>
              <w:ind w:left="320"/>
              <w:spacing w:after="0"/>
              <w:rPr>
                <w:sz w:val="20"/>
                <w:szCs w:val="20"/>
                <w:color w:val="auto"/>
              </w:rPr>
            </w:pPr>
            <w:r>
              <w:rPr>
                <w:rFonts w:ascii="Arial" w:cs="Arial" w:eastAsia="Arial" w:hAnsi="Arial"/>
                <w:sz w:val="18"/>
                <w:szCs w:val="18"/>
                <w:color w:val="auto"/>
              </w:rPr>
              <w:t>(Deposit Account #)</w:t>
            </w:r>
          </w:p>
        </w:tc>
        <w:tc>
          <w:tcPr>
            <w:tcW w:w="1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color w:val="auto"/>
              </w:rPr>
              <w:t>(Loan Account #)</w:t>
            </w:r>
          </w:p>
        </w:tc>
        <w:tc>
          <w:tcPr>
            <w:tcW w:w="420" w:type="dxa"/>
            <w:vAlign w:val="bottom"/>
          </w:tcPr>
          <w:p>
            <w:pPr>
              <w:spacing w:after="0"/>
              <w:rPr>
                <w:sz w:val="19"/>
                <w:szCs w:val="19"/>
                <w:color w:val="auto"/>
              </w:rPr>
            </w:pPr>
          </w:p>
        </w:tc>
      </w:tr>
      <w:tr>
        <w:trPr>
          <w:trHeight w:val="458"/>
        </w:trPr>
        <w:tc>
          <w:tcPr>
            <w:tcW w:w="920" w:type="dxa"/>
            <w:vAlign w:val="bottom"/>
          </w:tcPr>
          <w:p>
            <w:pPr>
              <w:spacing w:after="0"/>
              <w:rPr>
                <w:sz w:val="20"/>
                <w:szCs w:val="20"/>
                <w:color w:val="auto"/>
              </w:rPr>
            </w:pPr>
            <w:r>
              <w:rPr>
                <w:rFonts w:ascii="Arial" w:cs="Arial" w:eastAsia="Arial" w:hAnsi="Arial"/>
                <w:sz w:val="18"/>
                <w:szCs w:val="18"/>
                <w:color w:val="auto"/>
              </w:rPr>
              <w:t>Principal $</w:t>
            </w:r>
          </w:p>
        </w:tc>
        <w:tc>
          <w:tcPr>
            <w:tcW w:w="2760" w:type="dxa"/>
            <w:vAlign w:val="bottom"/>
            <w:tcBorders>
              <w:bottom w:val="single" w:sz="8" w:color="auto"/>
            </w:tcBorders>
            <w:gridSpan w:val="3"/>
          </w:tcPr>
          <w:p>
            <w:pPr>
              <w:spacing w:after="0"/>
              <w:rPr>
                <w:sz w:val="24"/>
                <w:szCs w:val="24"/>
                <w:color w:val="auto"/>
              </w:rPr>
            </w:pPr>
          </w:p>
        </w:tc>
        <w:tc>
          <w:tcPr>
            <w:tcW w:w="720" w:type="dxa"/>
            <w:vAlign w:val="bottom"/>
            <w:gridSpan w:val="2"/>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and/or Interest $</w:t>
            </w:r>
          </w:p>
        </w:tc>
        <w:tc>
          <w:tcPr>
            <w:tcW w:w="2740" w:type="dxa"/>
            <w:vAlign w:val="bottom"/>
            <w:tcBorders>
              <w:bottom w:val="single" w:sz="8" w:color="auto"/>
            </w:tcBorders>
            <w:gridSpan w:val="2"/>
          </w:tcPr>
          <w:p>
            <w:pPr>
              <w:spacing w:after="0"/>
              <w:rPr>
                <w:sz w:val="24"/>
                <w:szCs w:val="24"/>
                <w:color w:val="auto"/>
              </w:rPr>
            </w:pPr>
          </w:p>
        </w:tc>
        <w:tc>
          <w:tcPr>
            <w:tcW w:w="420" w:type="dxa"/>
            <w:vAlign w:val="bottom"/>
          </w:tcPr>
          <w:p>
            <w:pPr>
              <w:spacing w:after="0"/>
              <w:rPr>
                <w:sz w:val="24"/>
                <w:szCs w:val="24"/>
                <w:color w:val="auto"/>
              </w:rPr>
            </w:pPr>
          </w:p>
        </w:tc>
      </w:tr>
      <w:tr>
        <w:trPr>
          <w:trHeight w:val="466"/>
        </w:trPr>
        <w:tc>
          <w:tcPr>
            <w:tcW w:w="4400" w:type="dxa"/>
            <w:vAlign w:val="bottom"/>
            <w:gridSpan w:val="6"/>
          </w:tcPr>
          <w:p>
            <w:pPr>
              <w:spacing w:after="0"/>
              <w:rPr>
                <w:sz w:val="20"/>
                <w:szCs w:val="20"/>
                <w:color w:val="auto"/>
              </w:rPr>
            </w:pPr>
            <w:r>
              <w:rPr>
                <w:rFonts w:ascii="Arial" w:cs="Arial" w:eastAsia="Arial" w:hAnsi="Arial"/>
                <w:sz w:val="18"/>
                <w:szCs w:val="18"/>
                <w:color w:val="auto"/>
              </w:rPr>
              <w:t>Authorized Signature:</w:t>
            </w:r>
          </w:p>
        </w:tc>
        <w:tc>
          <w:tcPr>
            <w:tcW w:w="4320" w:type="dxa"/>
            <w:vAlign w:val="bottom"/>
            <w:gridSpan w:val="4"/>
          </w:tcPr>
          <w:p>
            <w:pPr>
              <w:ind w:left="1040"/>
              <w:spacing w:after="0"/>
              <w:rPr>
                <w:sz w:val="20"/>
                <w:szCs w:val="20"/>
                <w:color w:val="auto"/>
              </w:rPr>
            </w:pPr>
            <w:r>
              <w:rPr>
                <w:rFonts w:ascii="Arial" w:cs="Arial" w:eastAsia="Arial" w:hAnsi="Arial"/>
                <w:sz w:val="18"/>
                <w:szCs w:val="18"/>
                <w:color w:val="auto"/>
              </w:rPr>
              <w:t>Phone Number:</w:t>
            </w:r>
          </w:p>
        </w:tc>
        <w:tc>
          <w:tcPr>
            <w:tcW w:w="420" w:type="dxa"/>
            <w:vAlign w:val="bottom"/>
          </w:tcPr>
          <w:p>
            <w:pPr>
              <w:spacing w:after="0"/>
              <w:rPr>
                <w:sz w:val="24"/>
                <w:szCs w:val="24"/>
                <w:color w:val="auto"/>
              </w:rPr>
            </w:pPr>
          </w:p>
        </w:tc>
      </w:tr>
      <w:tr>
        <w:trPr>
          <w:trHeight w:val="223"/>
        </w:trPr>
        <w:tc>
          <w:tcPr>
            <w:tcW w:w="1800" w:type="dxa"/>
            <w:vAlign w:val="bottom"/>
            <w:gridSpan w:val="3"/>
          </w:tcPr>
          <w:p>
            <w:pPr>
              <w:spacing w:after="0"/>
              <w:rPr>
                <w:sz w:val="20"/>
                <w:szCs w:val="20"/>
                <w:color w:val="auto"/>
              </w:rPr>
            </w:pPr>
            <w:r>
              <w:rPr>
                <w:rFonts w:ascii="Arial" w:cs="Arial" w:eastAsia="Arial" w:hAnsi="Arial"/>
                <w:sz w:val="18"/>
                <w:szCs w:val="18"/>
                <w:color w:val="auto"/>
              </w:rPr>
              <w:t>Print Name/Title:</w:t>
            </w:r>
          </w:p>
        </w:tc>
        <w:tc>
          <w:tcPr>
            <w:tcW w:w="2420" w:type="dxa"/>
            <w:vAlign w:val="bottom"/>
            <w:tcBorders>
              <w:top w:val="single" w:sz="8" w:color="auto"/>
              <w:bottom w:val="single" w:sz="8" w:color="auto"/>
            </w:tcBorders>
            <w:gridSpan w:val="2"/>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203835</wp:posOffset>
            </wp:positionV>
            <wp:extent cx="6998970" cy="21126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998970" cy="2112645"/>
                    </a:xfrm>
                    <a:prstGeom prst="rect">
                      <a:avLst/>
                    </a:prstGeom>
                    <a:noFill/>
                  </pic:spPr>
                </pic:pic>
              </a:graphicData>
            </a:graphic>
          </wp:anchor>
        </w:drawing>
      </w:r>
    </w:p>
    <w:p>
      <w:pPr>
        <w:spacing w:after="0" w:line="3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4320" w:type="dxa"/>
            <w:vAlign w:val="bottom"/>
            <w:gridSpan w:val="3"/>
          </w:tcPr>
          <w:p>
            <w:pPr>
              <w:ind w:left="180"/>
              <w:spacing w:after="0"/>
              <w:rPr>
                <w:sz w:val="20"/>
                <w:szCs w:val="20"/>
                <w:color w:val="auto"/>
              </w:rPr>
            </w:pPr>
            <w:r>
              <w:rPr>
                <w:rFonts w:ascii="Arial" w:cs="Arial" w:eastAsia="Arial" w:hAnsi="Arial"/>
                <w:sz w:val="18"/>
                <w:szCs w:val="18"/>
                <w:color w:val="auto"/>
              </w:rPr>
              <w:t>To Account #</w:t>
            </w:r>
          </w:p>
        </w:tc>
      </w:tr>
      <w:tr>
        <w:trPr>
          <w:trHeight w:val="224"/>
        </w:trPr>
        <w:tc>
          <w:tcPr>
            <w:tcW w:w="1320" w:type="dxa"/>
            <w:vAlign w:val="bottom"/>
          </w:tcPr>
          <w:p>
            <w:pPr>
              <w:spacing w:after="0"/>
              <w:rPr>
                <w:sz w:val="19"/>
                <w:szCs w:val="19"/>
                <w:color w:val="auto"/>
              </w:rPr>
            </w:pPr>
          </w:p>
        </w:tc>
        <w:tc>
          <w:tcPr>
            <w:tcW w:w="3080" w:type="dxa"/>
            <w:vAlign w:val="bottom"/>
            <w:tcBorders>
              <w:top w:val="single" w:sz="8" w:color="auto"/>
            </w:tcBorders>
            <w:gridSpan w:val="2"/>
          </w:tcPr>
          <w:p>
            <w:pPr>
              <w:ind w:left="900"/>
              <w:spacing w:after="0"/>
              <w:rPr>
                <w:sz w:val="20"/>
                <w:szCs w:val="20"/>
                <w:color w:val="auto"/>
              </w:rPr>
            </w:pPr>
            <w:r>
              <w:rPr>
                <w:rFonts w:ascii="Arial" w:cs="Arial" w:eastAsia="Arial" w:hAnsi="Arial"/>
                <w:sz w:val="18"/>
                <w:szCs w:val="18"/>
                <w:color w:val="auto"/>
              </w:rPr>
              <w:t>(Loan Account #)</w:t>
            </w:r>
          </w:p>
        </w:tc>
        <w:tc>
          <w:tcPr>
            <w:tcW w:w="1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(Deposit Account #)</w:t>
            </w:r>
          </w:p>
        </w:tc>
      </w:tr>
      <w:tr>
        <w:trPr>
          <w:trHeight w:val="458"/>
        </w:trPr>
        <w:tc>
          <w:tcPr>
            <w:tcW w:w="2780" w:type="dxa"/>
            <w:vAlign w:val="bottom"/>
            <w:gridSpan w:val="2"/>
          </w:tcPr>
          <w:p>
            <w:pPr>
              <w:spacing w:after="0"/>
              <w:rPr>
                <w:sz w:val="20"/>
                <w:szCs w:val="20"/>
                <w:color w:val="auto"/>
              </w:rPr>
            </w:pPr>
            <w:r>
              <w:rPr>
                <w:rFonts w:ascii="Arial" w:cs="Arial" w:eastAsia="Arial" w:hAnsi="Arial"/>
                <w:sz w:val="18"/>
                <w:szCs w:val="18"/>
                <w:color w:val="auto"/>
              </w:rPr>
              <w:t>Amount of Term Loan Advance $</w:t>
            </w:r>
          </w:p>
        </w:tc>
        <w:tc>
          <w:tcPr>
            <w:tcW w:w="1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bl>
    <w:p>
      <w:pPr>
        <w:spacing w:after="0" w:line="215" w:lineRule="exact"/>
        <w:rPr>
          <w:sz w:val="20"/>
          <w:szCs w:val="20"/>
          <w:color w:val="auto"/>
        </w:rPr>
      </w:pPr>
    </w:p>
    <w:p>
      <w:pPr>
        <w:ind w:left="40" w:right="140"/>
        <w:spacing w:after="0" w:line="277"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on the date of the request for an advance</w:t>
      </w:r>
    </w:p>
    <w:p>
      <w:pPr>
        <w:spacing w:after="0" w:line="197"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8"/>
          <w:szCs w:val="18"/>
          <w:color w:val="auto"/>
        </w:rPr>
        <w:t>Authorized Signature:</w:t>
      </w:r>
      <w:r>
        <w:rPr>
          <w:sz w:val="20"/>
          <w:szCs w:val="20"/>
          <w:color w:val="auto"/>
        </w:rPr>
        <w:tab/>
      </w:r>
      <w:r>
        <w:rPr>
          <w:rFonts w:ascii="Arial" w:cs="Arial" w:eastAsia="Arial" w:hAnsi="Arial"/>
          <w:sz w:val="15"/>
          <w:szCs w:val="15"/>
          <w:color w:val="auto"/>
        </w:rPr>
        <w:t>Phone Number: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217805</wp:posOffset>
            </wp:positionV>
            <wp:extent cx="6998970" cy="36474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998970" cy="3647440"/>
                    </a:xfrm>
                    <a:prstGeom prst="rect">
                      <a:avLst/>
                    </a:prstGeom>
                    <a:noFill/>
                  </pic:spPr>
                </pic:pic>
              </a:graphicData>
            </a:graphic>
          </wp:anchor>
        </w:drawing>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Deadline for same day processing is noon, Pacific Time</w:t>
      </w:r>
    </w:p>
    <w:p>
      <w:pPr>
        <w:sectPr>
          <w:pgSz w:w="11900" w:h="16838" w:orient="portrait"/>
          <w:cols w:equalWidth="0" w:num="1">
            <w:col w:w="10680"/>
          </w:cols>
          <w:pgMar w:left="520" w:top="270" w:right="699" w:bottom="1440" w:gutter="0" w:footer="0" w:header="0"/>
        </w:sectPr>
      </w:pPr>
    </w:p>
    <w:p>
      <w:pPr>
        <w:spacing w:after="0" w:line="2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Beneficiary Name: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Beneficiary Bank: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City and State:</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7"/>
          <w:szCs w:val="17"/>
          <w:color w:val="auto"/>
        </w:rPr>
        <w:t>Beneficiary Bank Transit (ABA) #:</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Intermediary Bank:</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Further Credit to:</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Amount of Wire: $</w:t>
      </w:r>
    </w:p>
    <w:p>
      <w:pPr>
        <w:spacing w:after="0" w:line="3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Account Number:</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Beneficiary Bank Code (Swift, Sort, Chip, etc.):</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(For International Wire Only)</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Transit (ABA) #:</w:t>
      </w:r>
    </w:p>
    <w:p>
      <w:pPr>
        <w:spacing w:after="0" w:line="415" w:lineRule="exact"/>
        <w:rPr>
          <w:sz w:val="20"/>
          <w:szCs w:val="20"/>
          <w:color w:val="auto"/>
        </w:rPr>
      </w:pPr>
    </w:p>
    <w:p>
      <w:pPr>
        <w:sectPr>
          <w:pgSz w:w="11900" w:h="16838" w:orient="portrait"/>
          <w:cols w:equalWidth="0" w:num="2">
            <w:col w:w="3940" w:space="720"/>
            <w:col w:w="6020"/>
          </w:cols>
          <w:pgMar w:left="520" w:top="270" w:right="699" w:bottom="1440" w:gutter="0" w:footer="0" w:header="0"/>
          <w:type w:val="continuous"/>
        </w:sectPr>
      </w:pP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 Instruction:</w:t>
      </w:r>
    </w:p>
    <w:p>
      <w:pPr>
        <w:spacing w:after="0" w:line="252" w:lineRule="exact"/>
        <w:rPr>
          <w:sz w:val="20"/>
          <w:szCs w:val="20"/>
          <w:color w:val="auto"/>
        </w:rPr>
      </w:pPr>
    </w:p>
    <w:p>
      <w:pPr>
        <w:ind w:left="40"/>
        <w:spacing w:after="0" w:line="263" w:lineRule="auto"/>
        <w:rPr>
          <w:sz w:val="20"/>
          <w:szCs w:val="20"/>
          <w:color w:val="auto"/>
        </w:rPr>
      </w:pPr>
      <w:r>
        <w:rPr>
          <w:rFonts w:ascii="Arial" w:cs="Arial" w:eastAsia="Arial" w:hAnsi="Arial"/>
          <w:sz w:val="18"/>
          <w:szCs w:val="18"/>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80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00" w:type="dxa"/>
            <w:vAlign w:val="bottom"/>
            <w:gridSpan w:val="2"/>
          </w:tcPr>
          <w:p>
            <w:pPr>
              <w:ind w:left="120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580" w:type="dxa"/>
            <w:vAlign w:val="bottom"/>
            <w:tcBorders>
              <w:bottom w:val="single" w:sz="8" w:color="auto"/>
            </w:tcBorders>
            <w:gridSpan w:val="2"/>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1800" w:type="dxa"/>
            <w:vAlign w:val="bottom"/>
            <w:gridSpan w:val="2"/>
          </w:tcPr>
          <w:p>
            <w:pPr>
              <w:spacing w:after="0"/>
              <w:rPr>
                <w:sz w:val="20"/>
                <w:szCs w:val="20"/>
                <w:color w:val="auto"/>
              </w:rPr>
            </w:pPr>
            <w:r>
              <w:rPr>
                <w:rFonts w:ascii="Arial" w:cs="Arial" w:eastAsia="Arial" w:hAnsi="Arial"/>
                <w:sz w:val="18"/>
                <w:szCs w:val="18"/>
                <w:color w:val="auto"/>
              </w:rPr>
              <w:t>Print Name/Title:</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80" w:type="dxa"/>
            <w:vAlign w:val="bottom"/>
            <w:gridSpan w:val="4"/>
          </w:tcPr>
          <w:p>
            <w:pPr>
              <w:ind w:left="1200"/>
              <w:spacing w:after="0"/>
              <w:rPr>
                <w:sz w:val="20"/>
                <w:szCs w:val="20"/>
                <w:color w:val="auto"/>
              </w:rPr>
            </w:pPr>
            <w:r>
              <w:rPr>
                <w:rFonts w:ascii="Arial" w:cs="Arial" w:eastAsia="Arial" w:hAnsi="Arial"/>
                <w:sz w:val="18"/>
                <w:szCs w:val="18"/>
                <w:color w:val="auto"/>
              </w:rPr>
              <w:t>Print Name/Title:</w:t>
            </w:r>
          </w:p>
        </w:tc>
        <w:tc>
          <w:tcPr>
            <w:tcW w:w="1280" w:type="dxa"/>
            <w:vAlign w:val="bottom"/>
          </w:tcPr>
          <w:p>
            <w:pPr>
              <w:spacing w:after="0"/>
              <w:rPr>
                <w:sz w:val="19"/>
                <w:szCs w:val="19"/>
                <w:color w:val="auto"/>
              </w:rPr>
            </w:pPr>
          </w:p>
        </w:tc>
      </w:tr>
      <w:tr>
        <w:trPr>
          <w:trHeight w:val="183"/>
        </w:trPr>
        <w:tc>
          <w:tcPr>
            <w:tcW w:w="1140" w:type="dxa"/>
            <w:vAlign w:val="bottom"/>
          </w:tcPr>
          <w:p>
            <w:pPr>
              <w:spacing w:after="0" w:line="182" w:lineRule="exact"/>
              <w:rPr>
                <w:sz w:val="20"/>
                <w:szCs w:val="20"/>
                <w:color w:val="auto"/>
              </w:rPr>
            </w:pPr>
            <w:r>
              <w:rPr>
                <w:rFonts w:ascii="Arial" w:cs="Arial" w:eastAsia="Arial" w:hAnsi="Arial"/>
                <w:sz w:val="18"/>
                <w:szCs w:val="18"/>
                <w:color w:val="auto"/>
              </w:rPr>
              <w:t>Telephone #:</w:t>
            </w:r>
          </w:p>
        </w:tc>
        <w:tc>
          <w:tcPr>
            <w:tcW w:w="66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0" w:type="dxa"/>
            <w:vAlign w:val="bottom"/>
          </w:tcPr>
          <w:p>
            <w:pPr>
              <w:ind w:left="1200"/>
              <w:spacing w:after="0" w:line="196" w:lineRule="exact"/>
              <w:rPr>
                <w:sz w:val="20"/>
                <w:szCs w:val="20"/>
                <w:color w:val="auto"/>
              </w:rPr>
            </w:pPr>
            <w:r>
              <w:rPr>
                <w:rFonts w:ascii="Arial" w:cs="Arial" w:eastAsia="Arial" w:hAnsi="Arial"/>
                <w:sz w:val="18"/>
                <w:szCs w:val="18"/>
                <w:color w:val="auto"/>
              </w:rPr>
              <w:t>Telephone #:</w:t>
            </w:r>
          </w:p>
        </w:tc>
        <w:tc>
          <w:tcPr>
            <w:tcW w:w="1360" w:type="dxa"/>
            <w:vAlign w:val="bottom"/>
            <w:tcBorders>
              <w:bottom w:val="single" w:sz="8" w:color="auto"/>
            </w:tcBorders>
            <w:gridSpan w:val="2"/>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ectPr>
          <w:pgSz w:w="11900" w:h="16838" w:orient="portrait"/>
          <w:cols w:equalWidth="0" w:num="1">
            <w:col w:w="10680"/>
          </w:cols>
          <w:pgMar w:left="520" w:top="270" w:right="699" w:bottom="1440" w:gutter="0" w:footer="0" w:header="0"/>
          <w:type w:val="continuous"/>
        </w:sectPr>
      </w:pPr>
    </w:p>
    <w:bookmarkStart w:id="341" w:name="page342"/>
    <w:bookmarkEnd w:id="3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Schedule 5</w:t>
            </w:r>
          </w:p>
        </w:tc>
        <w:tc>
          <w:tcPr>
            <w:tcW w:w="18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453"/>
        </w:trPr>
        <w:tc>
          <w:tcPr>
            <w:tcW w:w="3820" w:type="dxa"/>
            <w:vAlign w:val="bottom"/>
          </w:tcPr>
          <w:p>
            <w:pPr>
              <w:spacing w:after="0"/>
              <w:rPr>
                <w:sz w:val="24"/>
                <w:szCs w:val="24"/>
                <w:color w:val="auto"/>
              </w:rPr>
            </w:pPr>
          </w:p>
        </w:tc>
        <w:tc>
          <w:tcPr>
            <w:tcW w:w="18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rPr>
              <w:t>EXHIBIT D</w:t>
            </w:r>
          </w:p>
        </w:tc>
        <w:tc>
          <w:tcPr>
            <w:tcW w:w="4780" w:type="dxa"/>
            <w:vAlign w:val="bottom"/>
          </w:tcPr>
          <w:p>
            <w:pPr>
              <w:spacing w:after="0"/>
              <w:rPr>
                <w:sz w:val="24"/>
                <w:szCs w:val="24"/>
                <w:color w:val="auto"/>
              </w:rPr>
            </w:pPr>
          </w:p>
        </w:tc>
      </w:tr>
      <w:tr>
        <w:trPr>
          <w:trHeight w:val="432"/>
        </w:trPr>
        <w:tc>
          <w:tcPr>
            <w:tcW w:w="3820" w:type="dxa"/>
            <w:vAlign w:val="bottom"/>
          </w:tcPr>
          <w:p>
            <w:pPr>
              <w:spacing w:after="0"/>
              <w:rPr>
                <w:sz w:val="24"/>
                <w:szCs w:val="24"/>
                <w:color w:val="auto"/>
              </w:rPr>
            </w:pPr>
          </w:p>
        </w:tc>
        <w:tc>
          <w:tcPr>
            <w:tcW w:w="6620" w:type="dxa"/>
            <w:vAlign w:val="bottom"/>
            <w:gridSpan w:val="5"/>
          </w:tcPr>
          <w:p>
            <w:pPr>
              <w:jc w:val="center"/>
              <w:ind w:right="4050"/>
              <w:spacing w:after="0"/>
              <w:rPr>
                <w:sz w:val="20"/>
                <w:szCs w:val="20"/>
                <w:color w:val="auto"/>
              </w:rPr>
            </w:pPr>
            <w:r>
              <w:rPr>
                <w:rFonts w:ascii="Arial" w:cs="Arial" w:eastAsia="Arial" w:hAnsi="Arial"/>
                <w:sz w:val="18"/>
                <w:szCs w:val="18"/>
                <w:b w:val="1"/>
                <w:bCs w:val="1"/>
                <w:color w:val="auto"/>
              </w:rPr>
              <w:t>DISBURSEMENT LETTER</w:t>
            </w:r>
          </w:p>
        </w:tc>
      </w:tr>
      <w:tr>
        <w:trPr>
          <w:trHeight w:val="432"/>
        </w:trPr>
        <w:tc>
          <w:tcPr>
            <w:tcW w:w="3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8"/>
              </w:rPr>
              <w:t>[DATE]</w:t>
            </w:r>
          </w:p>
        </w:tc>
        <w:tc>
          <w:tcPr>
            <w:tcW w:w="4780" w:type="dxa"/>
            <w:vAlign w:val="bottom"/>
          </w:tcPr>
          <w:p>
            <w:pPr>
              <w:spacing w:after="0"/>
              <w:rPr>
                <w:sz w:val="24"/>
                <w:szCs w:val="24"/>
                <w:color w:val="auto"/>
              </w:rPr>
            </w:pPr>
          </w:p>
        </w:tc>
      </w:tr>
      <w:tr>
        <w:trPr>
          <w:trHeight w:val="432"/>
        </w:trPr>
        <w:tc>
          <w:tcPr>
            <w:tcW w:w="3820" w:type="dxa"/>
            <w:vAlign w:val="bottom"/>
          </w:tcPr>
          <w:p>
            <w:pPr>
              <w:spacing w:after="0"/>
              <w:rPr>
                <w:sz w:val="20"/>
                <w:szCs w:val="20"/>
                <w:color w:val="auto"/>
              </w:rPr>
            </w:pPr>
            <w:r>
              <w:rPr>
                <w:rFonts w:ascii="Arial" w:cs="Arial" w:eastAsia="Arial" w:hAnsi="Arial"/>
                <w:sz w:val="18"/>
                <w:szCs w:val="18"/>
                <w:color w:val="auto"/>
                <w:w w:val="93"/>
              </w:rPr>
              <w:t>The undersigned, being the duly elected and acting</w:t>
            </w:r>
          </w:p>
        </w:tc>
        <w:tc>
          <w:tcPr>
            <w:tcW w:w="84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of</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(i)</w:t>
            </w:r>
          </w:p>
        </w:tc>
        <w:tc>
          <w:tcPr>
            <w:tcW w:w="4780" w:type="dxa"/>
            <w:vAlign w:val="bottom"/>
          </w:tcPr>
          <w:p>
            <w:pPr>
              <w:ind w:left="120"/>
              <w:spacing w:after="0"/>
              <w:rPr>
                <w:sz w:val="20"/>
                <w:szCs w:val="20"/>
                <w:color w:val="auto"/>
              </w:rPr>
            </w:pPr>
            <w:r>
              <w:rPr>
                <w:rFonts w:ascii="Arial" w:cs="Arial" w:eastAsia="Arial" w:hAnsi="Arial"/>
                <w:sz w:val="18"/>
                <w:szCs w:val="18"/>
                <w:b w:val="1"/>
                <w:bCs w:val="1"/>
                <w:color w:val="auto"/>
                <w:w w:val="98"/>
              </w:rPr>
              <w:t>ALEXO THERAPEUTICS INTERNATIONAL</w:t>
            </w:r>
            <w:r>
              <w:rPr>
                <w:rFonts w:ascii="Arial" w:cs="Arial" w:eastAsia="Arial" w:hAnsi="Arial"/>
                <w:sz w:val="18"/>
                <w:szCs w:val="18"/>
                <w:color w:val="auto"/>
                <w:w w:val="98"/>
              </w:rPr>
              <w:t>, an exempted</w:t>
            </w:r>
          </w:p>
        </w:tc>
      </w:tr>
    </w:tbl>
    <w:p>
      <w:pPr>
        <w:ind w:right="40"/>
        <w:spacing w:after="0" w:line="251" w:lineRule="auto"/>
        <w:rPr>
          <w:sz w:val="20"/>
          <w:szCs w:val="20"/>
          <w:color w:val="auto"/>
        </w:rPr>
      </w:pPr>
      <w:r>
        <w:rPr>
          <w:rFonts w:ascii="Arial" w:cs="Arial" w:eastAsia="Arial" w:hAnsi="Arial"/>
          <w:sz w:val="18"/>
          <w:szCs w:val="18"/>
          <w:color w:val="auto"/>
        </w:rPr>
        <w:t>company incorporated under the laws of the Cayman Islands (“</w:t>
      </w:r>
      <w:r>
        <w:rPr>
          <w:rFonts w:ascii="Arial" w:cs="Arial" w:eastAsia="Arial" w:hAnsi="Arial"/>
          <w:sz w:val="18"/>
          <w:szCs w:val="18"/>
          <w:b w:val="1"/>
          <w:bCs w:val="1"/>
          <w:color w:val="auto"/>
        </w:rPr>
        <w:t>Alexo</w:t>
      </w:r>
      <w:r>
        <w:rPr>
          <w:rFonts w:ascii="Arial" w:cs="Arial" w:eastAsia="Arial" w:hAnsi="Arial"/>
          <w:sz w:val="18"/>
          <w:szCs w:val="18"/>
          <w:color w:val="auto"/>
        </w:rPr>
        <w:t xml:space="preserve">”), (ii) </w:t>
      </w:r>
      <w:r>
        <w:rPr>
          <w:rFonts w:ascii="Arial" w:cs="Arial" w:eastAsia="Arial" w:hAnsi="Arial"/>
          <w:sz w:val="18"/>
          <w:szCs w:val="18"/>
          <w:b w:val="1"/>
          <w:bCs w:val="1"/>
          <w:color w:val="auto"/>
        </w:rPr>
        <w:t>SIRPANT THERAPEUTICS</w:t>
      </w:r>
      <w:r>
        <w:rPr>
          <w:rFonts w:ascii="Arial" w:cs="Arial" w:eastAsia="Arial" w:hAnsi="Arial"/>
          <w:sz w:val="18"/>
          <w:szCs w:val="18"/>
          <w:color w:val="auto"/>
        </w:rPr>
        <w:t>, an exempted company incorporated under the laws of the Cayman Islands (“</w:t>
      </w:r>
      <w:r>
        <w:rPr>
          <w:rFonts w:ascii="Arial" w:cs="Arial" w:eastAsia="Arial" w:hAnsi="Arial"/>
          <w:sz w:val="18"/>
          <w:szCs w:val="18"/>
          <w:b w:val="1"/>
          <w:bCs w:val="1"/>
          <w:color w:val="auto"/>
        </w:rPr>
        <w:t>Sirpant</w:t>
      </w:r>
      <w:r>
        <w:rPr>
          <w:rFonts w:ascii="Arial" w:cs="Arial" w:eastAsia="Arial" w:hAnsi="Arial"/>
          <w:sz w:val="18"/>
          <w:szCs w:val="18"/>
          <w:color w:val="auto"/>
        </w:rPr>
        <w:t xml:space="preserve">”), and (iii) </w:t>
      </w:r>
      <w:r>
        <w:rPr>
          <w:rFonts w:ascii="Arial" w:cs="Arial" w:eastAsia="Arial" w:hAnsi="Arial"/>
          <w:sz w:val="18"/>
          <w:szCs w:val="18"/>
          <w:b w:val="1"/>
          <w:bCs w:val="1"/>
          <w:color w:val="auto"/>
        </w:rPr>
        <w:t>ALX ONCOLOGY HOLDINGS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ALX</w:t>
      </w:r>
      <w:r>
        <w:rPr>
          <w:rFonts w:ascii="Arial" w:cs="Arial" w:eastAsia="Arial" w:hAnsi="Arial"/>
          <w:sz w:val="18"/>
          <w:szCs w:val="18"/>
          <w:color w:val="auto"/>
        </w:rPr>
        <w:t>”; together with Sirpant and Alexo, individually and collectively, jointly and severally, the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does hereby certify to (a)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SVB</w:t>
      </w:r>
      <w:r>
        <w:rPr>
          <w:rFonts w:ascii="Arial" w:cs="Arial" w:eastAsia="Arial" w:hAnsi="Arial"/>
          <w:sz w:val="18"/>
          <w:szCs w:val="18"/>
          <w:color w:val="auto"/>
        </w:rPr>
        <w:t>”), in its capacity as administrative agent and collateral agent (“</w:t>
      </w:r>
      <w:r>
        <w:rPr>
          <w:rFonts w:ascii="Arial" w:cs="Arial" w:eastAsia="Arial" w:hAnsi="Arial"/>
          <w:sz w:val="18"/>
          <w:szCs w:val="18"/>
          <w:b w:val="1"/>
          <w:bCs w:val="1"/>
          <w:color w:val="auto"/>
        </w:rPr>
        <w:t>Agent</w:t>
      </w:r>
      <w:r>
        <w:rPr>
          <w:rFonts w:ascii="Arial" w:cs="Arial" w:eastAsia="Arial" w:hAnsi="Arial"/>
          <w:sz w:val="18"/>
          <w:szCs w:val="18"/>
          <w:color w:val="auto"/>
        </w:rPr>
        <w:t xml:space="preserve">”), (b) </w:t>
      </w:r>
      <w:r>
        <w:rPr>
          <w:rFonts w:ascii="Arial" w:cs="Arial" w:eastAsia="Arial" w:hAnsi="Arial"/>
          <w:sz w:val="18"/>
          <w:szCs w:val="18"/>
          <w:b w:val="1"/>
          <w:bCs w:val="1"/>
          <w:color w:val="auto"/>
        </w:rPr>
        <w:t>SILICON VALLEY BANK</w:t>
      </w:r>
      <w:r>
        <w:rPr>
          <w:rFonts w:ascii="Arial" w:cs="Arial" w:eastAsia="Arial" w:hAnsi="Arial"/>
          <w:sz w:val="18"/>
          <w:szCs w:val="18"/>
          <w:color w:val="auto"/>
        </w:rPr>
        <w:t xml:space="preserve">, a California corporation, as a lender, (c) </w:t>
      </w:r>
      <w:r>
        <w:rPr>
          <w:rFonts w:ascii="Arial" w:cs="Arial" w:eastAsia="Arial" w:hAnsi="Arial"/>
          <w:sz w:val="18"/>
          <w:szCs w:val="18"/>
          <w:b w:val="1"/>
          <w:bCs w:val="1"/>
          <w:color w:val="auto"/>
        </w:rPr>
        <w:t>WESTRIVER INNOVATION LENDING FUND VIII,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WestRiver</w:t>
      </w:r>
      <w:r>
        <w:rPr>
          <w:rFonts w:ascii="Arial" w:cs="Arial" w:eastAsia="Arial" w:hAnsi="Arial"/>
          <w:sz w:val="18"/>
          <w:szCs w:val="18"/>
          <w:color w:val="auto"/>
        </w:rPr>
        <w:t>”), as a lender (SVB and WestRiver and each of the other “Lenders” from time to time a party hereto are referred to herein collectively as the “</w:t>
      </w:r>
      <w:r>
        <w:rPr>
          <w:rFonts w:ascii="Arial" w:cs="Arial" w:eastAsia="Arial" w:hAnsi="Arial"/>
          <w:sz w:val="18"/>
          <w:szCs w:val="18"/>
          <w:b w:val="1"/>
          <w:bCs w:val="1"/>
          <w:color w:val="auto"/>
        </w:rPr>
        <w:t>Lenders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Lender</w:t>
      </w:r>
      <w:r>
        <w:rPr>
          <w:rFonts w:ascii="Arial" w:cs="Arial" w:eastAsia="Arial" w:hAnsi="Arial"/>
          <w:sz w:val="18"/>
          <w:szCs w:val="18"/>
          <w:color w:val="auto"/>
        </w:rPr>
        <w:t>”) in connection with that certain Loan and Security Agreement dated as of December 20, 2019, by and among Borrower,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89" w:lineRule="exact"/>
        <w:rPr>
          <w:sz w:val="20"/>
          <w:szCs w:val="20"/>
          <w:color w:val="auto"/>
        </w:rPr>
      </w:pPr>
    </w:p>
    <w:p>
      <w:pPr>
        <w:ind w:right="380" w:firstLine="436"/>
        <w:spacing w:after="0" w:line="277" w:lineRule="auto"/>
        <w:tabs>
          <w:tab w:leader="none" w:pos="75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760" w:hanging="324"/>
        <w:spacing w:after="0"/>
        <w:tabs>
          <w:tab w:leader="none" w:pos="7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firstLine="436"/>
        <w:spacing w:after="0" w:line="277" w:lineRule="auto"/>
        <w:tabs>
          <w:tab w:leader="none" w:pos="74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a Credit Extension to be made on or about the date hereof have been satisfied or waived by Agent.</w:t>
      </w:r>
    </w:p>
    <w:p>
      <w:pPr>
        <w:spacing w:after="0" w:line="170" w:lineRule="exact"/>
        <w:rPr>
          <w:rFonts w:ascii="Arial" w:cs="Arial" w:eastAsia="Arial" w:hAnsi="Arial"/>
          <w:sz w:val="18"/>
          <w:szCs w:val="18"/>
          <w:color w:val="auto"/>
        </w:rPr>
      </w:pPr>
    </w:p>
    <w:p>
      <w:pPr>
        <w:ind w:left="760" w:hanging="324"/>
        <w:spacing w:after="0"/>
        <w:tabs>
          <w:tab w:leader="none" w:pos="7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740" w:hanging="304"/>
        <w:spacing w:after="0"/>
        <w:tabs>
          <w:tab w:leader="none" w:pos="7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undersigned is an Authorized Signer.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11000"/>
          </w:cols>
          <w:pgMar w:left="440" w:top="257" w:right="459" w:bottom="1440" w:gutter="0" w:footer="0" w:header="0"/>
        </w:sectPr>
      </w:pPr>
    </w:p>
    <w:bookmarkStart w:id="342" w:name="page343"/>
    <w:bookmarkEnd w:id="34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7A. The proceeds of the Term Loan Advance shall be disbursed as follows:</w:t>
      </w:r>
    </w:p>
    <w:p>
      <w:pPr>
        <w:spacing w:after="0" w:line="266" w:lineRule="exact"/>
        <w:rPr>
          <w:sz w:val="20"/>
          <w:szCs w:val="20"/>
          <w:color w:val="auto"/>
        </w:rPr>
      </w:pPr>
    </w:p>
    <w:tbl>
      <w:tblPr>
        <w:tblLayout w:type="fixed"/>
        <w:tblInd w:w="444"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Disbursement from SVB:</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Loan Amount</w:t>
            </w:r>
          </w:p>
        </w:tc>
        <w:tc>
          <w:tcPr>
            <w:tcW w:w="35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Plus: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—Deposit Received</w:t>
            </w:r>
          </w:p>
        </w:tc>
        <w:tc>
          <w:tcPr>
            <w:tcW w:w="356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—[Interim Interest]</w:t>
            </w:r>
          </w:p>
        </w:tc>
        <w:tc>
          <w:tcPr>
            <w:tcW w:w="35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—Lender’s Legal Fees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24"/>
        </w:trPr>
        <w:tc>
          <w:tcPr>
            <w:tcW w:w="4120" w:type="dxa"/>
            <w:vAlign w:val="bottom"/>
            <w:gridSpan w:val="3"/>
          </w:tcPr>
          <w:p>
            <w:pPr>
              <w:ind w:left="1320"/>
              <w:spacing w:after="0"/>
              <w:rPr>
                <w:sz w:val="20"/>
                <w:szCs w:val="20"/>
                <w:color w:val="auto"/>
              </w:rPr>
            </w:pPr>
            <w:r>
              <w:rPr>
                <w:rFonts w:ascii="Arial" w:cs="Arial" w:eastAsia="Arial" w:hAnsi="Arial"/>
                <w:sz w:val="18"/>
                <w:szCs w:val="18"/>
                <w:b w:val="1"/>
                <w:bCs w:val="1"/>
                <w:color w:val="auto"/>
              </w:rPr>
              <w:t>Net Proceeds due from SVB:</w:t>
            </w:r>
          </w:p>
        </w:tc>
        <w:tc>
          <w:tcPr>
            <w:tcW w:w="356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320" w:type="dxa"/>
            <w:vAlign w:val="bottom"/>
            <w:vMerge w:val="restart"/>
          </w:tcPr>
          <w:p>
            <w:pPr>
              <w:spacing w:after="0"/>
              <w:rPr>
                <w:sz w:val="9"/>
                <w:szCs w:val="9"/>
                <w:color w:val="auto"/>
              </w:rPr>
            </w:pPr>
          </w:p>
        </w:tc>
        <w:tc>
          <w:tcPr>
            <w:tcW w:w="2800" w:type="dxa"/>
            <w:vAlign w:val="bottom"/>
            <w:gridSpan w:val="2"/>
          </w:tcPr>
          <w:p>
            <w:pPr>
              <w:spacing w:after="0"/>
              <w:rPr>
                <w:sz w:val="9"/>
                <w:szCs w:val="9"/>
                <w:color w:val="auto"/>
              </w:rPr>
            </w:pPr>
          </w:p>
        </w:tc>
        <w:tc>
          <w:tcPr>
            <w:tcW w:w="3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Disbursement from WestRiver:</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Loan Amount</w:t>
            </w:r>
          </w:p>
        </w:tc>
        <w:tc>
          <w:tcPr>
            <w:tcW w:w="35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Plus: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—Deposit Received</w:t>
            </w:r>
          </w:p>
        </w:tc>
        <w:tc>
          <w:tcPr>
            <w:tcW w:w="356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Less: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—[Interim Interest]</w:t>
            </w:r>
          </w:p>
        </w:tc>
        <w:tc>
          <w:tcPr>
            <w:tcW w:w="356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20" w:type="dxa"/>
            <w:vAlign w:val="bottom"/>
            <w:vMerge w:val="restart"/>
          </w:tcPr>
          <w:p>
            <w:pPr>
              <w:spacing w:after="0"/>
              <w:rPr>
                <w:sz w:val="8"/>
                <w:szCs w:val="8"/>
                <w:color w:val="auto"/>
              </w:rPr>
            </w:pPr>
          </w:p>
        </w:tc>
        <w:tc>
          <w:tcPr>
            <w:tcW w:w="2800" w:type="dxa"/>
            <w:vAlign w:val="bottom"/>
            <w:gridSpan w:val="2"/>
          </w:tcPr>
          <w:p>
            <w:pPr>
              <w:spacing w:after="0"/>
              <w:rPr>
                <w:sz w:val="8"/>
                <w:szCs w:val="8"/>
                <w:color w:val="auto"/>
              </w:rPr>
            </w:pPr>
          </w:p>
        </w:tc>
        <w:tc>
          <w:tcPr>
            <w:tcW w:w="3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3"/>
              </w:rPr>
              <w:t>Net Proceeds due from WestRiver:</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7680" w:type="dxa"/>
            <w:vAlign w:val="bottom"/>
            <w:gridSpan w:val="4"/>
          </w:tcPr>
          <w:p>
            <w:pPr>
              <w:ind w:left="1320"/>
              <w:spacing w:after="0"/>
              <w:rPr>
                <w:sz w:val="20"/>
                <w:szCs w:val="20"/>
                <w:color w:val="auto"/>
              </w:rPr>
            </w:pPr>
            <w:r>
              <w:rPr>
                <w:rFonts w:ascii="Arial" w:cs="Arial" w:eastAsia="Arial" w:hAnsi="Arial"/>
                <w:sz w:val="18"/>
                <w:szCs w:val="18"/>
                <w:b w:val="1"/>
                <w:bCs w:val="1"/>
                <w:color w:val="auto"/>
                <w:w w:val="96"/>
              </w:rPr>
              <w:t>Disbursement from Agent (cumulative and not duplicative of the amounts set</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60"/>
              <w:spacing w:after="0"/>
              <w:rPr>
                <w:sz w:val="20"/>
                <w:szCs w:val="20"/>
                <w:color w:val="auto"/>
              </w:rPr>
            </w:pPr>
            <w:r>
              <w:rPr>
                <w:rFonts w:ascii="Arial" w:cs="Arial" w:eastAsia="Arial" w:hAnsi="Arial"/>
                <w:sz w:val="18"/>
                <w:szCs w:val="18"/>
                <w:b w:val="1"/>
                <w:bCs w:val="1"/>
                <w:color w:val="auto"/>
              </w:rPr>
              <w:t>forth above):</w:t>
            </w: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Loan Amount</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Plus:</w:t>
            </w:r>
          </w:p>
        </w:tc>
        <w:tc>
          <w:tcPr>
            <w:tcW w:w="35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—Deposit Received</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Less:</w:t>
            </w: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—[Interim Interest]</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600"/>
              <w:spacing w:after="0"/>
              <w:rPr>
                <w:sz w:val="20"/>
                <w:szCs w:val="20"/>
                <w:color w:val="auto"/>
              </w:rPr>
            </w:pPr>
            <w:r>
              <w:rPr>
                <w:rFonts w:ascii="Arial" w:cs="Arial" w:eastAsia="Arial" w:hAnsi="Arial"/>
                <w:sz w:val="18"/>
                <w:szCs w:val="18"/>
                <w:color w:val="auto"/>
              </w:rPr>
              <w:t>—Lender’s Legal Fees</w:t>
            </w:r>
          </w:p>
        </w:tc>
        <w:tc>
          <w:tcPr>
            <w:tcW w:w="3560" w:type="dxa"/>
            <w:vAlign w:val="bottom"/>
          </w:tcPr>
          <w:p>
            <w:pPr>
              <w:spacing w:after="0"/>
              <w:rPr>
                <w:sz w:val="20"/>
                <w:szCs w:val="20"/>
                <w:color w:val="auto"/>
              </w:rPr>
            </w:pPr>
          </w:p>
        </w:tc>
        <w:tc>
          <w:tcPr>
            <w:tcW w:w="36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4"/>
        </w:trPr>
        <w:tc>
          <w:tcPr>
            <w:tcW w:w="1320" w:type="dxa"/>
            <w:vAlign w:val="bottom"/>
            <w:vMerge w:val="restart"/>
          </w:tcPr>
          <w:p>
            <w:pPr>
              <w:spacing w:after="0"/>
              <w:rPr>
                <w:sz w:val="8"/>
                <w:szCs w:val="8"/>
                <w:color w:val="auto"/>
              </w:rPr>
            </w:pPr>
          </w:p>
        </w:tc>
        <w:tc>
          <w:tcPr>
            <w:tcW w:w="2800" w:type="dxa"/>
            <w:vAlign w:val="bottom"/>
            <w:gridSpan w:val="2"/>
          </w:tcPr>
          <w:p>
            <w:pPr>
              <w:spacing w:after="0"/>
              <w:rPr>
                <w:sz w:val="8"/>
                <w:szCs w:val="8"/>
                <w:color w:val="auto"/>
              </w:rPr>
            </w:pPr>
          </w:p>
        </w:tc>
        <w:tc>
          <w:tcPr>
            <w:tcW w:w="3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Proceeds due from Agent:</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680" w:type="dxa"/>
            <w:vAlign w:val="bottom"/>
            <w:gridSpan w:val="4"/>
          </w:tcPr>
          <w:p>
            <w:pPr>
              <w:ind w:left="1320"/>
              <w:spacing w:after="0"/>
              <w:rPr>
                <w:sz w:val="20"/>
                <w:szCs w:val="20"/>
                <w:color w:val="auto"/>
              </w:rPr>
            </w:pPr>
            <w:r>
              <w:rPr>
                <w:rFonts w:ascii="Arial" w:cs="Arial" w:eastAsia="Arial" w:hAnsi="Arial"/>
                <w:sz w:val="18"/>
                <w:szCs w:val="18"/>
                <w:b w:val="1"/>
                <w:bCs w:val="1"/>
                <w:color w:val="auto"/>
              </w:rPr>
              <w:t>TOTAL TERM LOAN ADVANCE NET PROCEEDS FROM LENDERS</w:t>
            </w:r>
          </w:p>
        </w:tc>
        <w:tc>
          <w:tcPr>
            <w:tcW w:w="3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gridSpan w:val="2"/>
          </w:tcPr>
          <w:p>
            <w:pPr>
              <w:spacing w:after="0"/>
              <w:rPr>
                <w:sz w:val="20"/>
                <w:szCs w:val="20"/>
                <w:color w:val="auto"/>
              </w:rPr>
            </w:pPr>
            <w:r>
              <w:rPr>
                <w:rFonts w:ascii="Arial" w:cs="Arial" w:eastAsia="Arial" w:hAnsi="Arial"/>
                <w:sz w:val="18"/>
                <w:szCs w:val="18"/>
                <w:color w:val="auto"/>
              </w:rPr>
              <w:t>7B.  Funds from [</w:t>
            </w:r>
          </w:p>
        </w:tc>
        <w:tc>
          <w:tcPr>
            <w:tcW w:w="6240" w:type="dxa"/>
            <w:vAlign w:val="bottom"/>
            <w:gridSpan w:val="2"/>
          </w:tcPr>
          <w:p>
            <w:pPr>
              <w:jc w:val="center"/>
              <w:ind w:left="390"/>
              <w:spacing w:after="0"/>
              <w:rPr>
                <w:sz w:val="20"/>
                <w:szCs w:val="20"/>
                <w:color w:val="auto"/>
              </w:rPr>
            </w:pPr>
            <w:r>
              <w:rPr>
                <w:rFonts w:ascii="Arial" w:cs="Arial" w:eastAsia="Arial" w:hAnsi="Arial"/>
                <w:sz w:val="18"/>
                <w:szCs w:val="18"/>
                <w:color w:val="auto"/>
                <w:w w:val="92"/>
              </w:rPr>
              <w:t>] (“</w:t>
            </w:r>
            <w:r>
              <w:rPr>
                <w:rFonts w:ascii="Arial" w:cs="Arial" w:eastAsia="Arial" w:hAnsi="Arial"/>
                <w:sz w:val="18"/>
                <w:szCs w:val="18"/>
                <w:b w:val="1"/>
                <w:bCs w:val="1"/>
                <w:color w:val="auto"/>
                <w:w w:val="92"/>
              </w:rPr>
              <w:t>Borrower</w:t>
            </w:r>
            <w:r>
              <w:rPr>
                <w:rFonts w:ascii="Arial" w:cs="Arial" w:eastAsia="Arial" w:hAnsi="Arial"/>
                <w:sz w:val="18"/>
                <w:szCs w:val="18"/>
                <w:color w:val="auto"/>
                <w:w w:val="92"/>
              </w:rPr>
              <w:t>”) Designated Deposit Account shall be disbursed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40" w:type="dxa"/>
            <w:vAlign w:val="bottom"/>
            <w:gridSpan w:val="2"/>
          </w:tcPr>
          <w:p>
            <w:pPr>
              <w:ind w:left="540"/>
              <w:spacing w:after="0"/>
              <w:rPr>
                <w:sz w:val="20"/>
                <w:szCs w:val="20"/>
                <w:color w:val="auto"/>
              </w:rPr>
            </w:pPr>
            <w:r>
              <w:rPr>
                <w:rFonts w:ascii="Arial" w:cs="Arial" w:eastAsia="Arial" w:hAnsi="Arial"/>
                <w:sz w:val="18"/>
                <w:szCs w:val="18"/>
                <w:b w:val="1"/>
                <w:bCs w:val="1"/>
                <w:i w:val="1"/>
                <w:iCs w:val="1"/>
                <w:color w:val="auto"/>
              </w:rPr>
              <w:t>SVB:</w:t>
            </w:r>
          </w:p>
        </w:tc>
        <w:tc>
          <w:tcPr>
            <w:tcW w:w="26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Term Loan Fees</w:t>
            </w:r>
          </w:p>
        </w:tc>
        <w:tc>
          <w:tcPr>
            <w:tcW w:w="3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Lender’s Legal Fees</w:t>
            </w:r>
          </w:p>
        </w:tc>
        <w:tc>
          <w:tcPr>
            <w:tcW w:w="3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320" w:type="dxa"/>
            <w:vAlign w:val="bottom"/>
            <w:vMerge w:val="restart"/>
          </w:tcPr>
          <w:p>
            <w:pPr>
              <w:spacing w:after="0"/>
              <w:rPr>
                <w:sz w:val="17"/>
                <w:szCs w:val="17"/>
                <w:color w:val="auto"/>
              </w:rPr>
            </w:pPr>
          </w:p>
        </w:tc>
        <w:tc>
          <w:tcPr>
            <w:tcW w:w="636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3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WestRiver: </w:t>
            </w:r>
            <w:r>
              <w:rPr>
                <w:rFonts w:ascii="Arial" w:cs="Arial" w:eastAsia="Arial" w:hAnsi="Arial"/>
                <w:sz w:val="18"/>
                <w:szCs w:val="18"/>
                <w:i w:val="1"/>
                <w:iCs w:val="1"/>
                <w:color w:val="auto"/>
              </w:rPr>
              <w:t>Designated Deposit Account: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ind w:left="240"/>
              <w:spacing w:after="0"/>
              <w:rPr>
                <w:sz w:val="20"/>
                <w:szCs w:val="20"/>
                <w:color w:val="auto"/>
              </w:rPr>
            </w:pPr>
            <w:r>
              <w:rPr>
                <w:rFonts w:ascii="Arial" w:cs="Arial" w:eastAsia="Arial" w:hAnsi="Arial"/>
                <w:sz w:val="18"/>
                <w:szCs w:val="18"/>
                <w:color w:val="auto"/>
              </w:rPr>
              <w:t>Term Loan Fees</w:t>
            </w:r>
          </w:p>
        </w:tc>
        <w:tc>
          <w:tcPr>
            <w:tcW w:w="3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Funds due from [</w:t>
            </w:r>
          </w:p>
        </w:tc>
        <w:tc>
          <w:tcPr>
            <w:tcW w:w="3560" w:type="dxa"/>
            <w:vAlign w:val="bottom"/>
            <w:shd w:val="clear" w:color="auto" w:fill="CCEEFF"/>
          </w:tcPr>
          <w:p>
            <w:pPr>
              <w:jc w:val="center"/>
              <w:ind w:right="2150"/>
              <w:spacing w:after="0"/>
              <w:rPr>
                <w:sz w:val="20"/>
                <w:szCs w:val="20"/>
                <w:color w:val="auto"/>
              </w:rPr>
            </w:pPr>
            <w:r>
              <w:rPr>
                <w:rFonts w:ascii="Arial" w:cs="Arial" w:eastAsia="Arial" w:hAnsi="Arial"/>
                <w:sz w:val="18"/>
                <w:szCs w:val="18"/>
                <w:color w:val="auto"/>
              </w:rPr>
              <w:t>] (“Borrower”)</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24" w:hanging="224"/>
        <w:spacing w:after="0" w:line="277" w:lineRule="auto"/>
        <w:tabs>
          <w:tab w:leader="none" w:pos="224" w:val="left"/>
        </w:tabs>
        <w:numPr>
          <w:ilvl w:val="0"/>
          <w:numId w:val="306"/>
        </w:numPr>
        <w:rPr>
          <w:rFonts w:ascii="Arial" w:cs="Arial" w:eastAsia="Arial" w:hAnsi="Arial"/>
          <w:sz w:val="15"/>
          <w:szCs w:val="15"/>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0444"/>
          </w:cols>
          <w:pgMar w:left="436" w:top="274" w:right="1019" w:bottom="1440" w:gutter="0" w:footer="0" w:header="0"/>
        </w:sectPr>
      </w:pPr>
    </w:p>
    <w:bookmarkStart w:id="343" w:name="page344"/>
    <w:bookmarkEnd w:id="3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8A. The aggregate net proceeds of the Term Loan Advance shall be transferred to the Designated Deposit Account as follows:</w:t>
      </w:r>
    </w:p>
    <w:p>
      <w:pPr>
        <w:spacing w:after="0" w:line="275"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Account Name:</w:t>
            </w:r>
          </w:p>
        </w:tc>
        <w:tc>
          <w:tcPr>
            <w:tcW w:w="18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tcPr>
          <w:p>
            <w:pPr>
              <w:spacing w:after="0"/>
              <w:rPr>
                <w:sz w:val="20"/>
                <w:szCs w:val="20"/>
                <w:color w:val="auto"/>
              </w:rPr>
            </w:pPr>
            <w:r>
              <w:rPr>
                <w:rFonts w:ascii="Arial" w:cs="Arial" w:eastAsia="Arial" w:hAnsi="Arial"/>
                <w:sz w:val="18"/>
                <w:szCs w:val="18"/>
                <w:color w:val="auto"/>
              </w:rPr>
              <w:t>Bank Name:</w:t>
            </w:r>
          </w:p>
        </w:tc>
        <w:tc>
          <w:tcPr>
            <w:tcW w:w="18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Silicon Valley Bank</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Bank Address:</w:t>
            </w: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3003 Tasman Drive</w:t>
            </w:r>
          </w:p>
        </w:tc>
        <w:tc>
          <w:tcPr>
            <w:tcW w:w="0" w:type="dxa"/>
            <w:vAlign w:val="bottom"/>
          </w:tcPr>
          <w:p>
            <w:pPr>
              <w:spacing w:after="0"/>
              <w:rPr>
                <w:sz w:val="1"/>
                <w:szCs w:val="1"/>
                <w:color w:val="auto"/>
              </w:rPr>
            </w:pPr>
          </w:p>
        </w:tc>
      </w:tr>
      <w:tr>
        <w:trPr>
          <w:trHeight w:val="230"/>
        </w:trPr>
        <w:tc>
          <w:tcPr>
            <w:tcW w:w="1480" w:type="dxa"/>
            <w:vAlign w:val="bottom"/>
            <w:vMerge w:val="restart"/>
          </w:tcPr>
          <w:p>
            <w:pPr>
              <w:spacing w:after="0"/>
              <w:rPr>
                <w:sz w:val="20"/>
                <w:szCs w:val="20"/>
                <w:color w:val="auto"/>
              </w:rPr>
            </w:pPr>
            <w:r>
              <w:rPr>
                <w:rFonts w:ascii="Arial" w:cs="Arial" w:eastAsia="Arial" w:hAnsi="Arial"/>
                <w:sz w:val="18"/>
                <w:szCs w:val="18"/>
                <w:color w:val="auto"/>
              </w:rPr>
              <w:t>Account Number:</w:t>
            </w:r>
          </w:p>
        </w:tc>
        <w:tc>
          <w:tcPr>
            <w:tcW w:w="6000" w:type="dxa"/>
            <w:vAlign w:val="bottom"/>
            <w:gridSpan w:val="2"/>
          </w:tcPr>
          <w:p>
            <w:pPr>
              <w:ind w:left="180"/>
              <w:spacing w:after="0"/>
              <w:rPr>
                <w:sz w:val="20"/>
                <w:szCs w:val="20"/>
                <w:color w:val="auto"/>
              </w:rPr>
            </w:pPr>
            <w:r>
              <w:rPr>
                <w:rFonts w:ascii="Arial" w:cs="Arial" w:eastAsia="Arial" w:hAnsi="Arial"/>
                <w:sz w:val="18"/>
                <w:szCs w:val="18"/>
                <w:color w:val="auto"/>
              </w:rPr>
              <w:t>Santa Clara, California 95054</w:t>
            </w:r>
          </w:p>
        </w:tc>
        <w:tc>
          <w:tcPr>
            <w:tcW w:w="0" w:type="dxa"/>
            <w:vAlign w:val="bottom"/>
          </w:tcPr>
          <w:p>
            <w:pPr>
              <w:spacing w:after="0"/>
              <w:rPr>
                <w:sz w:val="1"/>
                <w:szCs w:val="1"/>
                <w:color w:val="auto"/>
              </w:rPr>
            </w:pPr>
          </w:p>
        </w:tc>
      </w:tr>
      <w:tr>
        <w:trPr>
          <w:trHeight w:val="229"/>
        </w:trPr>
        <w:tc>
          <w:tcPr>
            <w:tcW w:w="14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Arial" w:cs="Arial" w:eastAsia="Arial" w:hAnsi="Arial"/>
                <w:sz w:val="18"/>
                <w:szCs w:val="18"/>
                <w:color w:val="auto"/>
              </w:rPr>
              <w:t>ABA Number:</w:t>
            </w:r>
          </w:p>
        </w:tc>
        <w:tc>
          <w:tcPr>
            <w:tcW w:w="18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8B. Borrower authorized SVB to debit the Total Funds from the Designated Deposit Account set forth below:</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Account Name:</w:t>
            </w:r>
          </w:p>
        </w:tc>
        <w:tc>
          <w:tcPr>
            <w:tcW w:w="260" w:type="dxa"/>
            <w:vAlign w:val="bottom"/>
          </w:tcPr>
          <w:p>
            <w:pPr>
              <w:spacing w:after="0"/>
              <w:rPr>
                <w:sz w:val="20"/>
                <w:szCs w:val="20"/>
                <w:color w:val="auto"/>
              </w:rPr>
            </w:pPr>
          </w:p>
        </w:tc>
        <w:tc>
          <w:tcPr>
            <w:tcW w:w="5820" w:type="dxa"/>
            <w:vAlign w:val="bottom"/>
            <w:tcBorders>
              <w:bottom w:val="single" w:sz="8" w:color="auto"/>
            </w:tcBorders>
          </w:tcPr>
          <w:p>
            <w:pPr>
              <w:spacing w:after="0"/>
              <w:rPr>
                <w:sz w:val="20"/>
                <w:szCs w:val="20"/>
                <w:color w:val="auto"/>
              </w:rPr>
            </w:pPr>
          </w:p>
        </w:tc>
      </w:tr>
      <w:tr>
        <w:trPr>
          <w:trHeight w:val="209"/>
        </w:trPr>
        <w:tc>
          <w:tcPr>
            <w:tcW w:w="1400" w:type="dxa"/>
            <w:vAlign w:val="bottom"/>
          </w:tcPr>
          <w:p>
            <w:pPr>
              <w:spacing w:after="0"/>
              <w:rPr>
                <w:sz w:val="20"/>
                <w:szCs w:val="20"/>
                <w:color w:val="auto"/>
              </w:rPr>
            </w:pPr>
            <w:r>
              <w:rPr>
                <w:rFonts w:ascii="Arial" w:cs="Arial" w:eastAsia="Arial" w:hAnsi="Arial"/>
                <w:sz w:val="18"/>
                <w:szCs w:val="18"/>
                <w:color w:val="auto"/>
              </w:rPr>
              <w:t>Bank Name:</w:t>
            </w:r>
          </w:p>
        </w:tc>
        <w:tc>
          <w:tcPr>
            <w:tcW w:w="2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Silicon Valley Bank</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Bank Address:</w:t>
            </w:r>
          </w:p>
        </w:tc>
        <w:tc>
          <w:tcPr>
            <w:tcW w:w="6080" w:type="dxa"/>
            <w:vAlign w:val="bottom"/>
            <w:gridSpan w:val="2"/>
          </w:tcPr>
          <w:p>
            <w:pPr>
              <w:ind w:left="260"/>
              <w:spacing w:after="0"/>
              <w:rPr>
                <w:sz w:val="20"/>
                <w:szCs w:val="20"/>
                <w:color w:val="auto"/>
              </w:rPr>
            </w:pPr>
            <w:r>
              <w:rPr>
                <w:rFonts w:ascii="Arial" w:cs="Arial" w:eastAsia="Arial" w:hAnsi="Arial"/>
                <w:sz w:val="18"/>
                <w:szCs w:val="18"/>
                <w:color w:val="auto"/>
              </w:rPr>
              <w:t>3003 Tasman Drive</w:t>
            </w:r>
          </w:p>
        </w:tc>
      </w:tr>
      <w:tr>
        <w:trPr>
          <w:trHeight w:val="230"/>
        </w:trPr>
        <w:tc>
          <w:tcPr>
            <w:tcW w:w="1400" w:type="dxa"/>
            <w:vAlign w:val="bottom"/>
          </w:tcPr>
          <w:p>
            <w:pPr>
              <w:spacing w:after="0"/>
              <w:rPr>
                <w:sz w:val="20"/>
                <w:szCs w:val="20"/>
                <w:color w:val="auto"/>
              </w:rPr>
            </w:pPr>
          </w:p>
        </w:tc>
        <w:tc>
          <w:tcPr>
            <w:tcW w:w="6080" w:type="dxa"/>
            <w:vAlign w:val="bottom"/>
            <w:gridSpan w:val="2"/>
          </w:tcPr>
          <w:p>
            <w:pPr>
              <w:ind w:left="260"/>
              <w:spacing w:after="0"/>
              <w:rPr>
                <w:sz w:val="20"/>
                <w:szCs w:val="20"/>
                <w:color w:val="auto"/>
              </w:rPr>
            </w:pPr>
            <w:r>
              <w:rPr>
                <w:rFonts w:ascii="Arial" w:cs="Arial" w:eastAsia="Arial" w:hAnsi="Arial"/>
                <w:sz w:val="18"/>
                <w:szCs w:val="18"/>
                <w:color w:val="auto"/>
              </w:rPr>
              <w:t>Santa Clara, California 95054</w:t>
            </w:r>
          </w:p>
        </w:tc>
      </w:tr>
    </w:tbl>
    <w:p>
      <w:pPr>
        <w:ind w:left="1320"/>
        <w:spacing w:after="0"/>
        <w:rPr>
          <w:sz w:val="20"/>
          <w:szCs w:val="20"/>
          <w:color w:val="auto"/>
        </w:rPr>
      </w:pPr>
      <w:r>
        <w:rPr>
          <w:rFonts w:ascii="Arial" w:cs="Arial" w:eastAsia="Arial" w:hAnsi="Arial"/>
          <w:sz w:val="18"/>
          <w:szCs w:val="18"/>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14605</wp:posOffset>
            </wp:positionV>
            <wp:extent cx="370332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ABA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14605</wp:posOffset>
            </wp:positionV>
            <wp:extent cx="370332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32" w:lineRule="exact"/>
        <w:rPr>
          <w:sz w:val="20"/>
          <w:szCs w:val="20"/>
          <w:color w:val="auto"/>
        </w:rPr>
      </w:pPr>
    </w:p>
    <w:p>
      <w:pPr>
        <w:ind w:left="3480"/>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9579"/>
          </w:cols>
          <w:pgMar w:left="880" w:top="274" w:right="1440"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Dated as of the date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ALEXO THERAPEUTICS INTERNATIONAL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SIRPANT THERAPEUTICS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WESTRIVER INNOVATION LENDING FUND VIII, L.P.</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10.14</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CONFORMED COPY</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amended by that certain Amendment No.1 to Research and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Development Service Agreement, dated as of May 3, 2019</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AMENDED AND RESTATED RESEARCH AND DEVELOPMENT SERVICES</w:t>
      </w:r>
    </w:p>
    <w:p>
      <w:pPr>
        <w:spacing w:after="0" w:line="3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June 18, 2018</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ALX ONCOLOGY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TOLLNINE, INC.</w:t>
      </w:r>
    </w:p>
    <w:p>
      <w:pPr>
        <w:sectPr>
          <w:pgSz w:w="11900" w:h="16838" w:orient="portrait"/>
          <w:cols w:equalWidth="0" w:num="1">
            <w:col w:w="10020"/>
          </w:cols>
          <w:pgMar w:left="1440" w:top="121" w:right="439" w:bottom="1440" w:gutter="0" w:footer="0" w:header="0"/>
        </w:sectPr>
      </w:pPr>
    </w:p>
    <w:bookmarkStart w:id="346" w:name="page347"/>
    <w:bookmarkEnd w:id="34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 RESEARCH AND DEVELOPMENT SERVICES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AGREEMENT</w:t>
      </w:r>
    </w:p>
    <w:p>
      <w:pPr>
        <w:spacing w:after="0" w:line="21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This research and development services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June 18, 2018,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Tollnine, Inc., a Delaware corporation (“</w:t>
      </w:r>
      <w:r>
        <w:rPr>
          <w:rFonts w:ascii="Arial" w:cs="Arial" w:eastAsia="Arial" w:hAnsi="Arial"/>
          <w:sz w:val="17"/>
          <w:szCs w:val="17"/>
          <w:b w:val="1"/>
          <w:bCs w:val="1"/>
          <w:i w:val="1"/>
          <w:iCs w:val="1"/>
          <w:color w:val="auto"/>
        </w:rPr>
        <w:t>Tollnine</w:t>
      </w:r>
      <w:r>
        <w:rPr>
          <w:rFonts w:ascii="Arial" w:cs="Arial" w:eastAsia="Arial" w:hAnsi="Arial"/>
          <w:sz w:val="17"/>
          <w:szCs w:val="17"/>
          <w:color w:val="auto"/>
        </w:rPr>
        <w:t>”) having an address at 1700 Owens Street, Suite 595, San Francisco, CA 94158, and ALX Oncology Inc., a Delaware corporation (“</w:t>
      </w:r>
      <w:r>
        <w:rPr>
          <w:rFonts w:ascii="Arial" w:cs="Arial" w:eastAsia="Arial" w:hAnsi="Arial"/>
          <w:sz w:val="17"/>
          <w:szCs w:val="17"/>
          <w:b w:val="1"/>
          <w:bCs w:val="1"/>
          <w:i w:val="1"/>
          <w:iCs w:val="1"/>
          <w:color w:val="auto"/>
        </w:rPr>
        <w:t>ATI</w:t>
      </w:r>
      <w:r>
        <w:rPr>
          <w:rFonts w:ascii="Arial" w:cs="Arial" w:eastAsia="Arial" w:hAnsi="Arial"/>
          <w:sz w:val="17"/>
          <w:szCs w:val="17"/>
          <w:color w:val="auto"/>
        </w:rPr>
        <w:t>”, formerly Alexo Therapeutics Inc.) having an address at 866 Malcolm Road, Suite 100, Burlingame, CA 94010. Tollnine and ATI are sometimes referred to herein individually as a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i w:val="1"/>
          <w:iCs w:val="1"/>
          <w:color w:val="auto"/>
        </w:rPr>
        <w:t>Parties</w:t>
      </w:r>
      <w:r>
        <w:rPr>
          <w:rFonts w:ascii="Arial" w:cs="Arial" w:eastAsia="Arial" w:hAnsi="Arial"/>
          <w:sz w:val="17"/>
          <w:szCs w:val="17"/>
          <w:color w:val="auto"/>
        </w:rPr>
        <w:t>”.</w:t>
      </w:r>
    </w:p>
    <w:p>
      <w:pPr>
        <w:spacing w:after="0" w:line="17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WHEREAS, Tollnine is a biotechnology company engaged in the business of developing protein based therapeutics for the treatment of oncology conditions in humans;</w:t>
      </w:r>
    </w:p>
    <w:p>
      <w:pPr>
        <w:spacing w:after="0" w:line="170"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WHEREAS, ATI has capabilities in the area of providing research and development services, and possesses suitable facilities for and employs professional personnel knowledgeable about and experienced in such work;</w:t>
      </w:r>
    </w:p>
    <w:p>
      <w:pPr>
        <w:spacing w:after="0" w:line="1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 xml:space="preserve">WHEREAS, Tollnine desires that ATI perform research and development services set out in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xml:space="preserve"> and other services mutually agreed upon by the Parties on behalf of Tollnine; and</w:t>
      </w:r>
    </w:p>
    <w:p>
      <w:pPr>
        <w:spacing w:after="0" w:line="16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WHEREAS, ATI is willing, from time to time, to provide, directly or indirectly, such services to be specified from time-to-time in accordance with Section 2.1, on the terms and conditions set out in this Agreement on behalf of Tollnine.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NOW THEREFORE, in consideration of the mutual covenants and conditions set forth herein, and for other good and valuable consideration the receipt and sufficiency of which are hereby acknowledged, the Parties hereby agree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Definition</w:t>
      </w:r>
      <w:r>
        <w:rPr>
          <w:rFonts w:ascii="Arial" w:cs="Arial" w:eastAsia="Arial" w:hAnsi="Arial"/>
          <w:sz w:val="18"/>
          <w:szCs w:val="18"/>
          <w:color w:val="auto"/>
        </w:rPr>
        <w:t>. Capitalized terms used in this Agreement and not otherwise defined herein shall have the meaning set forth below.</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either Party, any Person that, directly or indirectly, is controlled by, controls or is under common control with such Party. For purposes of this Agreement,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with respect to any Person, the direct or indirect ownership of more than fifty percent (50%) of the voting or economic interest in such Person or the possession otherwise, directly or indirectly, of the power to direct the management or policies of such Person.</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Rate</w:t>
      </w:r>
      <w:r>
        <w:rPr>
          <w:rFonts w:ascii="Arial" w:cs="Arial" w:eastAsia="Arial" w:hAnsi="Arial"/>
          <w:sz w:val="18"/>
          <w:szCs w:val="18"/>
          <w:color w:val="auto"/>
        </w:rPr>
        <w:t>” means the lesser of two percent (2%) per annum or the maximum rate of interest permitted by law, but in no case less than the applicable federal rate for short-term obligations under Section 1274(d) of the Internal Revenue Code of 1986, as amended, for the period for which the Applicable Rate is being applied.</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ATI Background Technology</w:t>
      </w:r>
      <w:r>
        <w:rPr>
          <w:rFonts w:ascii="Arial" w:cs="Arial" w:eastAsia="Arial" w:hAnsi="Arial"/>
          <w:sz w:val="18"/>
          <w:szCs w:val="18"/>
          <w:color w:val="auto"/>
        </w:rPr>
        <w:t>” means technology, know-how, inventions and trade secrets that are or were (a) invented by officers, employees or agents of, or consultants to, ATI or any of its Affiliates, alone or jointly with third parties, at any time outside of the Services or (b) acquired by purchase, license, assignment or other means from third parties by ATI or any of its Affiliates, alone or jointly with third parties, at any time outside of the Services.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i w:val="1"/>
          <w:iCs w:val="1"/>
          <w:color w:val="auto"/>
        </w:rPr>
        <w:t>Business Day(s)</w:t>
      </w:r>
      <w:r>
        <w:rPr>
          <w:rFonts w:ascii="Arial" w:cs="Arial" w:eastAsia="Arial" w:hAnsi="Arial"/>
          <w:sz w:val="18"/>
          <w:szCs w:val="18"/>
          <w:color w:val="auto"/>
        </w:rPr>
        <w:t>” means any day other than a Saturday or Sunday that is not a national holiday in the United States.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Intellectual Property Rights</w:t>
      </w:r>
      <w:r>
        <w:rPr>
          <w:rFonts w:ascii="Arial" w:cs="Arial" w:eastAsia="Arial" w:hAnsi="Arial"/>
          <w:sz w:val="18"/>
          <w:szCs w:val="18"/>
          <w:color w:val="auto"/>
        </w:rPr>
        <w:t>” means all inventions, know-how, trade secrets, inventions, discoveries, modifications, improvements, materials, compositions of matter, techniques, methods, processes, products, works of authorship, designs and data (whether or not protectable under patent, copyright, trade secrecy or similar laws) and all Patents, patent applications, copyrights, copyright registrations, trademarks, service marks, registrations and applications for trademarks and service marks, trade names, logos, designs, brand names and trade dress, including but not limited to Existing Technology and New Technology (as defined in Section 4.1) and all rights and forms of protection as may subsist anywhere in the world and having equivalent or similar effect to any of the foregoing.</w:t>
      </w:r>
    </w:p>
    <w:p>
      <w:pPr>
        <w:spacing w:after="0" w:line="19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Patent</w:t>
      </w:r>
      <w:r>
        <w:rPr>
          <w:rFonts w:ascii="Arial" w:cs="Arial" w:eastAsia="Arial" w:hAnsi="Arial"/>
          <w:sz w:val="17"/>
          <w:szCs w:val="17"/>
          <w:color w:val="auto"/>
        </w:rPr>
        <w:t>” means any and all (a) patents issued by any government authority, including without limitation re-examinations, reissues, renewals, extensions, supplementary protection certificates, and term restorations, and (b) pending applications for patents filed with any government authority, including without limitation continuations, continuations-in-part, divisionals, substitute applications and inventor’s certificates.</w:t>
      </w:r>
    </w:p>
    <w:p>
      <w:pPr>
        <w:spacing w:after="0" w:line="16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individual, corporation, association, partnership (general or limited), joint venture, trust, estate, limited liability company, limited liability partnership, unincorporated organization, government (or any agency or political subdivision thereof) or other legal entity or organization.</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Authority</w:t>
      </w:r>
      <w:r>
        <w:rPr>
          <w:rFonts w:ascii="Arial" w:cs="Arial" w:eastAsia="Arial" w:hAnsi="Arial"/>
          <w:sz w:val="18"/>
          <w:szCs w:val="18"/>
          <w:color w:val="auto"/>
        </w:rPr>
        <w:t>” means any national, supra-national, regional, state or local regulatory agency, department, bureau, commission, council or other governmental entity, including, without limitation,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Results</w:t>
      </w:r>
      <w:r>
        <w:rPr>
          <w:rFonts w:ascii="Arial" w:cs="Arial" w:eastAsia="Arial" w:hAnsi="Arial"/>
          <w:sz w:val="18"/>
          <w:szCs w:val="18"/>
          <w:color w:val="auto"/>
        </w:rPr>
        <w:t>” means all results, inventions, data, reports and other Intellectual Property Rights made by ATI arising from the Services.</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Service(s)</w:t>
      </w:r>
      <w:r>
        <w:rPr>
          <w:rFonts w:ascii="Arial" w:cs="Arial" w:eastAsia="Arial" w:hAnsi="Arial"/>
          <w:sz w:val="18"/>
          <w:szCs w:val="18"/>
          <w:color w:val="auto"/>
        </w:rPr>
        <w:t xml:space="preserve">” means, subject to the terms and conditions in this Agreement, research and development support service(s) described in </w:t>
      </w:r>
      <w:r>
        <w:rPr>
          <w:rFonts w:ascii="Arial" w:cs="Arial" w:eastAsia="Arial" w:hAnsi="Arial"/>
          <w:sz w:val="18"/>
          <w:szCs w:val="18"/>
          <w:b w:val="1"/>
          <w:bCs w:val="1"/>
          <w:u w:val="single" w:color="auto"/>
          <w:color w:val="auto"/>
        </w:rPr>
        <w:t>Attachment 1,</w:t>
      </w:r>
      <w:r>
        <w:rPr>
          <w:rFonts w:ascii="Arial" w:cs="Arial" w:eastAsia="Arial" w:hAnsi="Arial"/>
          <w:sz w:val="18"/>
          <w:szCs w:val="18"/>
          <w:color w:val="auto"/>
        </w:rPr>
        <w:t xml:space="preserve"> and, going forward, any related services as may be agreed by the Parties.</w:t>
      </w:r>
    </w:p>
    <w:p>
      <w:pPr>
        <w:spacing w:after="0" w:line="166" w:lineRule="exact"/>
        <w:rPr>
          <w:sz w:val="20"/>
          <w:szCs w:val="20"/>
          <w:color w:val="auto"/>
        </w:rPr>
      </w:pPr>
    </w:p>
    <w:p>
      <w:pPr>
        <w:ind w:right="6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Services Work Product</w:t>
      </w:r>
      <w:r>
        <w:rPr>
          <w:rFonts w:ascii="Arial" w:cs="Arial" w:eastAsia="Arial" w:hAnsi="Arial"/>
          <w:sz w:val="16"/>
          <w:szCs w:val="16"/>
          <w:color w:val="auto"/>
        </w:rPr>
        <w:t>” means all work product that arises by the performance by ATI of the Services, provided that “Services Work Product” excludes ATI Background Technology and improvements to ATI Background Technology that arise during performance of the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Other Defined Terms. </w:t>
      </w:r>
      <w:r>
        <w:rPr>
          <w:rFonts w:ascii="Arial" w:cs="Arial" w:eastAsia="Arial" w:hAnsi="Arial"/>
          <w:sz w:val="18"/>
          <w:szCs w:val="18"/>
          <w:color w:val="auto"/>
        </w:rPr>
        <w:t>Each of the following terms has the meaning ascribed to it in the section set forth opposite such term:</w:t>
      </w:r>
    </w:p>
    <w:p>
      <w:pPr>
        <w:sectPr>
          <w:pgSz w:w="11900" w:h="16838" w:orient="portrait"/>
          <w:cols w:equalWidth="0" w:num="1">
            <w:col w:w="10980"/>
          </w:cols>
          <w:pgMar w:left="440" w:top="274"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“Affected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“ATI”</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“Confidential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Section 2.5(a)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Section 7.12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4.2(a)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3.1</w:t>
      </w:r>
    </w:p>
    <w:p>
      <w:pPr>
        <w:spacing w:after="0" w:line="143" w:lineRule="exact"/>
        <w:rPr>
          <w:sz w:val="20"/>
          <w:szCs w:val="20"/>
          <w:color w:val="auto"/>
        </w:rPr>
      </w:pPr>
    </w:p>
    <w:p>
      <w:pPr>
        <w:sectPr>
          <w:pgSz w:w="11900" w:h="16838" w:orient="portrait"/>
          <w:cols w:equalWidth="0" w:num="2">
            <w:col w:w="2480" w:space="720"/>
            <w:col w:w="7780"/>
          </w:cols>
          <w:pgMar w:left="440" w:top="274" w:right="479" w:bottom="1440" w:gutter="0" w:footer="0" w:header="0"/>
          <w:type w:val="continuous"/>
        </w:sect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980"/>
          </w:cols>
          <w:pgMar w:left="440" w:top="274" w:right="479" w:bottom="1440" w:gutter="0" w:footer="0" w:header="0"/>
          <w:type w:val="continuous"/>
        </w:sectPr>
      </w:pPr>
    </w:p>
    <w:bookmarkStart w:id="348" w:name="page349"/>
    <w:bookmarkEnd w:id="348"/>
    <w:tbl>
      <w:tblPr>
        <w:tblLayout w:type="fixed"/>
        <w:tblInd w:w="4"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“Confidential Information”</w:t>
            </w:r>
          </w:p>
        </w:tc>
        <w:tc>
          <w:tcPr>
            <w:tcW w:w="1040" w:type="dxa"/>
            <w:vAlign w:val="bottom"/>
          </w:tcPr>
          <w:p>
            <w:pPr>
              <w:spacing w:after="0"/>
              <w:rPr>
                <w:sz w:val="20"/>
                <w:szCs w:val="20"/>
                <w:color w:val="auto"/>
              </w:rPr>
            </w:pPr>
            <w:r>
              <w:rPr>
                <w:rFonts w:ascii="Arial" w:cs="Arial" w:eastAsia="Arial" w:hAnsi="Arial"/>
                <w:sz w:val="18"/>
                <w:szCs w:val="18"/>
                <w:color w:val="auto"/>
              </w:rPr>
              <w:t>Section 4.2</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“Disadvantaged Party”</w:t>
            </w:r>
          </w:p>
        </w:tc>
        <w:tc>
          <w:tcPr>
            <w:tcW w:w="1040" w:type="dxa"/>
            <w:vAlign w:val="bottom"/>
          </w:tcPr>
          <w:p>
            <w:pPr>
              <w:spacing w:after="0"/>
              <w:rPr>
                <w:sz w:val="20"/>
                <w:szCs w:val="20"/>
                <w:color w:val="auto"/>
              </w:rPr>
            </w:pPr>
            <w:r>
              <w:rPr>
                <w:rFonts w:ascii="Arial" w:cs="Arial" w:eastAsia="Arial" w:hAnsi="Arial"/>
                <w:sz w:val="18"/>
                <w:szCs w:val="18"/>
                <w:color w:val="auto"/>
              </w:rPr>
              <w:t>Section 7.12</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“Effective Date”</w:t>
            </w:r>
          </w:p>
        </w:tc>
        <w:tc>
          <w:tcPr>
            <w:tcW w:w="1040" w:type="dxa"/>
            <w:vAlign w:val="bottom"/>
          </w:tcPr>
          <w:p>
            <w:pPr>
              <w:spacing w:after="0"/>
              <w:rPr>
                <w:sz w:val="20"/>
                <w:szCs w:val="20"/>
                <w:color w:val="auto"/>
              </w:rPr>
            </w:pPr>
            <w:r>
              <w:rPr>
                <w:rFonts w:ascii="Arial" w:cs="Arial" w:eastAsia="Arial" w:hAnsi="Arial"/>
                <w:sz w:val="18"/>
                <w:szCs w:val="18"/>
                <w:color w:val="auto"/>
              </w:rPr>
              <w:t>Recitals</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“Existing Technology”</w:t>
            </w:r>
          </w:p>
        </w:tc>
        <w:tc>
          <w:tcPr>
            <w:tcW w:w="1040" w:type="dxa"/>
            <w:vAlign w:val="bottom"/>
          </w:tcPr>
          <w:p>
            <w:pPr>
              <w:spacing w:after="0"/>
              <w:rPr>
                <w:sz w:val="20"/>
                <w:szCs w:val="20"/>
                <w:color w:val="auto"/>
              </w:rPr>
            </w:pPr>
            <w:r>
              <w:rPr>
                <w:rFonts w:ascii="Arial" w:cs="Arial" w:eastAsia="Arial" w:hAnsi="Arial"/>
                <w:sz w:val="18"/>
                <w:szCs w:val="18"/>
                <w:color w:val="auto"/>
                <w:w w:val="90"/>
              </w:rPr>
              <w:t>Section 4.1(a)</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“FDA”</w:t>
            </w:r>
          </w:p>
        </w:tc>
        <w:tc>
          <w:tcPr>
            <w:tcW w:w="1040" w:type="dxa"/>
            <w:vAlign w:val="bottom"/>
          </w:tcPr>
          <w:p>
            <w:pPr>
              <w:spacing w:after="0"/>
              <w:rPr>
                <w:sz w:val="20"/>
                <w:szCs w:val="20"/>
                <w:color w:val="auto"/>
              </w:rPr>
            </w:pPr>
            <w:r>
              <w:rPr>
                <w:rFonts w:ascii="Arial" w:cs="Arial" w:eastAsia="Arial" w:hAnsi="Arial"/>
                <w:sz w:val="18"/>
                <w:szCs w:val="18"/>
                <w:color w:val="auto"/>
                <w:w w:val="90"/>
              </w:rPr>
              <w:t>Section 2.5(a)</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“Force Majeure”</w:t>
            </w:r>
          </w:p>
        </w:tc>
        <w:tc>
          <w:tcPr>
            <w:tcW w:w="1040" w:type="dxa"/>
            <w:vAlign w:val="bottom"/>
          </w:tcPr>
          <w:p>
            <w:pPr>
              <w:spacing w:after="0"/>
              <w:rPr>
                <w:sz w:val="20"/>
                <w:szCs w:val="20"/>
                <w:color w:val="auto"/>
              </w:rPr>
            </w:pPr>
            <w:r>
              <w:rPr>
                <w:rFonts w:ascii="Arial" w:cs="Arial" w:eastAsia="Arial" w:hAnsi="Arial"/>
                <w:sz w:val="18"/>
                <w:szCs w:val="18"/>
                <w:color w:val="auto"/>
              </w:rPr>
              <w:t>Section 7.12</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“New Technology”</w:t>
            </w:r>
          </w:p>
        </w:tc>
        <w:tc>
          <w:tcPr>
            <w:tcW w:w="1040" w:type="dxa"/>
            <w:vAlign w:val="bottom"/>
          </w:tcPr>
          <w:p>
            <w:pPr>
              <w:spacing w:after="0"/>
              <w:rPr>
                <w:sz w:val="20"/>
                <w:szCs w:val="20"/>
                <w:color w:val="auto"/>
              </w:rPr>
            </w:pPr>
            <w:r>
              <w:rPr>
                <w:rFonts w:ascii="Arial" w:cs="Arial" w:eastAsia="Arial" w:hAnsi="Arial"/>
                <w:sz w:val="18"/>
                <w:szCs w:val="18"/>
                <w:color w:val="auto"/>
                <w:w w:val="90"/>
              </w:rPr>
              <w:t>Section 4.1(b)</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“Party”</w:t>
            </w:r>
          </w:p>
        </w:tc>
        <w:tc>
          <w:tcPr>
            <w:tcW w:w="1040" w:type="dxa"/>
            <w:vAlign w:val="bottom"/>
          </w:tcPr>
          <w:p>
            <w:pPr>
              <w:spacing w:after="0"/>
              <w:rPr>
                <w:sz w:val="20"/>
                <w:szCs w:val="20"/>
                <w:color w:val="auto"/>
              </w:rPr>
            </w:pPr>
            <w:r>
              <w:rPr>
                <w:rFonts w:ascii="Arial" w:cs="Arial" w:eastAsia="Arial" w:hAnsi="Arial"/>
                <w:sz w:val="18"/>
                <w:szCs w:val="18"/>
                <w:color w:val="auto"/>
              </w:rPr>
              <w:t>Recitals</w:t>
            </w:r>
          </w:p>
        </w:tc>
      </w:tr>
      <w:tr>
        <w:trPr>
          <w:trHeight w:val="212"/>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“Parties”</w:t>
            </w:r>
          </w:p>
        </w:tc>
        <w:tc>
          <w:tcPr>
            <w:tcW w:w="1040" w:type="dxa"/>
            <w:vAlign w:val="bottom"/>
          </w:tcPr>
          <w:p>
            <w:pPr>
              <w:spacing w:after="0"/>
              <w:rPr>
                <w:sz w:val="20"/>
                <w:szCs w:val="20"/>
                <w:color w:val="auto"/>
              </w:rPr>
            </w:pPr>
            <w:r>
              <w:rPr>
                <w:rFonts w:ascii="Arial" w:cs="Arial" w:eastAsia="Arial" w:hAnsi="Arial"/>
                <w:sz w:val="18"/>
                <w:szCs w:val="18"/>
                <w:color w:val="auto"/>
              </w:rPr>
              <w:t>Recitals</w:t>
            </w:r>
          </w:p>
        </w:tc>
      </w:tr>
      <w:tr>
        <w:trPr>
          <w:trHeight w:val="194"/>
        </w:trPr>
        <w:tc>
          <w:tcPr>
            <w:tcW w:w="3200" w:type="dxa"/>
            <w:vAlign w:val="bottom"/>
          </w:tcPr>
          <w:p>
            <w:pPr>
              <w:spacing w:after="0" w:line="194" w:lineRule="exact"/>
              <w:rPr>
                <w:sz w:val="20"/>
                <w:szCs w:val="20"/>
                <w:color w:val="auto"/>
              </w:rPr>
            </w:pPr>
            <w:r>
              <w:rPr>
                <w:rFonts w:ascii="Arial" w:cs="Arial" w:eastAsia="Arial" w:hAnsi="Arial"/>
                <w:sz w:val="18"/>
                <w:szCs w:val="18"/>
                <w:b w:val="1"/>
                <w:bCs w:val="1"/>
                <w:i w:val="1"/>
                <w:iCs w:val="1"/>
                <w:color w:val="auto"/>
              </w:rPr>
              <w:t>“Service Fee”</w:t>
            </w:r>
          </w:p>
        </w:tc>
        <w:tc>
          <w:tcPr>
            <w:tcW w:w="104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9"/>
              </w:rPr>
              <w:t>Attachment 2</w:t>
            </w:r>
          </w:p>
        </w:tc>
      </w:tr>
      <w:tr>
        <w:trPr>
          <w:trHeight w:val="222"/>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“Supplier(s)”</w:t>
            </w:r>
          </w:p>
        </w:tc>
        <w:tc>
          <w:tcPr>
            <w:tcW w:w="1040" w:type="dxa"/>
            <w:vAlign w:val="bottom"/>
          </w:tcPr>
          <w:p>
            <w:pPr>
              <w:spacing w:after="0"/>
              <w:rPr>
                <w:sz w:val="20"/>
                <w:szCs w:val="20"/>
                <w:color w:val="auto"/>
              </w:rPr>
            </w:pPr>
            <w:r>
              <w:rPr>
                <w:rFonts w:ascii="Arial" w:cs="Arial" w:eastAsia="Arial" w:hAnsi="Arial"/>
                <w:sz w:val="18"/>
                <w:szCs w:val="18"/>
                <w:color w:val="auto"/>
              </w:rPr>
              <w:t>Section 2.3</w:t>
            </w:r>
          </w:p>
        </w:tc>
      </w:tr>
      <w:tr>
        <w:trPr>
          <w:trHeight w:val="216"/>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“Term”</w:t>
            </w:r>
          </w:p>
        </w:tc>
        <w:tc>
          <w:tcPr>
            <w:tcW w:w="1040" w:type="dxa"/>
            <w:vAlign w:val="bottom"/>
          </w:tcPr>
          <w:p>
            <w:pPr>
              <w:spacing w:after="0"/>
              <w:rPr>
                <w:sz w:val="20"/>
                <w:szCs w:val="20"/>
                <w:color w:val="auto"/>
              </w:rPr>
            </w:pPr>
            <w:r>
              <w:rPr>
                <w:rFonts w:ascii="Arial" w:cs="Arial" w:eastAsia="Arial" w:hAnsi="Arial"/>
                <w:sz w:val="18"/>
                <w:szCs w:val="18"/>
                <w:color w:val="auto"/>
              </w:rPr>
              <w:t>Section 6.1</w:t>
            </w:r>
          </w:p>
        </w:tc>
      </w:tr>
      <w:tr>
        <w:trPr>
          <w:trHeight w:val="230"/>
        </w:trPr>
        <w:tc>
          <w:tcPr>
            <w:tcW w:w="3200" w:type="dxa"/>
            <w:vAlign w:val="bottom"/>
          </w:tcPr>
          <w:p>
            <w:pPr>
              <w:spacing w:after="0"/>
              <w:rPr>
                <w:sz w:val="20"/>
                <w:szCs w:val="20"/>
                <w:color w:val="auto"/>
              </w:rPr>
            </w:pPr>
            <w:r>
              <w:rPr>
                <w:rFonts w:ascii="Arial" w:cs="Arial" w:eastAsia="Arial" w:hAnsi="Arial"/>
                <w:sz w:val="18"/>
                <w:szCs w:val="18"/>
                <w:b w:val="1"/>
                <w:bCs w:val="1"/>
                <w:i w:val="1"/>
                <w:iCs w:val="1"/>
                <w:color w:val="auto"/>
              </w:rPr>
              <w:t>“Tollnine”</w:t>
            </w:r>
          </w:p>
        </w:tc>
        <w:tc>
          <w:tcPr>
            <w:tcW w:w="1040" w:type="dxa"/>
            <w:vAlign w:val="bottom"/>
          </w:tcPr>
          <w:p>
            <w:pPr>
              <w:spacing w:after="0"/>
              <w:rPr>
                <w:sz w:val="20"/>
                <w:szCs w:val="20"/>
                <w:color w:val="auto"/>
              </w:rPr>
            </w:pPr>
            <w:r>
              <w:rPr>
                <w:rFonts w:ascii="Arial" w:cs="Arial" w:eastAsia="Arial" w:hAnsi="Arial"/>
                <w:sz w:val="18"/>
                <w:szCs w:val="18"/>
                <w:color w:val="auto"/>
              </w:rPr>
              <w:t>Recitals</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2. SERVICES</w:t>
      </w:r>
    </w:p>
    <w:p>
      <w:pPr>
        <w:spacing w:after="0" w:line="117" w:lineRule="exact"/>
        <w:rPr>
          <w:sz w:val="20"/>
          <w:szCs w:val="20"/>
          <w:color w:val="auto"/>
        </w:rPr>
      </w:pPr>
    </w:p>
    <w:p>
      <w:pPr>
        <w:ind w:left="4" w:right="320"/>
        <w:spacing w:after="0" w:line="266" w:lineRule="auto"/>
        <w:rPr>
          <w:sz w:val="20"/>
          <w:szCs w:val="20"/>
          <w:color w:val="auto"/>
        </w:rPr>
      </w:pPr>
      <w:r>
        <w:rPr>
          <w:rFonts w:ascii="Arial" w:cs="Arial" w:eastAsia="Arial" w:hAnsi="Arial"/>
          <w:sz w:val="18"/>
          <w:szCs w:val="18"/>
          <w:b w:val="1"/>
          <w:bCs w:val="1"/>
          <w:color w:val="auto"/>
        </w:rPr>
        <w:t xml:space="preserve">2.1 Development Services. </w:t>
      </w:r>
      <w:r>
        <w:rPr>
          <w:rFonts w:ascii="Arial" w:cs="Arial" w:eastAsia="Arial" w:hAnsi="Arial"/>
          <w:sz w:val="18"/>
          <w:szCs w:val="18"/>
          <w:color w:val="auto"/>
        </w:rPr>
        <w:t>During the Term, ATI shall, at the request of Tollnine, provide to Tollnine the Services. ATI shall also be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preparing a detailed budget for the Services when requested by Tollnine. If required, each budget will be updated on a quarterly basis by ATI and submitted to Tollnine for approval.</w:t>
      </w:r>
    </w:p>
    <w:p>
      <w:pPr>
        <w:spacing w:after="0" w:line="176" w:lineRule="exact"/>
        <w:rPr>
          <w:sz w:val="20"/>
          <w:szCs w:val="20"/>
          <w:color w:val="auto"/>
        </w:rPr>
      </w:pPr>
    </w:p>
    <w:p>
      <w:pPr>
        <w:ind w:left="4"/>
        <w:spacing w:after="0" w:line="347" w:lineRule="auto"/>
        <w:rPr>
          <w:sz w:val="20"/>
          <w:szCs w:val="20"/>
          <w:color w:val="auto"/>
        </w:rPr>
      </w:pPr>
      <w:r>
        <w:rPr>
          <w:rFonts w:ascii="Arial" w:cs="Arial" w:eastAsia="Arial" w:hAnsi="Arial"/>
          <w:sz w:val="16"/>
          <w:szCs w:val="16"/>
          <w:b w:val="1"/>
          <w:bCs w:val="1"/>
          <w:color w:val="auto"/>
        </w:rPr>
        <w:t xml:space="preserve">2.2 Changes in Services or Budgeted Amounts. </w:t>
      </w:r>
      <w:r>
        <w:rPr>
          <w:rFonts w:ascii="Arial" w:cs="Arial" w:eastAsia="Arial" w:hAnsi="Arial"/>
          <w:sz w:val="16"/>
          <w:szCs w:val="16"/>
          <w:color w:val="auto"/>
        </w:rPr>
        <w:t>Tollnine may propose changes in the Services as reasonably required based upon the Results. ATI may</w:t>
      </w:r>
      <w:r>
        <w:rPr>
          <w:rFonts w:ascii="Arial" w:cs="Arial" w:eastAsia="Arial" w:hAnsi="Arial"/>
          <w:sz w:val="16"/>
          <w:szCs w:val="16"/>
          <w:b w:val="1"/>
          <w:bCs w:val="1"/>
          <w:color w:val="auto"/>
        </w:rPr>
        <w:t xml:space="preserve"> </w:t>
      </w:r>
      <w:r>
        <w:rPr>
          <w:rFonts w:ascii="Arial" w:cs="Arial" w:eastAsia="Arial" w:hAnsi="Arial"/>
          <w:sz w:val="16"/>
          <w:szCs w:val="16"/>
          <w:color w:val="auto"/>
        </w:rPr>
        <w:t>also propose changes in the Services and adjustments to the corresponding budgeted amount based upon the Results with the consent of Tollnine.</w:t>
      </w:r>
    </w:p>
    <w:p>
      <w:pPr>
        <w:spacing w:after="0" w:line="116" w:lineRule="exact"/>
        <w:rPr>
          <w:sz w:val="20"/>
          <w:szCs w:val="20"/>
          <w:color w:val="auto"/>
        </w:rPr>
      </w:pPr>
    </w:p>
    <w:p>
      <w:pPr>
        <w:ind w:left="4" w:right="420"/>
        <w:spacing w:after="0" w:line="303" w:lineRule="auto"/>
        <w:rPr>
          <w:sz w:val="20"/>
          <w:szCs w:val="20"/>
          <w:color w:val="auto"/>
        </w:rPr>
      </w:pPr>
      <w:r>
        <w:rPr>
          <w:rFonts w:ascii="Arial" w:cs="Arial" w:eastAsia="Arial" w:hAnsi="Arial"/>
          <w:sz w:val="16"/>
          <w:szCs w:val="16"/>
          <w:b w:val="1"/>
          <w:bCs w:val="1"/>
          <w:color w:val="auto"/>
        </w:rPr>
        <w:t xml:space="preserve">2.3 Use of Third Parties. </w:t>
      </w:r>
      <w:r>
        <w:rPr>
          <w:rFonts w:ascii="Arial" w:cs="Arial" w:eastAsia="Arial" w:hAnsi="Arial"/>
          <w:sz w:val="16"/>
          <w:szCs w:val="16"/>
          <w:color w:val="auto"/>
        </w:rPr>
        <w:t>ATI may subcontract to one or more qualified third party suppliers (“</w:t>
      </w:r>
      <w:r>
        <w:rPr>
          <w:rFonts w:ascii="Arial" w:cs="Arial" w:eastAsia="Arial" w:hAnsi="Arial"/>
          <w:sz w:val="16"/>
          <w:szCs w:val="16"/>
          <w:b w:val="1"/>
          <w:bCs w:val="1"/>
          <w:i w:val="1"/>
          <w:iCs w:val="1"/>
          <w:color w:val="auto"/>
        </w:rPr>
        <w:t>Supplier(s)</w:t>
      </w:r>
      <w:r>
        <w:rPr>
          <w:rFonts w:ascii="Arial" w:cs="Arial" w:eastAsia="Arial" w:hAnsi="Arial"/>
          <w:sz w:val="16"/>
          <w:szCs w:val="16"/>
          <w:color w:val="auto"/>
        </w:rPr>
        <w:t>”) for those portions of the Services that</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the use of special personnel or equipment, provided that the subcontracting of such Services shall not limit or affect ATI’s liabilities, responsibilities, obligations or duties under this Agreement, including but not limited to the obligations under Section 2.5 and Article 4 of this Agreement. ATI shall provide Tollnine with notice of those third party Suppliers to which it subcontracts portions of the Services.</w:t>
      </w:r>
    </w:p>
    <w:p>
      <w:pPr>
        <w:spacing w:after="0" w:line="151" w:lineRule="exact"/>
        <w:rPr>
          <w:sz w:val="20"/>
          <w:szCs w:val="20"/>
          <w:color w:val="auto"/>
        </w:rPr>
      </w:pPr>
    </w:p>
    <w:p>
      <w:pPr>
        <w:ind w:left="4" w:right="260"/>
        <w:spacing w:after="0" w:line="282" w:lineRule="auto"/>
        <w:rPr>
          <w:sz w:val="20"/>
          <w:szCs w:val="20"/>
          <w:color w:val="auto"/>
        </w:rPr>
      </w:pPr>
      <w:r>
        <w:rPr>
          <w:rFonts w:ascii="Arial" w:cs="Arial" w:eastAsia="Arial" w:hAnsi="Arial"/>
          <w:sz w:val="18"/>
          <w:szCs w:val="18"/>
          <w:b w:val="1"/>
          <w:bCs w:val="1"/>
          <w:color w:val="auto"/>
        </w:rPr>
        <w:t xml:space="preserve">2.4 Tollnine Assistance. </w:t>
      </w:r>
      <w:r>
        <w:rPr>
          <w:rFonts w:ascii="Arial" w:cs="Arial" w:eastAsia="Arial" w:hAnsi="Arial"/>
          <w:sz w:val="18"/>
          <w:szCs w:val="18"/>
          <w:color w:val="auto"/>
        </w:rPr>
        <w:t>Tollnine shall provide ATI with certain assistance in connection with the Services, as ATI reasonably requests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delivery of the Services.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2.5 Diligence; Standards of Conduct.</w:t>
      </w:r>
    </w:p>
    <w:p>
      <w:pPr>
        <w:spacing w:after="0" w:line="229" w:lineRule="exact"/>
        <w:rPr>
          <w:sz w:val="20"/>
          <w:szCs w:val="20"/>
          <w:color w:val="auto"/>
        </w:rPr>
      </w:pPr>
    </w:p>
    <w:p>
      <w:pPr>
        <w:ind w:left="4" w:right="60" w:hanging="4"/>
        <w:spacing w:after="0" w:line="257" w:lineRule="auto"/>
        <w:tabs>
          <w:tab w:leader="none" w:pos="249"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performing the Services, ATI shall comply with the instructions of Tollnine and standard operating procedures mutually approved by Tollnine and ATI. ATI shall perform the Services, when appropriate, in a manner consistent with “Good Laboratory/Clinical Practices”, all relevant professional standards and applicable laws, rules and regulations, including, but not limited to, the U.S. Food, Drug and Cosmetic Act of 1934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regulations promulgated thereunder by the U.S. Food and Drug Administration (the “</w:t>
      </w:r>
      <w:r>
        <w:rPr>
          <w:rFonts w:ascii="Arial" w:cs="Arial" w:eastAsia="Arial" w:hAnsi="Arial"/>
          <w:sz w:val="18"/>
          <w:szCs w:val="18"/>
          <w:b w:val="1"/>
          <w:bCs w:val="1"/>
          <w:i w:val="1"/>
          <w:iCs w:val="1"/>
          <w:color w:val="auto"/>
        </w:rPr>
        <w:t>FDA</w:t>
      </w:r>
      <w:r>
        <w:rPr>
          <w:rFonts w:ascii="Arial" w:cs="Arial" w:eastAsia="Arial" w:hAnsi="Arial"/>
          <w:sz w:val="18"/>
          <w:szCs w:val="18"/>
          <w:color w:val="auto"/>
        </w:rPr>
        <w:t>”) and, as applicable, regulations issued by other applicable Regulatory Authorities.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49" w:name="page350"/>
    <w:bookmarkEnd w:id="349"/>
    <w:p>
      <w:pPr>
        <w:ind w:left="4" w:hanging="4"/>
        <w:spacing w:after="0" w:line="257" w:lineRule="auto"/>
        <w:tabs>
          <w:tab w:leader="none" w:pos="259" w:val="left"/>
        </w:tabs>
        <w:numPr>
          <w:ilvl w:val="0"/>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Tollnine will comply with all applicable laws and regulations pertaining to performance by Tollnine of its obligations under this Agreement, including, but not limited to, all relevant tax laws and regulations. ATI will comply with all applicable laws and regulations pertaining to performance by ATI of its obligations under this Agreement, including, but not limited to, all relevant tax laws and regulations. Neither Party shall be required to perform or omit to perform any act required or permitted under this Agreement if such performance or omission would violate the provisions of any such law or regulation.</w:t>
      </w:r>
    </w:p>
    <w:p>
      <w:pPr>
        <w:spacing w:after="0" w:line="187" w:lineRule="exact"/>
        <w:rPr>
          <w:rFonts w:ascii="Arial" w:cs="Arial" w:eastAsia="Arial" w:hAnsi="Arial"/>
          <w:sz w:val="18"/>
          <w:szCs w:val="18"/>
          <w:color w:val="auto"/>
        </w:rPr>
      </w:pPr>
    </w:p>
    <w:p>
      <w:pPr>
        <w:ind w:left="4" w:right="20" w:hanging="4"/>
        <w:spacing w:after="0" w:line="259" w:lineRule="auto"/>
        <w:tabs>
          <w:tab w:leader="none" w:pos="24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ATI shall have and maintain in full force and effect any and all licenses, permits, authorizations, registrations and qualifications from all governmental agencies, to the extent necessary or appropriate to perform its obligations under this Agreement. ATI shall provide Tollnine with prompt written notice of any changes in any applicable law, rule, regulation or governmental order, which comes to ATI’s attention that may affect either Party’s performance of its obligations hereunder.</w:t>
      </w:r>
    </w:p>
    <w:p>
      <w:pPr>
        <w:spacing w:after="0" w:line="183" w:lineRule="exact"/>
        <w:rPr>
          <w:sz w:val="20"/>
          <w:szCs w:val="20"/>
          <w:color w:val="auto"/>
        </w:rPr>
      </w:pPr>
    </w:p>
    <w:p>
      <w:pPr>
        <w:ind w:left="4" w:right="180"/>
        <w:spacing w:after="0" w:line="266" w:lineRule="auto"/>
        <w:rPr>
          <w:sz w:val="20"/>
          <w:szCs w:val="20"/>
          <w:color w:val="auto"/>
        </w:rPr>
      </w:pPr>
      <w:r>
        <w:rPr>
          <w:rFonts w:ascii="Arial" w:cs="Arial" w:eastAsia="Arial" w:hAnsi="Arial"/>
          <w:sz w:val="18"/>
          <w:szCs w:val="18"/>
          <w:b w:val="1"/>
          <w:bCs w:val="1"/>
          <w:color w:val="auto"/>
        </w:rPr>
        <w:t xml:space="preserve">2.6 Records; Reports(a) . </w:t>
      </w:r>
      <w:r>
        <w:rPr>
          <w:rFonts w:ascii="Arial" w:cs="Arial" w:eastAsia="Arial" w:hAnsi="Arial"/>
          <w:sz w:val="18"/>
          <w:szCs w:val="18"/>
          <w:color w:val="auto"/>
        </w:rPr>
        <w:t>(a) ATI shall maintain clear, accurate and complete records in respect of all Services, including, without limitation,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laboratory notebooks setting out experimental procedures and the resulting data, experimental reports, quality control records, analytical test results, progress reports, memoranda and correspondence.</w:t>
      </w:r>
    </w:p>
    <w:p>
      <w:pPr>
        <w:spacing w:after="0" w:line="180" w:lineRule="exact"/>
        <w:rPr>
          <w:sz w:val="20"/>
          <w:szCs w:val="20"/>
          <w:color w:val="auto"/>
        </w:rPr>
      </w:pPr>
    </w:p>
    <w:p>
      <w:pPr>
        <w:ind w:left="4" w:right="200" w:hanging="4"/>
        <w:spacing w:after="0" w:line="277" w:lineRule="auto"/>
        <w:tabs>
          <w:tab w:leader="none" w:pos="259" w:val="left"/>
        </w:tabs>
        <w:numPr>
          <w:ilvl w:val="0"/>
          <w:numId w:val="309"/>
        </w:numPr>
        <w:rPr>
          <w:rFonts w:ascii="Arial" w:cs="Arial" w:eastAsia="Arial" w:hAnsi="Arial"/>
          <w:sz w:val="18"/>
          <w:szCs w:val="18"/>
          <w:color w:val="auto"/>
        </w:rPr>
      </w:pPr>
      <w:r>
        <w:rPr>
          <w:rFonts w:ascii="Arial" w:cs="Arial" w:eastAsia="Arial" w:hAnsi="Arial"/>
          <w:sz w:val="18"/>
          <w:szCs w:val="18"/>
          <w:color w:val="auto"/>
        </w:rPr>
        <w:t>Upon the written request of Tollnine during the Term, ATI shall provide status reports in a form to be agreed upon between the Parties. Such status reports shall specify the progress that has been made with respect to any and all Services then ongoing.</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 PRICING; PAYMENT</w:t>
      </w:r>
    </w:p>
    <w:p>
      <w:pPr>
        <w:spacing w:after="0" w:line="117" w:lineRule="exact"/>
        <w:rPr>
          <w:sz w:val="20"/>
          <w:szCs w:val="20"/>
          <w:color w:val="auto"/>
        </w:rPr>
      </w:pPr>
    </w:p>
    <w:p>
      <w:pPr>
        <w:ind w:left="4" w:right="200"/>
        <w:spacing w:after="0" w:line="347" w:lineRule="auto"/>
        <w:rPr>
          <w:sz w:val="20"/>
          <w:szCs w:val="20"/>
          <w:color w:val="auto"/>
        </w:rPr>
      </w:pPr>
      <w:r>
        <w:rPr>
          <w:rFonts w:ascii="Arial" w:cs="Arial" w:eastAsia="Arial" w:hAnsi="Arial"/>
          <w:sz w:val="16"/>
          <w:szCs w:val="16"/>
          <w:b w:val="1"/>
          <w:bCs w:val="1"/>
          <w:color w:val="auto"/>
        </w:rPr>
        <w:t xml:space="preserve">3.1 Pricing. </w:t>
      </w:r>
      <w:r>
        <w:rPr>
          <w:rFonts w:ascii="Arial" w:cs="Arial" w:eastAsia="Arial" w:hAnsi="Arial"/>
          <w:sz w:val="16"/>
          <w:szCs w:val="16"/>
          <w:color w:val="auto"/>
        </w:rPr>
        <w:t>Tollnine shall pay ATI a fee for providing the Services (the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calculated as the sum of: (a) an amount to be determined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accordance with </w:t>
      </w:r>
      <w:r>
        <w:rPr>
          <w:rFonts w:ascii="Arial" w:cs="Arial" w:eastAsia="Arial" w:hAnsi="Arial"/>
          <w:sz w:val="16"/>
          <w:szCs w:val="16"/>
          <w:b w:val="1"/>
          <w:bCs w:val="1"/>
          <w:u w:val="single" w:color="auto"/>
          <w:color w:val="auto"/>
        </w:rPr>
        <w:t>Attachment 2</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reimbursement for such other costs and expenses as may be agreed from time to time by the Parties.</w:t>
      </w:r>
    </w:p>
    <w:p>
      <w:pPr>
        <w:spacing w:after="0" w:line="116" w:lineRule="exact"/>
        <w:rPr>
          <w:sz w:val="20"/>
          <w:szCs w:val="20"/>
          <w:color w:val="auto"/>
        </w:rPr>
      </w:pPr>
    </w:p>
    <w:p>
      <w:pPr>
        <w:ind w:left="4" w:right="100"/>
        <w:spacing w:after="0" w:line="258" w:lineRule="auto"/>
        <w:rPr>
          <w:sz w:val="20"/>
          <w:szCs w:val="20"/>
          <w:color w:val="auto"/>
        </w:rPr>
      </w:pPr>
      <w:r>
        <w:rPr>
          <w:rFonts w:ascii="Arial" w:cs="Arial" w:eastAsia="Arial" w:hAnsi="Arial"/>
          <w:sz w:val="18"/>
          <w:szCs w:val="18"/>
          <w:b w:val="1"/>
          <w:bCs w:val="1"/>
          <w:color w:val="auto"/>
        </w:rPr>
        <w:t xml:space="preserve">3.2 Taxes and Withholding. </w:t>
      </w:r>
      <w:r>
        <w:rPr>
          <w:rFonts w:ascii="Arial" w:cs="Arial" w:eastAsia="Arial" w:hAnsi="Arial"/>
          <w:sz w:val="18"/>
          <w:szCs w:val="18"/>
          <w:color w:val="auto"/>
        </w:rPr>
        <w:t>If Tollnine is required by applicable law to make a payment to ATI subject to a deduction of tax or withholding tax, the</w:t>
      </w:r>
      <w:r>
        <w:rPr>
          <w:rFonts w:ascii="Arial" w:cs="Arial" w:eastAsia="Arial" w:hAnsi="Arial"/>
          <w:sz w:val="18"/>
          <w:szCs w:val="18"/>
          <w:b w:val="1"/>
          <w:bCs w:val="1"/>
          <w:color w:val="auto"/>
        </w:rPr>
        <w:t xml:space="preserve"> </w:t>
      </w:r>
      <w:r>
        <w:rPr>
          <w:rFonts w:ascii="Arial" w:cs="Arial" w:eastAsia="Arial" w:hAnsi="Arial"/>
          <w:sz w:val="18"/>
          <w:szCs w:val="18"/>
          <w:color w:val="auto"/>
        </w:rPr>
        <w:t>sum payable by Tollnine (in respect of which such deduction or withholding is required to be made) shall be made to ATI after deduction of the amount required to be so deducted or withheld by the applicable tax authorities, which deducted or withheld amount shall be remitted to the applicable tax authorities in accordance with applicable law. Any such withholding taxes required to be paid or withheld shall be an expense of, and borne solely by, Tollnine.</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3.3 Payment.</w:t>
      </w:r>
    </w:p>
    <w:p>
      <w:pPr>
        <w:spacing w:after="0" w:line="229" w:lineRule="exact"/>
        <w:rPr>
          <w:sz w:val="20"/>
          <w:szCs w:val="20"/>
          <w:color w:val="auto"/>
        </w:rPr>
      </w:pPr>
    </w:p>
    <w:p>
      <w:pPr>
        <w:ind w:left="4" w:right="400" w:hanging="4"/>
        <w:spacing w:after="0" w:line="342" w:lineRule="auto"/>
        <w:tabs>
          <w:tab w:leader="none" w:pos="249"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ATI shall invoice Tollnine for the Compensation on a calendar quarterly basis or as otherwise mutually agreed by the Parties. Each invoice shall include, in reasonable detail, a description of the Services provided to Tollnine during the time period to which such invoice relates.</w:t>
      </w:r>
    </w:p>
    <w:p>
      <w:pPr>
        <w:spacing w:after="0" w:line="123" w:lineRule="exact"/>
        <w:rPr>
          <w:rFonts w:ascii="Arial" w:cs="Arial" w:eastAsia="Arial" w:hAnsi="Arial"/>
          <w:sz w:val="16"/>
          <w:szCs w:val="16"/>
          <w:color w:val="auto"/>
        </w:rPr>
      </w:pPr>
    </w:p>
    <w:p>
      <w:pPr>
        <w:ind w:left="264" w:hanging="264"/>
        <w:spacing w:after="0"/>
        <w:tabs>
          <w:tab w:leader="none" w:pos="26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Tollnine shall pay for Services within thirty (30) days following its receipt of ATI’s invoice.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50" w:name="page351"/>
    <w:bookmarkEnd w:id="350"/>
    <w:p>
      <w:pPr>
        <w:ind w:left="4" w:right="360" w:hanging="4"/>
        <w:spacing w:after="0" w:line="277" w:lineRule="auto"/>
        <w:tabs>
          <w:tab w:leader="none" w:pos="249" w:val="left"/>
        </w:tabs>
        <w:numPr>
          <w:ilvl w:val="0"/>
          <w:numId w:val="3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the Compensation shall be made directly to ATI or to a bank designated by ATI by notice to Tollnine from time to time, and shall be made in United States Dollars.</w:t>
      </w:r>
    </w:p>
    <w:p>
      <w:pPr>
        <w:spacing w:after="0" w:line="170" w:lineRule="exact"/>
        <w:rPr>
          <w:rFonts w:ascii="Arial" w:cs="Arial" w:eastAsia="Arial" w:hAnsi="Arial"/>
          <w:sz w:val="18"/>
          <w:szCs w:val="18"/>
          <w:color w:val="auto"/>
        </w:rPr>
      </w:pPr>
    </w:p>
    <w:p>
      <w:pPr>
        <w:ind w:left="264" w:hanging="264"/>
        <w:spacing w:after="0"/>
        <w:tabs>
          <w:tab w:leader="none" w:pos="26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If Tollnine fails to make any undisputed payment when due, such payment shall bear interest at the Applicable Rate until paid in full.</w:t>
      </w:r>
    </w:p>
    <w:p>
      <w:pPr>
        <w:spacing w:after="0" w:line="2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b w:val="1"/>
          <w:bCs w:val="1"/>
          <w:color w:val="auto"/>
        </w:rPr>
        <w:t xml:space="preserve">3.4 Records. </w:t>
      </w:r>
      <w:r>
        <w:rPr>
          <w:rFonts w:ascii="Arial" w:cs="Arial" w:eastAsia="Arial" w:hAnsi="Arial"/>
          <w:sz w:val="18"/>
          <w:szCs w:val="18"/>
          <w:color w:val="auto"/>
        </w:rPr>
        <w:t>During the Term and for a period of three (3) years after any termination or expiration of the Term, ATI will maintain complete and</w:t>
      </w:r>
      <w:r>
        <w:rPr>
          <w:rFonts w:ascii="Arial" w:cs="Arial" w:eastAsia="Arial" w:hAnsi="Arial"/>
          <w:sz w:val="18"/>
          <w:szCs w:val="18"/>
          <w:b w:val="1"/>
          <w:bCs w:val="1"/>
          <w:color w:val="auto"/>
        </w:rPr>
        <w:t xml:space="preserve"> </w:t>
      </w:r>
      <w:r>
        <w:rPr>
          <w:rFonts w:ascii="Arial" w:cs="Arial" w:eastAsia="Arial" w:hAnsi="Arial"/>
          <w:sz w:val="18"/>
          <w:szCs w:val="18"/>
          <w:color w:val="auto"/>
        </w:rPr>
        <w:t>accurate accounting books and records, prepared in accordance with U.S. GAAP, of all transactions relating to the subject matter of this Agreement in sufficient detail to permit Tollnine to confirm the accuracy of all costs and expenses incurred by ATI in discharging its obligations under this Agreement and the compensation due to ATI for each year. At the written request of Tollnine and at Tollnine’s expense, ATI shall allow an independent accounting firm selected by Tollnine, to examine the accounting books and records maintained hereunder during ATI’s regular business hours at ATI’s place of business. In the event that such examination concludes that there has been an overpayment the excess shall be credited to Tollnine against future payments under this Agreement.</w:t>
      </w:r>
    </w:p>
    <w:p>
      <w:pPr>
        <w:spacing w:after="0" w:line="297" w:lineRule="exact"/>
        <w:rPr>
          <w:sz w:val="20"/>
          <w:szCs w:val="20"/>
          <w:color w:val="auto"/>
        </w:rPr>
      </w:pPr>
    </w:p>
    <w:p>
      <w:pPr>
        <w:ind w:left="184" w:hanging="184"/>
        <w:spacing w:after="0"/>
        <w:tabs>
          <w:tab w:leader="none" w:pos="18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PROPRIETARY RIGHTS; CONFIDENTIALITY</w:t>
      </w:r>
    </w:p>
    <w:p>
      <w:pPr>
        <w:spacing w:after="0" w:line="117"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4.1 Proprietary Rights.</w:t>
      </w:r>
    </w:p>
    <w:p>
      <w:pPr>
        <w:spacing w:after="0" w:line="229" w:lineRule="exact"/>
        <w:rPr>
          <w:sz w:val="20"/>
          <w:szCs w:val="20"/>
          <w:color w:val="auto"/>
        </w:rPr>
      </w:pPr>
    </w:p>
    <w:p>
      <w:pPr>
        <w:ind w:left="4" w:right="580" w:hanging="4"/>
        <w:spacing w:after="0" w:line="277" w:lineRule="auto"/>
        <w:tabs>
          <w:tab w:leader="none" w:pos="249"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ATI acknowledges that it shall have no claim to any right, title, and interest in and to any Intellectual Property Rights owned or controlled by Tollnine prior to the Effective Date (collectively, the “</w:t>
      </w:r>
      <w:r>
        <w:rPr>
          <w:rFonts w:ascii="Arial" w:cs="Arial" w:eastAsia="Arial" w:hAnsi="Arial"/>
          <w:sz w:val="18"/>
          <w:szCs w:val="18"/>
          <w:b w:val="1"/>
          <w:bCs w:val="1"/>
          <w:i w:val="1"/>
          <w:iCs w:val="1"/>
          <w:color w:val="auto"/>
        </w:rPr>
        <w:t>Existing Technology</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20" w:hanging="4"/>
        <w:spacing w:after="0" w:line="273" w:lineRule="auto"/>
        <w:tabs>
          <w:tab w:leader="none" w:pos="259" w:val="left"/>
        </w:tabs>
        <w:numPr>
          <w:ilvl w:val="0"/>
          <w:numId w:val="313"/>
        </w:numPr>
        <w:rPr>
          <w:rFonts w:ascii="Arial" w:cs="Arial" w:eastAsia="Arial" w:hAnsi="Arial"/>
          <w:sz w:val="17"/>
          <w:szCs w:val="17"/>
          <w:color w:val="auto"/>
        </w:rPr>
      </w:pPr>
      <w:r>
        <w:rPr>
          <w:rFonts w:ascii="Arial" w:cs="Arial" w:eastAsia="Arial" w:hAnsi="Arial"/>
          <w:sz w:val="17"/>
          <w:szCs w:val="17"/>
          <w:color w:val="auto"/>
        </w:rPr>
        <w:t>ATI further acknowledges that, except for improvements to ATI Background Technology, all right, title, and interest in and to: (i) any Services Work Product and/or any Intellectual Property Rights directly resulting from or conceived or reduced to practice during or after the Term by ATI or its Suppliers in performance of the Services (collectively, the “</w:t>
      </w:r>
      <w:r>
        <w:rPr>
          <w:rFonts w:ascii="Arial" w:cs="Arial" w:eastAsia="Arial" w:hAnsi="Arial"/>
          <w:sz w:val="17"/>
          <w:szCs w:val="17"/>
          <w:b w:val="1"/>
          <w:bCs w:val="1"/>
          <w:i w:val="1"/>
          <w:iCs w:val="1"/>
          <w:color w:val="auto"/>
        </w:rPr>
        <w:t>New Technology</w:t>
      </w:r>
      <w:r>
        <w:rPr>
          <w:rFonts w:ascii="Arial" w:cs="Arial" w:eastAsia="Arial" w:hAnsi="Arial"/>
          <w:sz w:val="17"/>
          <w:szCs w:val="17"/>
          <w:color w:val="auto"/>
        </w:rPr>
        <w:t>”); and/or (ii) any improvements or enhancements to Existing Technology or New Technology conceived or reduced to practice during or after the Term shall be the property of Tollnine. ATI shall not have the right to use or otherwise exploit any Existing Technology, New Technology or any improvements or enhancements to Exístíng Technology or New Technology except as required for the performance of the Services in accordance with this Agreement.</w:t>
      </w:r>
    </w:p>
    <w:p>
      <w:pPr>
        <w:spacing w:after="0" w:line="177" w:lineRule="exact"/>
        <w:rPr>
          <w:rFonts w:ascii="Arial" w:cs="Arial" w:eastAsia="Arial" w:hAnsi="Arial"/>
          <w:sz w:val="17"/>
          <w:szCs w:val="17"/>
          <w:color w:val="auto"/>
        </w:rPr>
      </w:pPr>
    </w:p>
    <w:p>
      <w:pPr>
        <w:ind w:left="4" w:right="40" w:hanging="4"/>
        <w:spacing w:after="0" w:line="293" w:lineRule="auto"/>
        <w:tabs>
          <w:tab w:leader="none" w:pos="249" w:val="left"/>
        </w:tabs>
        <w:numPr>
          <w:ilvl w:val="0"/>
          <w:numId w:val="313"/>
        </w:numPr>
        <w:rPr>
          <w:rFonts w:ascii="Arial" w:cs="Arial" w:eastAsia="Arial" w:hAnsi="Arial"/>
          <w:sz w:val="16"/>
          <w:szCs w:val="16"/>
          <w:color w:val="auto"/>
        </w:rPr>
      </w:pPr>
      <w:r>
        <w:rPr>
          <w:rFonts w:ascii="Arial" w:cs="Arial" w:eastAsia="Arial" w:hAnsi="Arial"/>
          <w:sz w:val="16"/>
          <w:szCs w:val="16"/>
          <w:color w:val="auto"/>
        </w:rPr>
        <w:t>Before retaining the services of any employee, consultant or Supplier, whether directly or indirectly, ATI shall cause such employee, consultant or Supplier and all affiliated personnel performing any work ín connection with the Services to enter into a written contract with ATI pursuant to the terms of which every such person or entity agrees (i) to assign to ATI ownership of all rights (or where not assignable, a waiver of all non-assignable rights) such person or entity may have with respect to all such Exístíng Technology (and any improvements or enhancements thereto) and New Technology (and any improvements or enhancements thereto) and (ii) to take all actions necessary or useful to cause all such Existing Technology (and any improvements or enhancements thereto) and all New Technology (and any improvements or enhancements thereto) to be assigned to ATI.</w:t>
      </w:r>
    </w:p>
    <w:p>
      <w:pPr>
        <w:spacing w:after="0" w:line="9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351" w:name="page352"/>
    <w:bookmarkEnd w:id="351"/>
    <w:p>
      <w:pPr>
        <w:ind w:left="4" w:right="40" w:hanging="4"/>
        <w:spacing w:after="0" w:line="296" w:lineRule="auto"/>
        <w:tabs>
          <w:tab w:leader="none" w:pos="259" w:val="left"/>
        </w:tabs>
        <w:numPr>
          <w:ilvl w:val="0"/>
          <w:numId w:val="3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between ATI and Tollnine, ATI shall retain ownership of all ATI Background Technology and improvements thereto that arise during the performance of the Services. ATI hereby assigns and agrees to assign to Tollnine all right, title, and interest in and to all Service Work Product and New Technology (except All Background Technology and improvements thereto), including without limitation any Intellectual Property Rights embodied in such Service Work Product and New Technology (whether or not protectable under patent, copyright, trade secret or similar laws). At the request of Tollnine, ATI shall undertake to do all things and to execute all documents necessary to give effect to the provisions of this Section 4.1.</w:t>
      </w:r>
    </w:p>
    <w:p>
      <w:pPr>
        <w:spacing w:after="0" w:line="161" w:lineRule="exact"/>
        <w:rPr>
          <w:rFonts w:ascii="Arial" w:cs="Arial" w:eastAsia="Arial" w:hAnsi="Arial"/>
          <w:sz w:val="16"/>
          <w:szCs w:val="16"/>
          <w:color w:val="auto"/>
        </w:rPr>
      </w:pPr>
    </w:p>
    <w:p>
      <w:pPr>
        <w:ind w:left="4" w:right="100" w:hanging="4"/>
        <w:spacing w:after="0" w:line="342" w:lineRule="auto"/>
        <w:tabs>
          <w:tab w:leader="none" w:pos="249"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ATI shall promptly disclose to Tollnine any (i) New Technology (and any improvements or enhancements thereto), and/or (ii) any improvements or enhancements to Existing Technology that it becomes aware of that might, under applicable law, be patentable or otherwise protectable.</w:t>
      </w:r>
    </w:p>
    <w:p>
      <w:pPr>
        <w:spacing w:after="0" w:line="123" w:lineRule="exact"/>
        <w:rPr>
          <w:rFonts w:ascii="Arial" w:cs="Arial" w:eastAsia="Arial" w:hAnsi="Arial"/>
          <w:sz w:val="16"/>
          <w:szCs w:val="16"/>
          <w:color w:val="auto"/>
        </w:rPr>
      </w:pPr>
    </w:p>
    <w:p>
      <w:pPr>
        <w:ind w:left="4" w:right="40" w:hanging="4"/>
        <w:spacing w:after="0" w:line="263" w:lineRule="auto"/>
        <w:tabs>
          <w:tab w:leader="none" w:pos="22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Tollnine shall have control over the filing, prosecution, maintenance, interference and every and all other aspects of the management of any and all patent, trademark and copyright applications for both Existing Technology (and any improvements or enhancements thereto) and New Technology (and any improvements or enhancements thereto).</w:t>
      </w:r>
    </w:p>
    <w:p>
      <w:pPr>
        <w:spacing w:after="0" w:line="183" w:lineRule="exact"/>
        <w:rPr>
          <w:rFonts w:ascii="Arial" w:cs="Arial" w:eastAsia="Arial" w:hAnsi="Arial"/>
          <w:sz w:val="18"/>
          <w:szCs w:val="18"/>
          <w:color w:val="auto"/>
        </w:rPr>
      </w:pPr>
    </w:p>
    <w:p>
      <w:pPr>
        <w:ind w:left="4" w:hanging="4"/>
        <w:spacing w:after="0" w:line="259" w:lineRule="auto"/>
        <w:tabs>
          <w:tab w:leader="none" w:pos="25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 the event that ATI reasonably believes that a third party is or may be infringing, encroaching or violating any Intellectual Property Right owned or controlled by Tollnine, then ATI shall promptly notify Tollnine in writing of such alleged infringement, encroachment or violation, and Tollnine shall have the sole right, in its sole discretion, to take or not take whatever action it believes is appropriate, without the obligation to do so, and shall have the sole right to control any resulting litigation.</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4.2 Confidentiality.</w:t>
      </w:r>
    </w:p>
    <w:p>
      <w:pPr>
        <w:spacing w:after="0" w:line="229" w:lineRule="exact"/>
        <w:rPr>
          <w:sz w:val="20"/>
          <w:szCs w:val="20"/>
          <w:color w:val="auto"/>
        </w:rPr>
      </w:pPr>
    </w:p>
    <w:p>
      <w:pPr>
        <w:ind w:left="4" w:right="40" w:hanging="4"/>
        <w:spacing w:after="0" w:line="275" w:lineRule="auto"/>
        <w:tabs>
          <w:tab w:leader="none" w:pos="249" w:val="left"/>
        </w:tabs>
        <w:numPr>
          <w:ilvl w:val="0"/>
          <w:numId w:val="3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Confidential Information</w:t>
      </w:r>
      <w:r>
        <w:rPr>
          <w:rFonts w:ascii="Arial" w:cs="Arial" w:eastAsia="Arial" w:hAnsi="Arial"/>
          <w:sz w:val="17"/>
          <w:szCs w:val="17"/>
          <w:color w:val="auto"/>
        </w:rPr>
        <w:t>” means all information disclosed by one Party (the “</w:t>
      </w:r>
      <w:r>
        <w:rPr>
          <w:rFonts w:ascii="Arial" w:cs="Arial" w:eastAsia="Arial" w:hAnsi="Arial"/>
          <w:sz w:val="17"/>
          <w:szCs w:val="17"/>
          <w:b w:val="1"/>
          <w:bCs w:val="1"/>
          <w:i w:val="1"/>
          <w:iCs w:val="1"/>
          <w:color w:val="auto"/>
        </w:rPr>
        <w:t>Disclosing Party</w:t>
      </w:r>
      <w:r>
        <w:rPr>
          <w:rFonts w:ascii="Arial" w:cs="Arial" w:eastAsia="Arial" w:hAnsi="Arial"/>
          <w:sz w:val="17"/>
          <w:szCs w:val="17"/>
          <w:color w:val="auto"/>
        </w:rPr>
        <w:t>”) to the other Party (the “</w:t>
      </w:r>
      <w:r>
        <w:rPr>
          <w:rFonts w:ascii="Arial" w:cs="Arial" w:eastAsia="Arial" w:hAnsi="Arial"/>
          <w:sz w:val="17"/>
          <w:szCs w:val="17"/>
          <w:b w:val="1"/>
          <w:bCs w:val="1"/>
          <w:i w:val="1"/>
          <w:iCs w:val="1"/>
          <w:color w:val="auto"/>
        </w:rPr>
        <w:t>Receiving Party</w:t>
      </w:r>
      <w:r>
        <w:rPr>
          <w:rFonts w:ascii="Arial" w:cs="Arial" w:eastAsia="Arial" w:hAnsi="Arial"/>
          <w:sz w:val="17"/>
          <w:szCs w:val="17"/>
          <w:color w:val="auto"/>
        </w:rPr>
        <w:t>”) hereunder and relating to this Agreement, a whether or not in writing or verbally, and whether or not marked or otherwise identified as confidential; including, without limitation, all technical and non-technical information conveyed from Disclosing Party to the Receiving Party in any form, including but not limited to Existing Technology, New Technology and ATI Background Technology. Notwithstanding any other provisions herein, Confidential Information does not include information which, to the extent the Receiving Party can prove by competent evidence,</w:t>
      </w:r>
    </w:p>
    <w:p>
      <w:pPr>
        <w:spacing w:after="0" w:line="176" w:lineRule="exact"/>
        <w:rPr>
          <w:rFonts w:ascii="Arial" w:cs="Arial" w:eastAsia="Arial" w:hAnsi="Arial"/>
          <w:sz w:val="17"/>
          <w:szCs w:val="17"/>
          <w:color w:val="auto"/>
        </w:rPr>
      </w:pPr>
    </w:p>
    <w:p>
      <w:pPr>
        <w:ind w:left="664" w:hanging="224"/>
        <w:spacing w:after="0"/>
        <w:tabs>
          <w:tab w:leader="none" w:pos="66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at the time of its disclosure is publicly known;</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after its disclosure hereunder, becomes publicly known by publication or otherwise, except in breach of this agreement;</w:t>
      </w:r>
    </w:p>
    <w:p>
      <w:pPr>
        <w:spacing w:after="0" w:line="225" w:lineRule="exact"/>
        <w:rPr>
          <w:rFonts w:ascii="Arial" w:cs="Arial" w:eastAsia="Arial" w:hAnsi="Arial"/>
          <w:sz w:val="18"/>
          <w:szCs w:val="18"/>
          <w:color w:val="auto"/>
        </w:rPr>
      </w:pPr>
    </w:p>
    <w:p>
      <w:pPr>
        <w:ind w:left="4" w:right="120" w:firstLine="436"/>
        <w:spacing w:after="0" w:line="263" w:lineRule="auto"/>
        <w:tabs>
          <w:tab w:leader="none" w:pos="759" w:val="left"/>
        </w:tabs>
        <w:numPr>
          <w:ilvl w:val="1"/>
          <w:numId w:val="315"/>
        </w:numPr>
        <w:rPr>
          <w:rFonts w:ascii="Arial" w:cs="Arial" w:eastAsia="Arial" w:hAnsi="Arial"/>
          <w:sz w:val="18"/>
          <w:szCs w:val="18"/>
          <w:color w:val="auto"/>
        </w:rPr>
      </w:pPr>
      <w:r>
        <w:rPr>
          <w:rFonts w:ascii="Arial" w:cs="Arial" w:eastAsia="Arial" w:hAnsi="Arial"/>
          <w:sz w:val="18"/>
          <w:szCs w:val="18"/>
          <w:color w:val="auto"/>
        </w:rPr>
        <w:t>the Receiving Party can conclusively establish with contemporaneous records was in its or its Affiliates’ possession at the time of disclosure hereunder or was subsequently and independently developed by its or its Affiliates’ employees who had no knowledge of Information disclosed hereunder; or</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352" w:name="page353"/>
    <w:bookmarkEnd w:id="352"/>
    <w:p>
      <w:pPr>
        <w:ind w:left="4" w:right="340" w:firstLine="436"/>
        <w:spacing w:after="0" w:line="277" w:lineRule="auto"/>
        <w:tabs>
          <w:tab w:leader="none" w:pos="749" w:val="left"/>
        </w:tabs>
        <w:numPr>
          <w:ilvl w:val="0"/>
          <w:numId w:val="3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Receiving Party or its Affiliates receives from a third party not under obligation or duty of confidentiality, directly or indirectly, to the other Party hereto.</w:t>
      </w:r>
    </w:p>
    <w:p>
      <w:pPr>
        <w:spacing w:after="0" w:line="170"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Tollnine and ATI acknowledge and agree that Existing Technology and New Technology shall be deemed the Confidential Information of Tollnine and shall be held in trust by ATIoh for the benefit of Tollnine, and that ATI Background Technology shall be deemed the Confidential Information of ATI and shall be held in trust by Tollnine for the benefit of ATI.</w:t>
      </w:r>
    </w:p>
    <w:p>
      <w:pPr>
        <w:spacing w:after="0" w:line="184" w:lineRule="exact"/>
        <w:rPr>
          <w:sz w:val="20"/>
          <w:szCs w:val="20"/>
          <w:color w:val="auto"/>
        </w:rPr>
      </w:pPr>
    </w:p>
    <w:p>
      <w:pPr>
        <w:ind w:left="264" w:hanging="264"/>
        <w:spacing w:after="0"/>
        <w:tabs>
          <w:tab w:leader="none" w:pos="264" w:val="left"/>
        </w:tabs>
        <w:numPr>
          <w:ilvl w:val="0"/>
          <w:numId w:val="317"/>
        </w:numPr>
        <w:rPr>
          <w:rFonts w:ascii="Arial" w:cs="Arial" w:eastAsia="Arial" w:hAnsi="Arial"/>
          <w:sz w:val="17"/>
          <w:szCs w:val="17"/>
          <w:color w:val="auto"/>
        </w:rPr>
      </w:pPr>
      <w:r>
        <w:rPr>
          <w:rFonts w:ascii="Arial" w:cs="Arial" w:eastAsia="Arial" w:hAnsi="Arial"/>
          <w:sz w:val="17"/>
          <w:szCs w:val="17"/>
          <w:color w:val="auto"/>
        </w:rPr>
        <w:t>Confidential Information disclosed by a Disclosing Party to a Receiving Party hereunder remains the sole property of the Disclosing Party.</w:t>
      </w:r>
    </w:p>
    <w:p>
      <w:pPr>
        <w:spacing w:after="0" w:line="236" w:lineRule="exact"/>
        <w:rPr>
          <w:rFonts w:ascii="Arial" w:cs="Arial" w:eastAsia="Arial" w:hAnsi="Arial"/>
          <w:sz w:val="17"/>
          <w:szCs w:val="17"/>
          <w:color w:val="auto"/>
        </w:rPr>
      </w:pPr>
    </w:p>
    <w:p>
      <w:pPr>
        <w:ind w:left="244" w:hanging="244"/>
        <w:spacing w:after="0"/>
        <w:tabs>
          <w:tab w:leader="none" w:pos="24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During the Term and for a period of ten (10) years thereafter, the Receiving Party shall:</w:t>
      </w:r>
    </w:p>
    <w:p>
      <w:pPr>
        <w:spacing w:after="0" w:line="225" w:lineRule="exact"/>
        <w:rPr>
          <w:rFonts w:ascii="Arial" w:cs="Arial" w:eastAsia="Arial" w:hAnsi="Arial"/>
          <w:sz w:val="18"/>
          <w:szCs w:val="18"/>
          <w:color w:val="auto"/>
        </w:rPr>
      </w:pPr>
    </w:p>
    <w:p>
      <w:pPr>
        <w:ind w:left="4" w:right="620" w:firstLine="436"/>
        <w:spacing w:after="0" w:line="277" w:lineRule="auto"/>
        <w:tabs>
          <w:tab w:leader="none" w:pos="659"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take all reasonable steps to hold in trust and confidence Confidential Information of the Disclosing Party and not use such Confidential Information except for the limited purposes set forth in this Agreement;</w:t>
      </w:r>
    </w:p>
    <w:p>
      <w:pPr>
        <w:spacing w:after="0" w:line="170" w:lineRule="exact"/>
        <w:rPr>
          <w:rFonts w:ascii="Arial" w:cs="Arial" w:eastAsia="Arial" w:hAnsi="Arial"/>
          <w:sz w:val="18"/>
          <w:szCs w:val="18"/>
          <w:color w:val="auto"/>
        </w:rPr>
      </w:pPr>
    </w:p>
    <w:p>
      <w:pPr>
        <w:ind w:left="4" w:firstLine="436"/>
        <w:spacing w:after="0" w:line="286" w:lineRule="auto"/>
        <w:tabs>
          <w:tab w:leader="none" w:pos="709" w:val="left"/>
        </w:tabs>
        <w:numPr>
          <w:ilvl w:val="1"/>
          <w:numId w:val="317"/>
        </w:numPr>
        <w:rPr>
          <w:rFonts w:ascii="Arial" w:cs="Arial" w:eastAsia="Arial" w:hAnsi="Arial"/>
          <w:sz w:val="17"/>
          <w:szCs w:val="17"/>
          <w:color w:val="auto"/>
        </w:rPr>
      </w:pPr>
      <w:r>
        <w:rPr>
          <w:rFonts w:ascii="Arial" w:cs="Arial" w:eastAsia="Arial" w:hAnsi="Arial"/>
          <w:sz w:val="17"/>
          <w:szCs w:val="17"/>
          <w:color w:val="auto"/>
        </w:rPr>
        <w:t>not disclose the Confidential Information of the Disclosing Party, except to those of its employees, consultants, contractors, subcontractors and agents who (A) require access to such Confidential Information for purposes of the Receiving Party performing its obligations hereunder and (B) have been informed of the limitations on use and disclosure of such Confidential Information created by this Agreement; and</w:t>
      </w:r>
    </w:p>
    <w:p>
      <w:pPr>
        <w:spacing w:after="0" w:line="165" w:lineRule="exact"/>
        <w:rPr>
          <w:rFonts w:ascii="Arial" w:cs="Arial" w:eastAsia="Arial" w:hAnsi="Arial"/>
          <w:sz w:val="17"/>
          <w:szCs w:val="17"/>
          <w:color w:val="auto"/>
        </w:rPr>
      </w:pPr>
    </w:p>
    <w:p>
      <w:pPr>
        <w:ind w:left="764" w:hanging="324"/>
        <w:spacing w:after="0"/>
        <w:tabs>
          <w:tab w:leader="none" w:pos="764"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take all reasonable steps to prevent unauthorized disclosure or use of Confidential Information of the Disclosing Party;</w:t>
      </w:r>
    </w:p>
    <w:p>
      <w:pPr>
        <w:spacing w:after="0" w:line="225"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provided, however, that with respect to any of Confidential Information that is a trade secret, such obligations shall survive and continue for so long as such information qualifies as a trade secret under applicable law.</w:t>
      </w:r>
    </w:p>
    <w:p>
      <w:pPr>
        <w:spacing w:after="0" w:line="170" w:lineRule="exact"/>
        <w:rPr>
          <w:sz w:val="20"/>
          <w:szCs w:val="20"/>
          <w:color w:val="auto"/>
        </w:rPr>
      </w:pPr>
    </w:p>
    <w:p>
      <w:pPr>
        <w:ind w:left="4" w:right="60" w:hanging="4"/>
        <w:spacing w:after="0" w:line="301" w:lineRule="auto"/>
        <w:tabs>
          <w:tab w:leader="none" w:pos="259" w:val="left"/>
        </w:tabs>
        <w:numPr>
          <w:ilvl w:val="0"/>
          <w:numId w:val="318"/>
        </w:numPr>
        <w:rPr>
          <w:rFonts w:ascii="Arial" w:cs="Arial" w:eastAsia="Arial" w:hAnsi="Arial"/>
          <w:sz w:val="16"/>
          <w:szCs w:val="16"/>
          <w:color w:val="auto"/>
        </w:rPr>
      </w:pPr>
      <w:r>
        <w:rPr>
          <w:rFonts w:ascii="Arial" w:cs="Arial" w:eastAsia="Arial" w:hAnsi="Arial"/>
          <w:sz w:val="16"/>
          <w:szCs w:val="16"/>
          <w:color w:val="auto"/>
        </w:rPr>
        <w:t>No provision of this Agreement shall be construed to preclude such disclosure of Confidential Information if the Receiving Party (or its Affiliates, employees, consultants, contractors, subcontractors and agents) is required to disclose Confidential Information by order or requirement of a court, administrative agency, or other governmental body, provided the Receiving Party (or its employees, consultants, contractors, subcontractors and agents) shall provide the Disclosing Party prompt notice thereof to enable the Disclosing Party to seek a protective order or otherwise prevent such disclosure</w:t>
      </w:r>
    </w:p>
    <w:p>
      <w:pPr>
        <w:spacing w:after="0" w:line="157" w:lineRule="exact"/>
        <w:rPr>
          <w:rFonts w:ascii="Arial" w:cs="Arial" w:eastAsia="Arial" w:hAnsi="Arial"/>
          <w:sz w:val="16"/>
          <w:szCs w:val="16"/>
          <w:color w:val="auto"/>
        </w:rPr>
      </w:pPr>
    </w:p>
    <w:p>
      <w:pPr>
        <w:ind w:left="4" w:hanging="4"/>
        <w:spacing w:after="0" w:line="257" w:lineRule="auto"/>
        <w:tabs>
          <w:tab w:leader="none" w:pos="24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Each Party acknowledges and agrees that, disclosure of Confidential Information contrary to the terms of this Agreement may cause significant harm and injury to Disclosing Party and agrees that the Disclosing Party shall have the right, in addition to any other rights available under applicable law, to seek from any tribunal of competent jurisdiction (i) injunctive relief to enjoin any breach or violation or (ii) specific performance of the provisions of this Agreement to specifically enforce, any covenant or obligation of such Party under such provisions, without the necessity of posting any bond or security.</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353" w:name="page354"/>
    <w:bookmarkEnd w:id="353"/>
    <w:p>
      <w:pPr>
        <w:ind w:left="4" w:right="80" w:hanging="4"/>
        <w:spacing w:after="0" w:line="311" w:lineRule="auto"/>
        <w:tabs>
          <w:tab w:leader="none" w:pos="229" w:val="left"/>
        </w:tabs>
        <w:numPr>
          <w:ilvl w:val="0"/>
          <w:numId w:val="3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is understood and agreed by the Parties that Confidential Information shall not include any portion of such information or data that: (i) is disclosed to the Receiving Party by a third person who is under no obligation of confidentiality to the Disclosing Party with respect to such information and who otherwise has a right to make such disclosure; or (ii) is or becomes generally known in the trade through no fault of the Receiving Party.</w:t>
      </w:r>
    </w:p>
    <w:p>
      <w:pPr>
        <w:spacing w:after="0" w:line="145" w:lineRule="exact"/>
        <w:rPr>
          <w:sz w:val="20"/>
          <w:szCs w:val="20"/>
          <w:color w:val="auto"/>
        </w:rPr>
      </w:pPr>
    </w:p>
    <w:p>
      <w:pPr>
        <w:ind w:left="4" w:right="140"/>
        <w:spacing w:after="0" w:line="255" w:lineRule="auto"/>
        <w:rPr>
          <w:sz w:val="20"/>
          <w:szCs w:val="20"/>
          <w:color w:val="auto"/>
        </w:rPr>
      </w:pPr>
      <w:r>
        <w:rPr>
          <w:rFonts w:ascii="Arial" w:cs="Arial" w:eastAsia="Arial" w:hAnsi="Arial"/>
          <w:sz w:val="18"/>
          <w:szCs w:val="18"/>
          <w:b w:val="1"/>
          <w:bCs w:val="1"/>
          <w:color w:val="auto"/>
        </w:rPr>
        <w:t xml:space="preserve">4.3 Return of Confidential Information. </w:t>
      </w:r>
      <w:r>
        <w:rPr>
          <w:rFonts w:ascii="Arial" w:cs="Arial" w:eastAsia="Arial" w:hAnsi="Arial"/>
          <w:sz w:val="18"/>
          <w:szCs w:val="18"/>
          <w:color w:val="auto"/>
        </w:rPr>
        <w:t>On the termination of this Agreement, or upon the Disclosing Party’s earlier request, the Receiving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return or destroy any Confidential Information of the Disclosing Party in its possession; provided that the Receiving Party: (i) may retain one complete set to ensure compliance with its obligations under this Agreement, for its corporate governance and secretarial purposes, and for compliance by it with the applicable rules of professional bodies; (ii) shall not be required to destroy back-up computer files created in the ordinary course of business; and (iii) may, in its discretion, destroy any of its own work product containing Confidential Information of the Disclosing Party that it is not entitled to retain under (i) or (ii) above. The Receiving Party shall confirm in writing that it has complied with the obligations set forth in this Section 4.3.</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REPRESENTATIONS AND WARRANTIES</w:t>
      </w:r>
    </w:p>
    <w:p>
      <w:pPr>
        <w:spacing w:after="0" w:line="117" w:lineRule="exact"/>
        <w:rPr>
          <w:sz w:val="20"/>
          <w:szCs w:val="20"/>
          <w:color w:val="auto"/>
        </w:rPr>
      </w:pPr>
    </w:p>
    <w:p>
      <w:pPr>
        <w:ind w:left="4" w:right="120"/>
        <w:spacing w:after="0" w:line="261" w:lineRule="auto"/>
        <w:rPr>
          <w:sz w:val="20"/>
          <w:szCs w:val="20"/>
          <w:color w:val="auto"/>
        </w:rPr>
      </w:pPr>
      <w:r>
        <w:rPr>
          <w:rFonts w:ascii="Arial" w:cs="Arial" w:eastAsia="Arial" w:hAnsi="Arial"/>
          <w:sz w:val="18"/>
          <w:szCs w:val="18"/>
          <w:b w:val="1"/>
          <w:bCs w:val="1"/>
          <w:color w:val="auto"/>
        </w:rPr>
        <w:t xml:space="preserve">5.1 Authorization. </w:t>
      </w:r>
      <w:r>
        <w:rPr>
          <w:rFonts w:ascii="Arial" w:cs="Arial" w:eastAsia="Arial" w:hAnsi="Arial"/>
          <w:sz w:val="18"/>
          <w:szCs w:val="18"/>
          <w:color w:val="auto"/>
        </w:rPr>
        <w:t>Each of Tollnine and ATI represents and warrants to the other that: (a) it is duly organized, validly existing and in good 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laws of its organizing jurisdiction; (b) it has all requisite power and authority, corporate and otherwise, to execute and deliver this Agreement and to perform its obligations hereunder; (c) it is (by all necessary corporate action) duly authorized to execute and deliver this Agreement and to perform its obligations hereunder and consummate the transactions contemplated hereby.</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5.2 Binding Obligation.</w:t>
      </w:r>
    </w:p>
    <w:p>
      <w:pPr>
        <w:spacing w:after="0" w:line="229" w:lineRule="exact"/>
        <w:rPr>
          <w:sz w:val="20"/>
          <w:szCs w:val="20"/>
          <w:color w:val="auto"/>
        </w:rPr>
      </w:pPr>
    </w:p>
    <w:p>
      <w:pPr>
        <w:ind w:left="4" w:right="320" w:hanging="4"/>
        <w:spacing w:after="0" w:line="308" w:lineRule="auto"/>
        <w:tabs>
          <w:tab w:leader="none" w:pos="249" w:val="left"/>
        </w:tabs>
        <w:numPr>
          <w:ilvl w:val="0"/>
          <w:numId w:val="320"/>
        </w:numPr>
        <w:rPr>
          <w:rFonts w:ascii="Arial" w:cs="Arial" w:eastAsia="Arial" w:hAnsi="Arial"/>
          <w:sz w:val="17"/>
          <w:szCs w:val="17"/>
          <w:color w:val="auto"/>
        </w:rPr>
      </w:pPr>
      <w:r>
        <w:rPr>
          <w:rFonts w:ascii="Arial" w:cs="Arial" w:eastAsia="Arial" w:hAnsi="Arial"/>
          <w:sz w:val="17"/>
          <w:szCs w:val="17"/>
          <w:color w:val="auto"/>
        </w:rPr>
        <w:t>This Agreement is the valid and legally binding obligation of ATI in accordance with its terms, subject to bankruptcy, reorganization, insolvency, moratorium and similar laws and to general principles of equity which are within the discretion of courts of applicable jurisdiction.</w:t>
      </w:r>
    </w:p>
    <w:p>
      <w:pPr>
        <w:spacing w:after="0" w:line="146" w:lineRule="exact"/>
        <w:rPr>
          <w:rFonts w:ascii="Arial" w:cs="Arial" w:eastAsia="Arial" w:hAnsi="Arial"/>
          <w:sz w:val="17"/>
          <w:szCs w:val="17"/>
          <w:color w:val="auto"/>
        </w:rPr>
      </w:pPr>
    </w:p>
    <w:p>
      <w:pPr>
        <w:ind w:left="4" w:right="720" w:hanging="4"/>
        <w:spacing w:after="0" w:line="342" w:lineRule="auto"/>
        <w:tabs>
          <w:tab w:leader="none" w:pos="259" w:val="left"/>
        </w:tabs>
        <w:numPr>
          <w:ilvl w:val="0"/>
          <w:numId w:val="320"/>
        </w:numPr>
        <w:rPr>
          <w:rFonts w:ascii="Arial" w:cs="Arial" w:eastAsia="Arial" w:hAnsi="Arial"/>
          <w:sz w:val="16"/>
          <w:szCs w:val="16"/>
          <w:color w:val="auto"/>
        </w:rPr>
      </w:pPr>
      <w:r>
        <w:rPr>
          <w:rFonts w:ascii="Arial" w:cs="Arial" w:eastAsia="Arial" w:hAnsi="Arial"/>
          <w:sz w:val="16"/>
          <w:szCs w:val="16"/>
          <w:color w:val="auto"/>
        </w:rPr>
        <w:t>This Agreement is the valid and legally binding obligation of Tollnine in accordance with its terms, subject to bankruptcy, reorganization, insolvency, moratorium and similar laws and to general principles of equity which are within the discretion of courts of applicable jurisdiction.</w:t>
      </w:r>
    </w:p>
    <w:p>
      <w:pPr>
        <w:spacing w:after="0" w:line="120"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 xml:space="preserve">5.3 Independent Contractor. </w:t>
      </w:r>
      <w:r>
        <w:rPr>
          <w:rFonts w:ascii="Arial" w:cs="Arial" w:eastAsia="Arial" w:hAnsi="Arial"/>
          <w:sz w:val="18"/>
          <w:szCs w:val="18"/>
          <w:color w:val="auto"/>
        </w:rPr>
        <w:t>ATI shall perform its obligations under this Agreement as an independent contractor and shall be solely responsible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own financial obligations. Nothing in this Agreement shall be construed to imply a joint venture or principal and agent relationship between the Parties, and neither Party shall, by virtue of this Agreement, have any right, power or authority to direct and control the day-to-day activities of the other or create any obligation, express or implied, on behalf of the other.</w:t>
      </w:r>
    </w:p>
    <w:p>
      <w:pPr>
        <w:spacing w:after="0" w:line="180" w:lineRule="exact"/>
        <w:rPr>
          <w:sz w:val="20"/>
          <w:szCs w:val="20"/>
          <w:color w:val="auto"/>
        </w:rPr>
      </w:pPr>
    </w:p>
    <w:p>
      <w:pPr>
        <w:jc w:val="both"/>
        <w:ind w:left="4" w:right="200"/>
        <w:spacing w:after="0" w:line="266" w:lineRule="auto"/>
        <w:rPr>
          <w:sz w:val="20"/>
          <w:szCs w:val="20"/>
          <w:color w:val="auto"/>
        </w:rPr>
      </w:pPr>
      <w:r>
        <w:rPr>
          <w:rFonts w:ascii="Arial" w:cs="Arial" w:eastAsia="Arial" w:hAnsi="Arial"/>
          <w:sz w:val="18"/>
          <w:szCs w:val="18"/>
          <w:b w:val="1"/>
          <w:bCs w:val="1"/>
          <w:color w:val="auto"/>
        </w:rPr>
        <w:t xml:space="preserve">5.4 ATI Authorization with Respect to Third Parties. </w:t>
      </w:r>
      <w:r>
        <w:rPr>
          <w:rFonts w:ascii="Arial" w:cs="Arial" w:eastAsia="Arial" w:hAnsi="Arial"/>
          <w:sz w:val="18"/>
          <w:szCs w:val="18"/>
          <w:color w:val="auto"/>
        </w:rPr>
        <w:t>ATI shall at all times hold itself out to third parties as an independent contractor and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make any representations to any third party that it has the right under this Agreement to assume or create any obligation of any kind, either express or implied, on behalf of Tollnine. ATI shall not take any action that would legally bind Tollnine.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54" w:name="page355"/>
    <w:bookmarkEnd w:id="35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5.5 Limitation of Liability.</w:t>
      </w:r>
    </w:p>
    <w:p>
      <w:pPr>
        <w:spacing w:after="0" w:line="229" w:lineRule="exact"/>
        <w:rPr>
          <w:sz w:val="20"/>
          <w:szCs w:val="20"/>
          <w:color w:val="auto"/>
        </w:rPr>
      </w:pPr>
    </w:p>
    <w:p>
      <w:pPr>
        <w:ind w:left="4" w:hanging="4"/>
        <w:spacing w:after="0" w:line="253" w:lineRule="auto"/>
        <w:tabs>
          <w:tab w:leader="none" w:pos="24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NEITHER PARTY SHALL BE LIABLE FOR ANY INDIRECT, CONSEQUENTIAL, SPECIAL OR PUNITIVE DAMAGES, INCLUDING WITHOUT LIMITATION LOSS OF BUSINESS OR LOSS OF USE, ARISING OUT OF THE BREACH BY A PARTY OF ITS OBLIGATIONS SET FORTH IN THIS AGREEMENT, WHETHER OR NOT FORESEEABLE AND WHETHER OR NOT A PARTY IS ADVISED OF THE POSSIBILITY OF SUCH DAMAGES; PROVIDED, HOWEVER, THAT THE FOREGOING LIMITATION OF LIABILITY SHALL NOT APPLY WITH RESPECT TO ANY BREACH OF SECTION 4.2 (CONFIDENTIALITY) OR DAMAGES ARISING FROM FRAUD, GROSS NEGLIGENCE OR WILLFUL MISCONDUCT. IN NO EVENT SHALL ATI BE LIABLE TO TOLLNINE FOR ANY LOSS ARISING UNDER OR IN CONNECTION WITH THIS AGREEMENT IN RESPECT OF ANY LOSS OF PROFIT, OPPORTUNITY, BUSINESS, SAVING OR GOODWILL (IN EACH CASE WHETHER DIRECT OR INDIRECT), AND EACH TYPE OF LOSS ARISING UNDER THIS SECTION 5.5(a) SHALL BE SEVERABLE IN ACCORDANCE WITH SECTION 7.7.</w:t>
      </w:r>
    </w:p>
    <w:p>
      <w:pPr>
        <w:spacing w:after="0" w:line="196" w:lineRule="exact"/>
        <w:rPr>
          <w:rFonts w:ascii="Arial" w:cs="Arial" w:eastAsia="Arial" w:hAnsi="Arial"/>
          <w:sz w:val="18"/>
          <w:szCs w:val="18"/>
          <w:color w:val="auto"/>
        </w:rPr>
      </w:pPr>
    </w:p>
    <w:p>
      <w:pPr>
        <w:ind w:left="4" w:right="260" w:hanging="4"/>
        <w:spacing w:after="0" w:line="311" w:lineRule="auto"/>
        <w:tabs>
          <w:tab w:leader="none" w:pos="259" w:val="left"/>
        </w:tabs>
        <w:numPr>
          <w:ilvl w:val="0"/>
          <w:numId w:val="321"/>
        </w:numPr>
        <w:rPr>
          <w:rFonts w:ascii="Arial" w:cs="Arial" w:eastAsia="Arial" w:hAnsi="Arial"/>
          <w:sz w:val="16"/>
          <w:szCs w:val="16"/>
          <w:color w:val="auto"/>
        </w:rPr>
      </w:pPr>
      <w:r>
        <w:rPr>
          <w:rFonts w:ascii="Arial" w:cs="Arial" w:eastAsia="Arial" w:hAnsi="Arial"/>
          <w:sz w:val="16"/>
          <w:szCs w:val="16"/>
          <w:color w:val="auto"/>
        </w:rPr>
        <w:t>In the event of a material error by ATI that prevents the proper performance of the Services or which renders the Services unacceptable to a regulatory authority to which Tollnine intends to submit the Results, ATI’s sole obligation to Tollnine shall be for ATI, in agreement with Tollnine to either: (a) repeat the defective part of the Services at ATI’s own cost, or (b) refund to Tollnine the amounts paid for the defective part of the Services.</w:t>
      </w:r>
    </w:p>
    <w:p>
      <w:pPr>
        <w:spacing w:after="0" w:line="148" w:lineRule="exact"/>
        <w:rPr>
          <w:rFonts w:ascii="Arial" w:cs="Arial" w:eastAsia="Arial" w:hAnsi="Arial"/>
          <w:sz w:val="16"/>
          <w:szCs w:val="16"/>
          <w:color w:val="auto"/>
        </w:rPr>
      </w:pPr>
    </w:p>
    <w:p>
      <w:pPr>
        <w:ind w:left="4" w:right="760" w:hanging="4"/>
        <w:spacing w:after="0" w:line="277" w:lineRule="auto"/>
        <w:tabs>
          <w:tab w:leader="none" w:pos="24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Each Party’s total liability to the other Party, whether in contract, tort (including negligence) or otherwise under this Agreement shall in no circumstances exceed two (2) times the total amount of fees paid by Tollnine for the applicable Services.</w:t>
      </w:r>
    </w:p>
    <w:p>
      <w:pPr>
        <w:spacing w:after="0" w:line="170" w:lineRule="exact"/>
        <w:rPr>
          <w:rFonts w:ascii="Arial" w:cs="Arial" w:eastAsia="Arial" w:hAnsi="Arial"/>
          <w:sz w:val="18"/>
          <w:szCs w:val="18"/>
          <w:color w:val="auto"/>
        </w:rPr>
      </w:pPr>
    </w:p>
    <w:p>
      <w:pPr>
        <w:ind w:left="4" w:hanging="4"/>
        <w:spacing w:after="0" w:line="277" w:lineRule="auto"/>
        <w:tabs>
          <w:tab w:leader="none" w:pos="25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ATI shall not be liable for any failure, error or delay in performing the Services if such failure, error or delay is caused by Tollnine or is a result of an express instruction from Tollnine or a change in Tollnine information.</w:t>
      </w:r>
    </w:p>
    <w:p>
      <w:pPr>
        <w:spacing w:after="0" w:line="166" w:lineRule="exact"/>
        <w:rPr>
          <w:sz w:val="20"/>
          <w:szCs w:val="20"/>
          <w:color w:val="auto"/>
        </w:rPr>
      </w:pPr>
    </w:p>
    <w:p>
      <w:pPr>
        <w:ind w:left="4" w:right="140"/>
        <w:spacing w:after="0" w:line="281" w:lineRule="auto"/>
        <w:rPr>
          <w:sz w:val="20"/>
          <w:szCs w:val="20"/>
          <w:color w:val="auto"/>
        </w:rPr>
      </w:pPr>
      <w:r>
        <w:rPr>
          <w:rFonts w:ascii="Arial" w:cs="Arial" w:eastAsia="Arial" w:hAnsi="Arial"/>
          <w:sz w:val="17"/>
          <w:szCs w:val="17"/>
          <w:b w:val="1"/>
          <w:bCs w:val="1"/>
          <w:color w:val="auto"/>
        </w:rPr>
        <w:t xml:space="preserve">5.6 Disclaimer. </w:t>
      </w:r>
      <w:r>
        <w:rPr>
          <w:rFonts w:ascii="Arial" w:cs="Arial" w:eastAsia="Arial" w:hAnsi="Arial"/>
          <w:sz w:val="17"/>
          <w:szCs w:val="17"/>
          <w:color w:val="auto"/>
        </w:rPr>
        <w:t>EXCEPT FOR THE WARRANTIES PROVIDED IN THIS ARTICLE 5 AND SUBJECT TO ANY RULES OF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THAT MAY NOT BE WAIVED, ANY AND ALL WARRANTIES AS TO THE SERVICES, THE NEW TECHNOLOGY AND THE EXISTING TECHNOLOGY, INCLUDING IMPLIED WARRANTIES OF MERCHANTABILITY AND FITNESS FOR A PARTICULAR PURPOSE OR USE, AND NON-INFRINGEMENT ARE SPECIFICALLY DISCLAIMED, EXCLUDED, WAIVED AND NEGATED.</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 TERM AND TERMINATION</w:t>
      </w:r>
    </w:p>
    <w:p>
      <w:pPr>
        <w:spacing w:after="0" w:line="117" w:lineRule="exact"/>
        <w:rPr>
          <w:sz w:val="20"/>
          <w:szCs w:val="20"/>
          <w:color w:val="auto"/>
        </w:rPr>
      </w:pPr>
    </w:p>
    <w:p>
      <w:pPr>
        <w:ind w:left="4" w:right="480"/>
        <w:spacing w:after="0" w:line="293" w:lineRule="auto"/>
        <w:rPr>
          <w:sz w:val="20"/>
          <w:szCs w:val="20"/>
          <w:color w:val="auto"/>
        </w:rPr>
      </w:pPr>
      <w:r>
        <w:rPr>
          <w:rFonts w:ascii="Arial" w:cs="Arial" w:eastAsia="Arial" w:hAnsi="Arial"/>
          <w:sz w:val="16"/>
          <w:szCs w:val="16"/>
          <w:b w:val="1"/>
          <w:bCs w:val="1"/>
          <w:color w:val="auto"/>
        </w:rPr>
        <w:t xml:space="preserve">6.1 Term. </w:t>
      </w:r>
      <w:r>
        <w:rPr>
          <w:rFonts w:ascii="Arial" w:cs="Arial" w:eastAsia="Arial" w:hAnsi="Arial"/>
          <w:sz w:val="16"/>
          <w:szCs w:val="16"/>
          <w:color w:val="auto"/>
        </w:rPr>
        <w:t>This Agreement shall take effect as the Effective Date and shall remain in effect for an initial period of three (3) years, unless sooner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in accordance with Section 6.2 (the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At the end of the fixed term, this Agreement shall renew automatically for additional one</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(1) year</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0" w:right="479" w:bottom="1440" w:gutter="0" w:footer="0" w:header="0"/>
        </w:sectPr>
      </w:pPr>
    </w:p>
    <w:bookmarkStart w:id="355" w:name="page356"/>
    <w:bookmarkEnd w:id="355"/>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terms (subject to earlier termination under the provisions of this Article 6), unless, prior to the date of any automatic renewal, one Party provides thirty (30) days’ advance written notice of non-renewal to the other Party.</w:t>
      </w:r>
    </w:p>
    <w:p>
      <w:pPr>
        <w:spacing w:after="0" w:line="166" w:lineRule="exact"/>
        <w:rPr>
          <w:sz w:val="20"/>
          <w:szCs w:val="20"/>
          <w:color w:val="auto"/>
        </w:rPr>
      </w:pPr>
    </w:p>
    <w:p>
      <w:pPr>
        <w:ind w:left="4"/>
        <w:spacing w:after="0" w:line="258" w:lineRule="auto"/>
        <w:rPr>
          <w:sz w:val="20"/>
          <w:szCs w:val="20"/>
          <w:color w:val="auto"/>
        </w:rPr>
      </w:pPr>
      <w:r>
        <w:rPr>
          <w:rFonts w:ascii="Arial" w:cs="Arial" w:eastAsia="Arial" w:hAnsi="Arial"/>
          <w:sz w:val="18"/>
          <w:szCs w:val="18"/>
          <w:b w:val="1"/>
          <w:bCs w:val="1"/>
          <w:color w:val="auto"/>
        </w:rPr>
        <w:t xml:space="preserve">6.2 Termination of Agreement for Cause. </w:t>
      </w:r>
      <w:r>
        <w:rPr>
          <w:rFonts w:ascii="Arial" w:cs="Arial" w:eastAsia="Arial" w:hAnsi="Arial"/>
          <w:sz w:val="18"/>
          <w:szCs w:val="18"/>
          <w:color w:val="auto"/>
        </w:rPr>
        <w:t>Either Party may terminate this Agreement at any time upon sixty (60) days’ notice to the other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that the other Party shall have breached any of its material obligations under this Agreement and shall not have cured such default prior to the expiration of the 60-day period. Termination of this Agreement shall not result in termination any Services then being delivered on an active basis, which shall remain in force until completed or terminated as provided in Section 6.3. If either Party desires to terminate this Agreement and all Services, it shall so state in its notice of termination.</w:t>
      </w:r>
    </w:p>
    <w:p>
      <w:pPr>
        <w:spacing w:after="0" w:line="183" w:lineRule="exact"/>
        <w:rPr>
          <w:sz w:val="20"/>
          <w:szCs w:val="20"/>
          <w:color w:val="auto"/>
        </w:rPr>
      </w:pPr>
    </w:p>
    <w:p>
      <w:pPr>
        <w:ind w:left="4" w:right="220"/>
        <w:spacing w:after="0" w:line="255" w:lineRule="auto"/>
        <w:rPr>
          <w:sz w:val="20"/>
          <w:szCs w:val="20"/>
          <w:color w:val="auto"/>
        </w:rPr>
      </w:pPr>
      <w:r>
        <w:rPr>
          <w:rFonts w:ascii="Arial" w:cs="Arial" w:eastAsia="Arial" w:hAnsi="Arial"/>
          <w:sz w:val="18"/>
          <w:szCs w:val="18"/>
          <w:b w:val="1"/>
          <w:bCs w:val="1"/>
          <w:color w:val="auto"/>
        </w:rPr>
        <w:t xml:space="preserve">6.3 Termination of Service(s) for Cause. </w:t>
      </w:r>
      <w:r>
        <w:rPr>
          <w:rFonts w:ascii="Arial" w:cs="Arial" w:eastAsia="Arial" w:hAnsi="Arial"/>
          <w:sz w:val="18"/>
          <w:szCs w:val="18"/>
          <w:color w:val="auto"/>
        </w:rPr>
        <w:t>Either Party may terminate any Service(s) at any time upon sixty (60) days’ notice to the other Party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that the other Party shall have breached any of its material obligations under this Agreement and shall not have cured such default prior to the expiration of the 60-day period. Termination of any Service(s) shall not result in termination of this Agreement or any other Service(s) then being delivered on an active basis, which shall remain in force until completed or terminated as provided in Sections 6.2 and 6.3. If either Party desires to terminate this Agreement and all Services, it shall so state in its notice of termination. If termination of multiple Services is elected pursuant to this Section 6.3, the opportunity to cure shall be available for each Service and termination shall only apply to those Service(s) with respect to which the default is not cured.</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6.4 Termination for Convenience.</w:t>
      </w:r>
    </w:p>
    <w:p>
      <w:pPr>
        <w:spacing w:after="0" w:line="229" w:lineRule="exact"/>
        <w:rPr>
          <w:sz w:val="20"/>
          <w:szCs w:val="20"/>
          <w:color w:val="auto"/>
        </w:rPr>
      </w:pPr>
    </w:p>
    <w:p>
      <w:pPr>
        <w:ind w:left="244" w:hanging="244"/>
        <w:spacing w:after="0"/>
        <w:tabs>
          <w:tab w:leader="none" w:pos="24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Parties may terminate this Agreement at any time upon mutual written agreement of the Parties.</w:t>
      </w:r>
    </w:p>
    <w:p>
      <w:pPr>
        <w:spacing w:after="0" w:line="225" w:lineRule="exact"/>
        <w:rPr>
          <w:rFonts w:ascii="Arial" w:cs="Arial" w:eastAsia="Arial" w:hAnsi="Arial"/>
          <w:sz w:val="18"/>
          <w:szCs w:val="18"/>
          <w:color w:val="auto"/>
        </w:rPr>
      </w:pPr>
    </w:p>
    <w:p>
      <w:pPr>
        <w:ind w:left="4" w:right="360" w:hanging="4"/>
        <w:spacing w:after="0" w:line="277" w:lineRule="auto"/>
        <w:tabs>
          <w:tab w:leader="none" w:pos="259"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This Agreement may be terminated by Tollnine, for convenience, at any time, by giving ATI written notice of the termination thirty (30) days in advance.</w:t>
      </w:r>
    </w:p>
    <w:p>
      <w:pPr>
        <w:spacing w:after="0" w:line="170" w:lineRule="exact"/>
        <w:rPr>
          <w:rFonts w:ascii="Arial" w:cs="Arial" w:eastAsia="Arial" w:hAnsi="Arial"/>
          <w:sz w:val="18"/>
          <w:szCs w:val="18"/>
          <w:color w:val="auto"/>
        </w:rPr>
      </w:pPr>
    </w:p>
    <w:p>
      <w:pPr>
        <w:ind w:left="4" w:hanging="4"/>
        <w:spacing w:after="0" w:line="308" w:lineRule="auto"/>
        <w:tabs>
          <w:tab w:leader="none" w:pos="249"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If a Force Majeure condition has prevented performance by one Party for more than forty five (45) consecutive days or an aggregate ninety (90) days in any I212-month period, the Disadvantaged Party shall have the right to terminate this Agreement upon fifteen (15) days’ notice.</w:t>
      </w:r>
    </w:p>
    <w:p>
      <w:pPr>
        <w:spacing w:after="0" w:line="142"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 xml:space="preserve">6.5 Termination for Insolvency. </w:t>
      </w:r>
      <w:r>
        <w:rPr>
          <w:rFonts w:ascii="Arial" w:cs="Arial" w:eastAsia="Arial" w:hAnsi="Arial"/>
          <w:sz w:val="18"/>
          <w:szCs w:val="18"/>
          <w:color w:val="auto"/>
        </w:rPr>
        <w:t>This Agreement shall terminate immediately without notice: (i) upon the institution by or against ATI or Tollnine of</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insolvency, receivership or bankruptcy proceedings or any other proceedings for the settlement of ATI’s or Tollnine’s debts; (ii) upon ATI’s or Tollnine’s making an assignment for the benefit of creditors; or (iii) upon ATI’s or Tollnine’s dissolution or liquidation.</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6.6 Effect of Termination.</w:t>
      </w:r>
    </w:p>
    <w:p>
      <w:pPr>
        <w:spacing w:after="0" w:line="229" w:lineRule="exact"/>
        <w:rPr>
          <w:sz w:val="20"/>
          <w:szCs w:val="20"/>
          <w:color w:val="auto"/>
        </w:rPr>
      </w:pPr>
    </w:p>
    <w:p>
      <w:pPr>
        <w:ind w:left="4" w:right="40" w:hanging="4"/>
        <w:spacing w:after="0" w:line="277" w:lineRule="auto"/>
        <w:tabs>
          <w:tab w:leader="none" w:pos="24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Upon termination (including expiration) of this Agreement for any reason: (i) Tollnine and ATI will terminate all tasks (if any) in an orderly manner, as soon as practical and in accordance with a</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4" w:right="479" w:bottom="1440" w:gutter="0" w:footer="0" w:header="0"/>
        </w:sectPr>
      </w:pPr>
    </w:p>
    <w:bookmarkStart w:id="356" w:name="page357"/>
    <w:bookmarkEnd w:id="356"/>
    <w:p>
      <w:pPr>
        <w:ind w:left="4"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agreed to by the Parties; and (ii) ATI will discontinue any and all use of any Existing Technology or New Technology, except as necessary to fulfill its obligations to Tollnine in accordance with this Section 6.6.</w:t>
      </w:r>
    </w:p>
    <w:p>
      <w:pPr>
        <w:spacing w:after="0" w:line="170" w:lineRule="exact"/>
        <w:rPr>
          <w:sz w:val="20"/>
          <w:szCs w:val="20"/>
          <w:color w:val="auto"/>
        </w:rPr>
      </w:pPr>
    </w:p>
    <w:p>
      <w:pPr>
        <w:ind w:left="4" w:right="260" w:hanging="4"/>
        <w:spacing w:after="0" w:line="259" w:lineRule="auto"/>
        <w:tabs>
          <w:tab w:leader="none" w:pos="25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Upon any termination (including expiration) the Receiving Party shall promptly: (i) cease the use of all Disclosing Party Confidential Information (except as otherwise provided under Section 6.6(a)) and return to the Disclosing Party any and all papers, material and property in its possession or control that contain or embody any Confidential Information of the Disclosing Party, without making or retaining copies thereof, in accordance with Section 4.3.</w:t>
      </w:r>
    </w:p>
    <w:p>
      <w:pPr>
        <w:spacing w:after="0" w:line="186" w:lineRule="exact"/>
        <w:rPr>
          <w:rFonts w:ascii="Arial" w:cs="Arial" w:eastAsia="Arial" w:hAnsi="Arial"/>
          <w:sz w:val="18"/>
          <w:szCs w:val="18"/>
          <w:color w:val="auto"/>
        </w:rPr>
      </w:pPr>
    </w:p>
    <w:p>
      <w:pPr>
        <w:ind w:left="4" w:right="200" w:hanging="4"/>
        <w:spacing w:after="0" w:line="279" w:lineRule="auto"/>
        <w:tabs>
          <w:tab w:leader="none" w:pos="249" w:val="left"/>
        </w:tabs>
        <w:numPr>
          <w:ilvl w:val="0"/>
          <w:numId w:val="324"/>
        </w:numPr>
        <w:rPr>
          <w:rFonts w:ascii="Arial" w:cs="Arial" w:eastAsia="Arial" w:hAnsi="Arial"/>
          <w:sz w:val="17"/>
          <w:szCs w:val="17"/>
          <w:color w:val="auto"/>
        </w:rPr>
      </w:pPr>
      <w:r>
        <w:rPr>
          <w:rFonts w:ascii="Arial" w:cs="Arial" w:eastAsia="Arial" w:hAnsi="Arial"/>
          <w:sz w:val="17"/>
          <w:szCs w:val="17"/>
          <w:color w:val="auto"/>
        </w:rPr>
        <w:t>Tollnine shall pay all reasonable costs incurred by ATI that are necessary or reasonably required in connection with the orderly cessation of the Services in accordance with the plan described in Section 6.6(a), provided that ATI shall use commercially reasonable efforts to minimize costs associated with the cessation of the Services and Tollnine shall not be responsible for such mitigated costs. ATI shall promptly issue to Tollnine a final invoice or credit note, as the case may be, with respect to all outstanding amounts due under this Agreement.</w:t>
      </w:r>
    </w:p>
    <w:p>
      <w:pPr>
        <w:spacing w:after="0" w:line="171" w:lineRule="exact"/>
        <w:rPr>
          <w:rFonts w:ascii="Arial" w:cs="Arial" w:eastAsia="Arial" w:hAnsi="Arial"/>
          <w:sz w:val="17"/>
          <w:szCs w:val="17"/>
          <w:color w:val="auto"/>
        </w:rPr>
      </w:pPr>
    </w:p>
    <w:p>
      <w:pPr>
        <w:ind w:left="4" w:right="180" w:hanging="4"/>
        <w:spacing w:after="0" w:line="263" w:lineRule="auto"/>
        <w:tabs>
          <w:tab w:leader="none" w:pos="25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Termination of this Agreement shall not affect rights and obligations of either Party that may have accrued prior to the effective date of termination or any obligation specifically stated to survive termination. The provisions of Article 1, Section 2.6, Sections 3.2-3.4, Article 4, Article 5, Section 6.6, and Article 7 shall survive any expiration or termination of this Agreement.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 GENERAL PROVISIONS.</w:t>
      </w:r>
    </w:p>
    <w:p>
      <w:pPr>
        <w:spacing w:after="0" w:line="117" w:lineRule="exact"/>
        <w:rPr>
          <w:sz w:val="20"/>
          <w:szCs w:val="20"/>
          <w:color w:val="auto"/>
        </w:rPr>
      </w:pPr>
    </w:p>
    <w:p>
      <w:pPr>
        <w:ind w:left="4" w:right="120"/>
        <w:spacing w:after="0" w:line="281" w:lineRule="auto"/>
        <w:rPr>
          <w:sz w:val="20"/>
          <w:szCs w:val="20"/>
          <w:color w:val="auto"/>
        </w:rPr>
      </w:pPr>
      <w:r>
        <w:rPr>
          <w:rFonts w:ascii="Arial" w:cs="Arial" w:eastAsia="Arial" w:hAnsi="Arial"/>
          <w:sz w:val="17"/>
          <w:szCs w:val="17"/>
          <w:b w:val="1"/>
          <w:bCs w:val="1"/>
          <w:color w:val="auto"/>
        </w:rPr>
        <w:t xml:space="preserve">7.1 Assignment. </w:t>
      </w:r>
      <w:r>
        <w:rPr>
          <w:rFonts w:ascii="Arial" w:cs="Arial" w:eastAsia="Arial" w:hAnsi="Arial"/>
          <w:sz w:val="17"/>
          <w:szCs w:val="17"/>
          <w:color w:val="auto"/>
        </w:rPr>
        <w:t>Neither Party may assign this Agreement, without the other Party’s prior written consent, except to an Affiliate of such Party or to a</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 or acquirer of such Party, as the case may be, in connection with a merger or acquisition, or the sale of all or substantially all of the assigning Party’s assets or the sale of that portion of the assigning Party’s business to which this Agreement relates. Any purported assignment in violation of this Section 7.1 will be null and void without the prior written approval of the assignment by the non-assigning Party.</w:t>
      </w:r>
    </w:p>
    <w:p>
      <w:pPr>
        <w:spacing w:after="0" w:line="165" w:lineRule="exact"/>
        <w:rPr>
          <w:sz w:val="20"/>
          <w:szCs w:val="20"/>
          <w:color w:val="auto"/>
        </w:rPr>
      </w:pPr>
    </w:p>
    <w:p>
      <w:pPr>
        <w:ind w:left="4" w:right="160"/>
        <w:spacing w:after="0" w:line="261" w:lineRule="auto"/>
        <w:rPr>
          <w:sz w:val="20"/>
          <w:szCs w:val="20"/>
          <w:color w:val="auto"/>
        </w:rPr>
      </w:pPr>
      <w:r>
        <w:rPr>
          <w:rFonts w:ascii="Arial" w:cs="Arial" w:eastAsia="Arial" w:hAnsi="Arial"/>
          <w:sz w:val="18"/>
          <w:szCs w:val="18"/>
          <w:b w:val="1"/>
          <w:bCs w:val="1"/>
          <w:color w:val="auto"/>
        </w:rPr>
        <w:t xml:space="preserve">7.2 Governing Law. </w:t>
      </w:r>
      <w:r>
        <w:rPr>
          <w:rFonts w:ascii="Arial" w:cs="Arial" w:eastAsia="Arial" w:hAnsi="Arial"/>
          <w:sz w:val="18"/>
          <w:szCs w:val="18"/>
          <w:color w:val="auto"/>
        </w:rPr>
        <w:t>This Agreement shall be governed and construed in accordance with the internal, substantive laws of New York,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to the exclusion of any choice or conflict of laws rule or provision that would result in the application of the substantive law of any other jurisdiction. The United Nations Convention on Contracts for the International Sale of Goods shall not apply to the transactions contemplated by this Agreement.</w:t>
      </w:r>
    </w:p>
    <w:p>
      <w:pPr>
        <w:spacing w:after="0" w:line="180" w:lineRule="exact"/>
        <w:rPr>
          <w:sz w:val="20"/>
          <w:szCs w:val="20"/>
          <w:color w:val="auto"/>
        </w:rPr>
      </w:pPr>
    </w:p>
    <w:p>
      <w:pPr>
        <w:ind w:left="4"/>
        <w:spacing w:after="0" w:line="261" w:lineRule="auto"/>
        <w:rPr>
          <w:sz w:val="20"/>
          <w:szCs w:val="20"/>
          <w:color w:val="auto"/>
        </w:rPr>
      </w:pPr>
      <w:r>
        <w:rPr>
          <w:rFonts w:ascii="Arial" w:cs="Arial" w:eastAsia="Arial" w:hAnsi="Arial"/>
          <w:sz w:val="18"/>
          <w:szCs w:val="18"/>
          <w:b w:val="1"/>
          <w:bCs w:val="1"/>
          <w:color w:val="auto"/>
        </w:rPr>
        <w:t xml:space="preserve">7.3 Amendment and Waiver. </w:t>
      </w:r>
      <w:r>
        <w:rPr>
          <w:rFonts w:ascii="Arial" w:cs="Arial" w:eastAsia="Arial" w:hAnsi="Arial"/>
          <w:sz w:val="18"/>
          <w:szCs w:val="18"/>
          <w:color w:val="auto"/>
        </w:rPr>
        <w:t>No provision of or right under this Agreement shall be deemed to have been waived by any act or acquiescence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either Party, its agents or employees, but only by an instrument in writing signed by an authorized officer of each Party. No waiver by either Party of any breach of this Agreement by the other Party shall be effective as to any other breach, whether of the same or any other term or condition and whether occurring before or after the date of such waiver.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357" w:name="page358"/>
    <w:bookmarkEnd w:id="357"/>
    <w:p>
      <w:pPr>
        <w:ind w:right="10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7.4 Successors and Assigns. </w:t>
      </w:r>
      <w:r>
        <w:rPr>
          <w:rFonts w:ascii="Arial" w:cs="Arial" w:eastAsia="Arial" w:hAnsi="Arial"/>
          <w:sz w:val="18"/>
          <w:szCs w:val="18"/>
          <w:color w:val="auto"/>
        </w:rPr>
        <w:t>This Agreement shall be binding upon and inure to the benefit of the Parties and their respective successors and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w:t>
      </w:r>
    </w:p>
    <w:p>
      <w:pPr>
        <w:spacing w:after="0" w:line="16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color w:val="auto"/>
        </w:rPr>
        <w:t xml:space="preserve">7.5 Notices. </w:t>
      </w:r>
      <w:r>
        <w:rPr>
          <w:rFonts w:ascii="Arial" w:cs="Arial" w:eastAsia="Arial" w:hAnsi="Arial"/>
          <w:sz w:val="17"/>
          <w:szCs w:val="17"/>
          <w:color w:val="auto"/>
        </w:rPr>
        <w:t>Unless otherwise provided herein, any notice, report, payment or document to be given by one Party to the other shall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given when delivered personally or mailed by certified or registered mail, postage prepaid (such mailed notice to be effective on the date which is three (3) Business Days after the date of mailing), or sent by internationally recognized overnight courier (such notice sent by courier to be effective one Business Day after it is deposited with such courier), or sent by telefax (such notice sent by telefax to be effective when sent, if confirmed by certified or registered mail or overnight courier as aforesaid) to the address set forth on the signature page to this Agreement or to such other place as either Party may designate as to itself by written notice to the other Party.</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7.6 Entire Agreement. </w:t>
      </w:r>
      <w:r>
        <w:rPr>
          <w:rFonts w:ascii="Arial" w:cs="Arial" w:eastAsia="Arial" w:hAnsi="Arial"/>
          <w:sz w:val="16"/>
          <w:szCs w:val="16"/>
          <w:color w:val="auto"/>
        </w:rPr>
        <w:t>The terms and provisions contained in this Agreement (including the Attachments) constitute the entire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with respect to the transactions and matters contemplated hereby and supersede all previous communications, representations, agreements and understandings relating to the subject matter hereof. No representations, inducements, promises or agreements, whether oral or otherwise, between the Parties not contained in this Agreement shall be of any force or effect. No agreement or understanding extending this Agreement or varying its terms (including any inconsistent terms in any purchase order, acknowledgment or similar form) shall be binding upon either Party unless it is in a writing specifically referring to this Agreement and signed by a duly authorized representative of the applicable Party. This Agreement is made in the English language and the English version of this Agreement shall control; in the event that any translation of this Agreement is made such translation shall be for informational purposes only and such translation shall not form part of this Agreement and only the English text shall be valid and legal.</w:t>
      </w:r>
    </w:p>
    <w:p>
      <w:pPr>
        <w:spacing w:after="0" w:line="15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7.7 Severability. </w:t>
      </w:r>
      <w:r>
        <w:rPr>
          <w:rFonts w:ascii="Arial" w:cs="Arial" w:eastAsia="Arial" w:hAnsi="Arial"/>
          <w:sz w:val="18"/>
          <w:szCs w:val="18"/>
          <w:color w:val="auto"/>
        </w:rPr>
        <w:t>In the event any provision of this Agreement shall for any reason be held to be invalid, illegal or unenforceable in any respect, such</w:t>
      </w:r>
      <w:r>
        <w:rPr>
          <w:rFonts w:ascii="Arial" w:cs="Arial" w:eastAsia="Arial" w:hAnsi="Arial"/>
          <w:sz w:val="18"/>
          <w:szCs w:val="18"/>
          <w:b w:val="1"/>
          <w:bCs w:val="1"/>
          <w:color w:val="auto"/>
        </w:rPr>
        <w:t xml:space="preserve"> </w:t>
      </w:r>
      <w:r>
        <w:rPr>
          <w:rFonts w:ascii="Arial" w:cs="Arial" w:eastAsia="Arial" w:hAnsi="Arial"/>
          <w:sz w:val="18"/>
          <w:szCs w:val="18"/>
          <w:color w:val="auto"/>
        </w:rPr>
        <w:t>invalidity, illegality or unenforceability shall not affect any other term or provision hereof. The Parties agree that they will negotiate in good faith or will permit a court to replace any provision hereof so held invalid, illegal or unenforceable with a valid provision that is as similar as possible in substance to the invalid, illegal or unenforceable provision.</w:t>
      </w:r>
    </w:p>
    <w:p>
      <w:pPr>
        <w:spacing w:after="0" w:line="180" w:lineRule="exact"/>
        <w:rPr>
          <w:sz w:val="20"/>
          <w:szCs w:val="20"/>
          <w:color w:val="auto"/>
        </w:rPr>
      </w:pPr>
    </w:p>
    <w:p>
      <w:pPr>
        <w:ind w:right="180"/>
        <w:spacing w:after="0" w:line="312" w:lineRule="auto"/>
        <w:rPr>
          <w:sz w:val="20"/>
          <w:szCs w:val="20"/>
          <w:color w:val="auto"/>
        </w:rPr>
      </w:pPr>
      <w:r>
        <w:rPr>
          <w:rFonts w:ascii="Arial" w:cs="Arial" w:eastAsia="Arial" w:hAnsi="Arial"/>
          <w:sz w:val="17"/>
          <w:szCs w:val="17"/>
          <w:b w:val="1"/>
          <w:bCs w:val="1"/>
          <w:color w:val="auto"/>
        </w:rPr>
        <w:t xml:space="preserve">7.8 Captions. </w:t>
      </w:r>
      <w:r>
        <w:rPr>
          <w:rFonts w:ascii="Arial" w:cs="Arial" w:eastAsia="Arial" w:hAnsi="Arial"/>
          <w:sz w:val="17"/>
          <w:szCs w:val="17"/>
          <w:color w:val="auto"/>
        </w:rPr>
        <w:t>Captions of the sections and subsections of this Agreement are for reference and convenience purposes only and do not constitute terms</w:t>
      </w:r>
      <w:r>
        <w:rPr>
          <w:rFonts w:ascii="Arial" w:cs="Arial" w:eastAsia="Arial" w:hAnsi="Arial"/>
          <w:sz w:val="17"/>
          <w:szCs w:val="17"/>
          <w:b w:val="1"/>
          <w:bCs w:val="1"/>
          <w:color w:val="auto"/>
        </w:rPr>
        <w:t xml:space="preserve"> </w:t>
      </w:r>
      <w:r>
        <w:rPr>
          <w:rFonts w:ascii="Arial" w:cs="Arial" w:eastAsia="Arial" w:hAnsi="Arial"/>
          <w:sz w:val="17"/>
          <w:szCs w:val="17"/>
          <w:color w:val="auto"/>
        </w:rPr>
        <w:t>or conditions of this Agreement and shall not limit or affect the meaning or construction of the terms and conditions hereof.</w:t>
      </w:r>
    </w:p>
    <w:p>
      <w:pPr>
        <w:spacing w:after="0" w:line="140"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 xml:space="preserve">7.9 Word Meanings. </w:t>
      </w:r>
      <w:r>
        <w:rPr>
          <w:rFonts w:ascii="Arial" w:cs="Arial" w:eastAsia="Arial" w:hAnsi="Arial"/>
          <w:sz w:val="18"/>
          <w:szCs w:val="18"/>
          <w:color w:val="auto"/>
        </w:rPr>
        <w:t>Words such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herein, hereinafter,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refer to this Agreement as a whole and not merely to a section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paragraph in which such words appear, unless the context otherwise requires. The singular shall include the plural, and each masculine, feminine and neuter reference shall include and refer also to the others, unless the context otherwise requires.</w:t>
      </w:r>
    </w:p>
    <w:p>
      <w:pPr>
        <w:spacing w:after="0" w:line="17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7.10 Conflict or Inconsistency. </w:t>
      </w:r>
      <w:r>
        <w:rPr>
          <w:rFonts w:ascii="Arial" w:cs="Arial" w:eastAsia="Arial" w:hAnsi="Arial"/>
          <w:sz w:val="18"/>
          <w:szCs w:val="18"/>
          <w:color w:val="auto"/>
        </w:rPr>
        <w:t>In the event of any conflict or inconsistency between the terms and conditions of this Agreement and any terms or</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any purchase order or other document relating to the transactions contemplated by this Agreement, the terms and conditions set forth in this Agreement shall prevail.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358" w:name="page359"/>
    <w:bookmarkEnd w:id="358"/>
    <w:p>
      <w:pPr>
        <w:ind w:left="4" w:right="3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7.11 Counterparts. </w:t>
      </w:r>
      <w:r>
        <w:rPr>
          <w:rFonts w:ascii="Arial" w:cs="Arial" w:eastAsia="Arial" w:hAnsi="Arial"/>
          <w:sz w:val="18"/>
          <w:szCs w:val="18"/>
          <w:color w:val="auto"/>
        </w:rPr>
        <w:t>This Agreement may be executed in multiple counterparts, each of which shall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62" w:lineRule="exact"/>
        <w:rPr>
          <w:sz w:val="20"/>
          <w:szCs w:val="20"/>
          <w:color w:val="auto"/>
        </w:rPr>
      </w:pPr>
    </w:p>
    <w:p>
      <w:pPr>
        <w:ind w:left="4" w:right="120"/>
        <w:spacing w:after="0" w:line="289" w:lineRule="auto"/>
        <w:rPr>
          <w:sz w:val="20"/>
          <w:szCs w:val="20"/>
          <w:color w:val="auto"/>
        </w:rPr>
      </w:pPr>
      <w:r>
        <w:rPr>
          <w:rFonts w:ascii="Arial" w:cs="Arial" w:eastAsia="Arial" w:hAnsi="Arial"/>
          <w:sz w:val="16"/>
          <w:szCs w:val="16"/>
          <w:b w:val="1"/>
          <w:bCs w:val="1"/>
          <w:color w:val="auto"/>
        </w:rPr>
        <w:t xml:space="preserve">7.12 Force Majeure. </w:t>
      </w:r>
      <w:r>
        <w:rPr>
          <w:rFonts w:ascii="Arial" w:cs="Arial" w:eastAsia="Arial" w:hAnsi="Arial"/>
          <w:sz w:val="16"/>
          <w:szCs w:val="16"/>
          <w:color w:val="auto"/>
        </w:rPr>
        <w:t>“</w:t>
      </w:r>
      <w:r>
        <w:rPr>
          <w:rFonts w:ascii="Arial" w:cs="Arial" w:eastAsia="Arial" w:hAnsi="Arial"/>
          <w:sz w:val="16"/>
          <w:szCs w:val="16"/>
          <w:b w:val="1"/>
          <w:bCs w:val="1"/>
          <w:i w:val="1"/>
          <w:iCs w:val="1"/>
          <w:color w:val="auto"/>
        </w:rPr>
        <w:t>Force Majeure</w:t>
      </w:r>
      <w:r>
        <w:rPr>
          <w:rFonts w:ascii="Arial" w:cs="Arial" w:eastAsia="Arial" w:hAnsi="Arial"/>
          <w:sz w:val="16"/>
          <w:szCs w:val="16"/>
          <w:color w:val="auto"/>
        </w:rPr>
        <w:t>” means acts of God, wars (declared or undeclared and including the continuance, expansion or new outbreak of</w:t>
      </w:r>
      <w:r>
        <w:rPr>
          <w:rFonts w:ascii="Arial" w:cs="Arial" w:eastAsia="Arial" w:hAnsi="Arial"/>
          <w:sz w:val="16"/>
          <w:szCs w:val="16"/>
          <w:b w:val="1"/>
          <w:bCs w:val="1"/>
          <w:color w:val="auto"/>
        </w:rPr>
        <w:t xml:space="preserve"> </w:t>
      </w:r>
      <w:r>
        <w:rPr>
          <w:rFonts w:ascii="Arial" w:cs="Arial" w:eastAsia="Arial" w:hAnsi="Arial"/>
          <w:sz w:val="16"/>
          <w:szCs w:val="16"/>
          <w:color w:val="auto"/>
        </w:rPr>
        <w:t>any war or conflict now in existence), revolution, civil commotion, acts of public enemy, labor strikes (other than employees of the Affected Party, as defined herein), terrorism, embargo or acts of government in its sovereign capacity. Except as otherwise provided in this Agreement, in the event that a delay or failure of a Party (the “</w:t>
      </w:r>
      <w:r>
        <w:rPr>
          <w:rFonts w:ascii="Arial" w:cs="Arial" w:eastAsia="Arial" w:hAnsi="Arial"/>
          <w:sz w:val="16"/>
          <w:szCs w:val="16"/>
          <w:b w:val="1"/>
          <w:bCs w:val="1"/>
          <w:i w:val="1"/>
          <w:iCs w:val="1"/>
          <w:color w:val="auto"/>
        </w:rPr>
        <w:t>Affected Party</w:t>
      </w:r>
      <w:r>
        <w:rPr>
          <w:rFonts w:ascii="Arial" w:cs="Arial" w:eastAsia="Arial" w:hAnsi="Arial"/>
          <w:sz w:val="16"/>
          <w:szCs w:val="16"/>
          <w:color w:val="auto"/>
        </w:rPr>
        <w:t>”) to comply with any obligation created by this Agreement is caused by Force Majeure, the Affected Party will, after giving prompt notice to the other Party ( the “</w:t>
      </w:r>
      <w:r>
        <w:rPr>
          <w:rFonts w:ascii="Arial" w:cs="Arial" w:eastAsia="Arial" w:hAnsi="Arial"/>
          <w:sz w:val="16"/>
          <w:szCs w:val="16"/>
          <w:b w:val="1"/>
          <w:bCs w:val="1"/>
          <w:i w:val="1"/>
          <w:iCs w:val="1"/>
          <w:color w:val="auto"/>
        </w:rPr>
        <w:t>Disadvantaged Party</w:t>
      </w:r>
      <w:r>
        <w:rPr>
          <w:rFonts w:ascii="Arial" w:cs="Arial" w:eastAsia="Arial" w:hAnsi="Arial"/>
          <w:sz w:val="16"/>
          <w:szCs w:val="16"/>
          <w:color w:val="auto"/>
        </w:rPr>
        <w:t>”), be excused from such performance on a day-to-day basis during the continuance of such prevention, restriction, or interference (and the Disadvantaged Party will likewise be excused from performance of its obligations on a day-to-day basis during the same period), provided, however, that the Affected Party will use its best efforts to avoid or remove the causes of nonperformance and both Parties will proceed immediately with the performance of their obligations under this Agreement whenever the causes are removed or cease. If Force Majeure conditions continue for more than 45 consecutive days or an aggregate 90 days in any 12-month period, then the Disadvantaged Party may terminate this Agreement in accordance with Section 6.4(c).</w:t>
      </w:r>
    </w:p>
    <w:p>
      <w:pPr>
        <w:spacing w:after="0" w:line="161" w:lineRule="exact"/>
        <w:rPr>
          <w:sz w:val="20"/>
          <w:szCs w:val="20"/>
          <w:color w:val="auto"/>
        </w:rPr>
      </w:pPr>
    </w:p>
    <w:p>
      <w:pPr>
        <w:ind w:left="4"/>
        <w:spacing w:after="0" w:line="266" w:lineRule="auto"/>
        <w:rPr>
          <w:sz w:val="20"/>
          <w:szCs w:val="20"/>
          <w:color w:val="auto"/>
        </w:rPr>
      </w:pPr>
      <w:r>
        <w:rPr>
          <w:rFonts w:ascii="Arial" w:cs="Arial" w:eastAsia="Arial" w:hAnsi="Arial"/>
          <w:sz w:val="18"/>
          <w:szCs w:val="18"/>
          <w:b w:val="1"/>
          <w:bCs w:val="1"/>
          <w:color w:val="auto"/>
        </w:rPr>
        <w:t xml:space="preserve">7.13 Further Assurances. </w:t>
      </w:r>
      <w:r>
        <w:rPr>
          <w:rFonts w:ascii="Arial" w:cs="Arial" w:eastAsia="Arial" w:hAnsi="Arial"/>
          <w:sz w:val="18"/>
          <w:szCs w:val="18"/>
          <w:color w:val="auto"/>
        </w:rPr>
        <w:t>Each Party covenants and agrees that, subsequent to the execution and delivery of this Agreement and without any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it will execute and deliver any further legal instruments and perform any acts that are or may become reasonably necessary to effectuate the purposes of this Agreement.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7.14 Dispute Resolution.</w:t>
      </w:r>
    </w:p>
    <w:p>
      <w:pPr>
        <w:spacing w:after="0" w:line="229" w:lineRule="exact"/>
        <w:rPr>
          <w:sz w:val="20"/>
          <w:szCs w:val="20"/>
          <w:color w:val="auto"/>
        </w:rPr>
      </w:pPr>
    </w:p>
    <w:p>
      <w:pPr>
        <w:ind w:left="4" w:right="60" w:hanging="4"/>
        <w:spacing w:after="0" w:line="285" w:lineRule="auto"/>
        <w:tabs>
          <w:tab w:leader="none" w:pos="249" w:val="left"/>
        </w:tabs>
        <w:numPr>
          <w:ilvl w:val="0"/>
          <w:numId w:val="325"/>
        </w:numPr>
        <w:rPr>
          <w:rFonts w:ascii="Arial" w:cs="Arial" w:eastAsia="Arial" w:hAnsi="Arial"/>
          <w:sz w:val="16"/>
          <w:szCs w:val="16"/>
          <w:color w:val="auto"/>
        </w:rPr>
      </w:pPr>
      <w:r>
        <w:rPr>
          <w:rFonts w:ascii="Arial" w:cs="Arial" w:eastAsia="Arial" w:hAnsi="Arial"/>
          <w:sz w:val="16"/>
          <w:szCs w:val="16"/>
          <w:color w:val="auto"/>
        </w:rPr>
        <w:t>Any disputes arising under this Agreement or connected herewith that the Parties are unable to resolve amicably within thirty (30) days after written notice thereof from one Party to the other shall be settled, solely and exclusively, by an arbitration to be conducted by one arbitrator in accordance with the Rules of Conciliation and Arbitration of the International Chamber of Commerce then in effect, excepting those disputes requiring injunctive relief, which shall be governed by Section 7.14(b). If the Parties are unable to agree on a single arbitrator, then such binding arbitration shall be conducted before a panel of three (3) arbitrators that shall be comprised of one (1) arbitrator designated by each Party and a third arbitrator designated by the two</w:t>
      </w:r>
    </w:p>
    <w:p>
      <w:pPr>
        <w:spacing w:after="0" w:line="1" w:lineRule="exact"/>
        <w:rPr>
          <w:rFonts w:ascii="Arial" w:cs="Arial" w:eastAsia="Arial" w:hAnsi="Arial"/>
          <w:sz w:val="16"/>
          <w:szCs w:val="16"/>
          <w:color w:val="auto"/>
        </w:rPr>
      </w:pPr>
    </w:p>
    <w:p>
      <w:pPr>
        <w:ind w:left="4" w:right="60"/>
        <w:spacing w:after="0" w:line="292" w:lineRule="auto"/>
        <w:rPr>
          <w:rFonts w:ascii="Arial" w:cs="Arial" w:eastAsia="Arial" w:hAnsi="Arial"/>
          <w:sz w:val="16"/>
          <w:szCs w:val="16"/>
          <w:color w:val="auto"/>
        </w:rPr>
      </w:pPr>
      <w:r>
        <w:rPr>
          <w:rFonts w:ascii="Arial" w:cs="Arial" w:eastAsia="Arial" w:hAnsi="Arial"/>
          <w:sz w:val="16"/>
          <w:szCs w:val="16"/>
          <w:color w:val="auto"/>
        </w:rPr>
        <w:t>(2) arbitrators separately designated by the Parties. Unless the Parties agree otherwise, the arbitration proceedings shall take place in San Francisco, CA and, the arbitrator(s) shall apply the laws of the State of New York and the United States without reference to conflicts of law rules that would result in the application of the laws of another jurisdiction, to all issues in dispute. All arbitration proceedings shall be conducted in English. The findings of the arbitrator(s) shall be final and binding on the Parties. Judgment may be entered in any court of appropriate jurisdiction, or application may be made to that court for a judicial acceptance of the award and an order of enforcement, as the Party seeking to enforce that award may elect.</w:t>
      </w:r>
    </w:p>
    <w:p>
      <w:pPr>
        <w:spacing w:after="0" w:line="162" w:lineRule="exact"/>
        <w:rPr>
          <w:rFonts w:ascii="Arial" w:cs="Arial" w:eastAsia="Arial" w:hAnsi="Arial"/>
          <w:sz w:val="16"/>
          <w:szCs w:val="16"/>
          <w:color w:val="auto"/>
        </w:rPr>
      </w:pPr>
    </w:p>
    <w:p>
      <w:pPr>
        <w:ind w:left="4" w:right="120" w:hanging="4"/>
        <w:spacing w:after="0" w:line="263" w:lineRule="auto"/>
        <w:tabs>
          <w:tab w:leader="none" w:pos="25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In the event of any breach by either Party of any of the provisions of this Agreement that would cause immediate and irreparable injury to the other Party, the non-breaching Party shall be entitled to seek injunctive relief and any or all other remedies applicable at law or in equity in any court of applicable jurisdiction.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0" w:right="479" w:bottom="1440" w:gutter="0" w:footer="0" w:header="0"/>
        </w:sectPr>
      </w:pPr>
    </w:p>
    <w:bookmarkStart w:id="359" w:name="page360"/>
    <w:bookmarkEnd w:id="359"/>
    <w:p>
      <w:pPr>
        <w:ind w:right="26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7.15 Attorneys’ Fees. </w:t>
      </w:r>
      <w:r>
        <w:rPr>
          <w:rFonts w:ascii="Arial" w:cs="Arial" w:eastAsia="Arial" w:hAnsi="Arial"/>
          <w:sz w:val="17"/>
          <w:szCs w:val="17"/>
          <w:color w:val="auto"/>
        </w:rPr>
        <w:t>If any arbitral or other proceeding is initiated by either of the Parties, the prevailing Party shall be entitled to recover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reasonable attorneys’ fees and arbitration or proceedings costs in addition to any other relief that may be awarded.</w:t>
      </w:r>
    </w:p>
    <w:p>
      <w:pPr>
        <w:spacing w:after="0" w:line="14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7.16 Remedies. </w:t>
      </w:r>
      <w:r>
        <w:rPr>
          <w:rFonts w:ascii="Arial" w:cs="Arial" w:eastAsia="Arial" w:hAnsi="Arial"/>
          <w:sz w:val="18"/>
          <w:szCs w:val="18"/>
          <w:color w:val="auto"/>
        </w:rPr>
        <w:t>All remedies set forth in this Agreement are cumulative and are in addition to any and all other remedies provided to either Party at law</w:t>
      </w:r>
      <w:r>
        <w:rPr>
          <w:rFonts w:ascii="Arial" w:cs="Arial" w:eastAsia="Arial" w:hAnsi="Arial"/>
          <w:sz w:val="18"/>
          <w:szCs w:val="18"/>
          <w:b w:val="1"/>
          <w:bCs w:val="1"/>
          <w:color w:val="auto"/>
        </w:rPr>
        <w:t xml:space="preserve"> </w:t>
      </w:r>
      <w:r>
        <w:rPr>
          <w:rFonts w:ascii="Arial" w:cs="Arial" w:eastAsia="Arial" w:hAnsi="Arial"/>
          <w:sz w:val="18"/>
          <w:szCs w:val="18"/>
          <w:color w:val="auto"/>
        </w:rPr>
        <w:t>or in equity. The failure of a Party to enforce, at any time, or for any period of time, any of the provisions of this Agreement, or of any breach hereof, shall not be construed as a waiver of such provision or subsequent breach of the same or any other provision or of the rights of such Party thereafter to enforce such provision, nor shall either Party’s continued dealing with the other Party following a breach of any provision hereof be deemed to be a waiver of such or any other breach.</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[The rest of this page is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0" w:right="519" w:bottom="1440" w:gutter="0" w:footer="0" w:header="0"/>
        </w:sectPr>
      </w:pPr>
    </w:p>
    <w:bookmarkStart w:id="360" w:name="page361"/>
    <w:bookmarkEnd w:id="360"/>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this Agreement to be executed on their behalf by their duly authorized representatives intending it to take effect as an instrument under seal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ALX ONCOLOGY INC.</w:t>
            </w: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TOLLNINE, INC</w:t>
            </w:r>
            <w:r>
              <w:rPr>
                <w:rFonts w:ascii="Arial" w:cs="Arial" w:eastAsia="Arial" w:hAnsi="Arial"/>
                <w:sz w:val="18"/>
                <w:szCs w:val="18"/>
                <w:color w:val="auto"/>
              </w:rPr>
              <w:t>.</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Jaume Pons</w:t>
            </w:r>
          </w:p>
        </w:tc>
        <w:tc>
          <w:tcPr>
            <w:tcW w:w="1300" w:type="dxa"/>
            <w:vAlign w:val="bottom"/>
          </w:tcPr>
          <w:p>
            <w:pPr>
              <w:ind w:left="66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Jaume Pons</w:t>
            </w:r>
          </w:p>
        </w:tc>
      </w:tr>
      <w:tr>
        <w:trPr>
          <w:trHeight w:val="331"/>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Jaume Pons</w:t>
            </w:r>
          </w:p>
        </w:tc>
        <w:tc>
          <w:tcPr>
            <w:tcW w:w="1300" w:type="dxa"/>
            <w:vAlign w:val="bottom"/>
          </w:tcPr>
          <w:p>
            <w:pPr>
              <w:ind w:left="66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Jaume Pons</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President</w:t>
            </w:r>
          </w:p>
        </w:tc>
        <w:tc>
          <w:tcPr>
            <w:tcW w:w="1300" w:type="dxa"/>
            <w:vAlign w:val="bottom"/>
          </w:tcPr>
          <w:p>
            <w:pPr>
              <w:ind w:left="66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Notice Address</w:t>
            </w:r>
          </w:p>
        </w:tc>
        <w:tc>
          <w:tcPr>
            <w:tcW w:w="3660" w:type="dxa"/>
            <w:vAlign w:val="bottom"/>
          </w:tcPr>
          <w:p>
            <w:pPr>
              <w:ind w:left="1520"/>
              <w:spacing w:after="0"/>
              <w:rPr>
                <w:sz w:val="20"/>
                <w:szCs w:val="20"/>
                <w:color w:val="auto"/>
              </w:rPr>
            </w:pPr>
            <w:r>
              <w:rPr>
                <w:rFonts w:ascii="Arial" w:cs="Arial" w:eastAsia="Arial" w:hAnsi="Arial"/>
                <w:sz w:val="18"/>
                <w:szCs w:val="18"/>
                <w:b w:val="1"/>
                <w:bCs w:val="1"/>
                <w:color w:val="auto"/>
              </w:rPr>
              <w:t>Notice Addresses:</w:t>
            </w:r>
          </w:p>
        </w:tc>
      </w:tr>
      <w:tr>
        <w:trPr>
          <w:trHeight w:val="310"/>
        </w:trPr>
        <w:tc>
          <w:tcPr>
            <w:tcW w:w="4340" w:type="dxa"/>
            <w:vAlign w:val="bottom"/>
            <w:gridSpan w:val="2"/>
          </w:tcPr>
          <w:p>
            <w:pPr>
              <w:spacing w:after="0"/>
              <w:rPr>
                <w:sz w:val="20"/>
                <w:szCs w:val="20"/>
                <w:color w:val="auto"/>
              </w:rPr>
            </w:pPr>
            <w:r>
              <w:rPr>
                <w:rFonts w:ascii="Arial" w:cs="Arial" w:eastAsia="Arial" w:hAnsi="Arial"/>
                <w:sz w:val="18"/>
                <w:szCs w:val="18"/>
                <w:color w:val="auto"/>
              </w:rPr>
              <w:t>ALX Oncology Inc.</w:t>
            </w:r>
          </w:p>
        </w:tc>
        <w:tc>
          <w:tcPr>
            <w:tcW w:w="3660" w:type="dxa"/>
            <w:vAlign w:val="bottom"/>
          </w:tcPr>
          <w:p>
            <w:pPr>
              <w:ind w:left="1520"/>
              <w:spacing w:after="0"/>
              <w:rPr>
                <w:sz w:val="20"/>
                <w:szCs w:val="20"/>
                <w:color w:val="auto"/>
              </w:rPr>
            </w:pPr>
            <w:r>
              <w:rPr>
                <w:rFonts w:ascii="Arial" w:cs="Arial" w:eastAsia="Arial" w:hAnsi="Arial"/>
                <w:sz w:val="18"/>
                <w:szCs w:val="18"/>
                <w:color w:val="auto"/>
              </w:rPr>
              <w:t>Tollnine, Inc.</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866 Malcolm Road, Suite 100</w:t>
            </w:r>
          </w:p>
        </w:tc>
        <w:tc>
          <w:tcPr>
            <w:tcW w:w="3660" w:type="dxa"/>
            <w:vAlign w:val="bottom"/>
          </w:tcPr>
          <w:p>
            <w:pPr>
              <w:ind w:left="1520"/>
              <w:spacing w:after="0"/>
              <w:rPr>
                <w:sz w:val="20"/>
                <w:szCs w:val="20"/>
                <w:color w:val="auto"/>
              </w:rPr>
            </w:pPr>
            <w:r>
              <w:rPr>
                <w:rFonts w:ascii="Arial" w:cs="Arial" w:eastAsia="Arial" w:hAnsi="Arial"/>
                <w:sz w:val="18"/>
                <w:szCs w:val="18"/>
                <w:color w:val="auto"/>
                <w:w w:val="88"/>
              </w:rPr>
              <w:t>1700 Owens Street, Suite 595</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Burlingame, CA 94010</w:t>
            </w:r>
          </w:p>
        </w:tc>
        <w:tc>
          <w:tcPr>
            <w:tcW w:w="3660" w:type="dxa"/>
            <w:vAlign w:val="bottom"/>
          </w:tcPr>
          <w:p>
            <w:pPr>
              <w:ind w:left="1520"/>
              <w:spacing w:after="0"/>
              <w:rPr>
                <w:sz w:val="20"/>
                <w:szCs w:val="20"/>
                <w:color w:val="auto"/>
              </w:rPr>
            </w:pPr>
            <w:r>
              <w:rPr>
                <w:rFonts w:ascii="Arial" w:cs="Arial" w:eastAsia="Arial" w:hAnsi="Arial"/>
                <w:sz w:val="18"/>
                <w:szCs w:val="18"/>
                <w:color w:val="auto"/>
              </w:rPr>
              <w:t>San Francisco, CA 94158</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USA</w:t>
            </w:r>
          </w:p>
        </w:tc>
        <w:tc>
          <w:tcPr>
            <w:tcW w:w="3660" w:type="dxa"/>
            <w:vAlign w:val="bottom"/>
          </w:tcPr>
          <w:p>
            <w:pPr>
              <w:ind w:left="1520"/>
              <w:spacing w:after="0"/>
              <w:rPr>
                <w:sz w:val="20"/>
                <w:szCs w:val="20"/>
                <w:color w:val="auto"/>
              </w:rPr>
            </w:pPr>
            <w:r>
              <w:rPr>
                <w:rFonts w:ascii="Arial" w:cs="Arial" w:eastAsia="Arial" w:hAnsi="Arial"/>
                <w:sz w:val="18"/>
                <w:szCs w:val="18"/>
                <w:color w:val="auto"/>
              </w:rPr>
              <w:t>USA</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Attn: Chief Executive Officer</w:t>
            </w:r>
          </w:p>
        </w:tc>
        <w:tc>
          <w:tcPr>
            <w:tcW w:w="3660" w:type="dxa"/>
            <w:vAlign w:val="bottom"/>
          </w:tcPr>
          <w:p>
            <w:pPr>
              <w:ind w:left="1520"/>
              <w:spacing w:after="0"/>
              <w:rPr>
                <w:sz w:val="20"/>
                <w:szCs w:val="20"/>
                <w:color w:val="auto"/>
              </w:rPr>
            </w:pPr>
            <w:r>
              <w:rPr>
                <w:rFonts w:ascii="Arial" w:cs="Arial" w:eastAsia="Arial" w:hAnsi="Arial"/>
                <w:sz w:val="18"/>
                <w:szCs w:val="18"/>
                <w:color w:val="auto"/>
                <w:w w:val="94"/>
              </w:rPr>
              <w:t>Attn: Chief Executive Officer</w:t>
            </w:r>
          </w:p>
        </w:tc>
      </w:tr>
      <w:tr>
        <w:trPr>
          <w:trHeight w:val="405"/>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Attachments</w:t>
            </w:r>
          </w:p>
        </w:tc>
        <w:tc>
          <w:tcPr>
            <w:tcW w:w="33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96"/>
        </w:trPr>
        <w:tc>
          <w:tcPr>
            <w:tcW w:w="4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 xml:space="preserve">Attachment 1: </w:t>
            </w:r>
            <w:r>
              <w:rPr>
                <w:rFonts w:ascii="Arial" w:cs="Arial" w:eastAsia="Arial" w:hAnsi="Arial"/>
                <w:sz w:val="18"/>
                <w:szCs w:val="18"/>
                <w:color w:val="auto"/>
              </w:rPr>
              <w:t>Description of Services</w:t>
            </w:r>
          </w:p>
        </w:tc>
        <w:tc>
          <w:tcPr>
            <w:tcW w:w="3660" w:type="dxa"/>
            <w:vAlign w:val="bottom"/>
          </w:tcPr>
          <w:p>
            <w:pPr>
              <w:spacing w:after="0"/>
              <w:rPr>
                <w:sz w:val="17"/>
                <w:szCs w:val="17"/>
                <w:color w:val="auto"/>
              </w:rPr>
            </w:pPr>
          </w:p>
        </w:tc>
      </w:tr>
      <w:tr>
        <w:trPr>
          <w:trHeight w:val="20"/>
        </w:trPr>
        <w:tc>
          <w:tcPr>
            <w:tcW w:w="1040" w:type="dxa"/>
            <w:vAlign w:val="bottom"/>
            <w:tcBorders>
              <w:right w:val="single" w:sz="8" w:color="auto"/>
            </w:tcBorders>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196"/>
        </w:trPr>
        <w:tc>
          <w:tcPr>
            <w:tcW w:w="43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 xml:space="preserve">Attachment 2 </w:t>
            </w:r>
            <w:r>
              <w:rPr>
                <w:rFonts w:ascii="Arial" w:cs="Arial" w:eastAsia="Arial" w:hAnsi="Arial"/>
                <w:sz w:val="18"/>
                <w:szCs w:val="18"/>
                <w:color w:val="auto"/>
              </w:rPr>
              <w:t>Compensation</w:t>
            </w:r>
          </w:p>
        </w:tc>
        <w:tc>
          <w:tcPr>
            <w:tcW w:w="3660" w:type="dxa"/>
            <w:vAlign w:val="bottom"/>
          </w:tcPr>
          <w:p>
            <w:pPr>
              <w:spacing w:after="0"/>
              <w:rPr>
                <w:sz w:val="17"/>
                <w:szCs w:val="17"/>
                <w:color w:val="auto"/>
              </w:rPr>
            </w:pPr>
          </w:p>
        </w:tc>
      </w:tr>
      <w:tr>
        <w:trPr>
          <w:trHeight w:val="20"/>
        </w:trPr>
        <w:tc>
          <w:tcPr>
            <w:tcW w:w="1040" w:type="dxa"/>
            <w:vAlign w:val="bottom"/>
            <w:tcBorders>
              <w:right w:val="single" w:sz="8" w:color="auto"/>
            </w:tcBorders>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361" w:name="page362"/>
    <w:bookmarkEnd w:id="36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Services to be provided to Tollnine by ATI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Services to be performed by ATI, initially, shall include the following as specified from time to time pursuant to Section 2.1:</w:t>
      </w:r>
    </w:p>
    <w:p>
      <w:pPr>
        <w:spacing w:after="0" w:line="131" w:lineRule="exact"/>
        <w:rPr>
          <w:sz w:val="20"/>
          <w:szCs w:val="20"/>
          <w:color w:val="auto"/>
        </w:rPr>
      </w:pPr>
    </w:p>
    <w:p>
      <w:pPr>
        <w:ind w:left="420" w:hanging="316"/>
        <w:spacing w:after="0"/>
        <w:tabs>
          <w:tab w:leader="none" w:pos="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Propose research and development programs and related budgets and submit same to Tollnine for consideration and approval.</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Carry out agreed basic and developmental research work in accordance with the agreed upon Services and the agreed upon budgeted amount.</w:t>
      </w:r>
    </w:p>
    <w:p>
      <w:pPr>
        <w:spacing w:after="0" w:line="153" w:lineRule="exact"/>
        <w:rPr>
          <w:rFonts w:ascii="Arial" w:cs="Arial" w:eastAsia="Arial" w:hAnsi="Arial"/>
          <w:sz w:val="16"/>
          <w:szCs w:val="16"/>
          <w:color w:val="auto"/>
        </w:rPr>
      </w:pPr>
    </w:p>
    <w:p>
      <w:pPr>
        <w:ind w:left="420" w:hanging="316"/>
        <w:spacing w:after="0"/>
        <w:tabs>
          <w:tab w:leader="none" w:pos="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Hire, train and supervise appropriately skilled and qualified research staff.</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Prepare related progress reports on research for Tollnine.</w:t>
      </w:r>
    </w:p>
    <w:p>
      <w:pPr>
        <w:spacing w:after="0" w:line="130" w:lineRule="exact"/>
        <w:rPr>
          <w:rFonts w:ascii="Arial" w:cs="Arial" w:eastAsia="Arial" w:hAnsi="Arial"/>
          <w:sz w:val="18"/>
          <w:szCs w:val="18"/>
          <w:color w:val="auto"/>
        </w:rPr>
      </w:pPr>
    </w:p>
    <w:p>
      <w:pPr>
        <w:ind w:left="420" w:right="480" w:hanging="316"/>
        <w:spacing w:after="0" w:line="277" w:lineRule="auto"/>
        <w:tabs>
          <w:tab w:leader="none" w:pos="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Carry out the design of preclinical and clinical trial protocols and oversee all clinical development, including preparation and submission of regulatory filings, interactions with regulatory authorities and drug safety monitoring.</w:t>
      </w:r>
    </w:p>
    <w:p>
      <w:pPr>
        <w:spacing w:after="0" w:line="75" w:lineRule="exact"/>
        <w:rPr>
          <w:rFonts w:ascii="Arial" w:cs="Arial" w:eastAsia="Arial" w:hAnsi="Arial"/>
          <w:sz w:val="18"/>
          <w:szCs w:val="18"/>
          <w:color w:val="auto"/>
        </w:rPr>
      </w:pPr>
    </w:p>
    <w:p>
      <w:pPr>
        <w:ind w:left="420" w:hanging="316"/>
        <w:spacing w:after="0" w:line="277" w:lineRule="auto"/>
        <w:tabs>
          <w:tab w:leader="none" w:pos="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Manage clinical trials through the hiring of Clinical Research Organizations (“CROs”), overseeing the performance of such CROs and conducting analysis and interpretation of data.</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Negotiate agreements with other Suppliers, as needed.</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Supervise and interface with Suppliers.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Prepare regulatory documents and filings on a timely basis.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Assist Tollnine with intellectual property protection matters and prosecute patent applications within the New Patents.</w:t>
      </w:r>
    </w:p>
    <w:p>
      <w:pPr>
        <w:spacing w:after="0" w:line="130" w:lineRule="exact"/>
        <w:rPr>
          <w:rFonts w:ascii="Arial" w:cs="Arial" w:eastAsia="Arial" w:hAnsi="Arial"/>
          <w:sz w:val="18"/>
          <w:szCs w:val="18"/>
          <w:color w:val="auto"/>
        </w:rPr>
      </w:pPr>
    </w:p>
    <w:p>
      <w:pPr>
        <w:ind w:left="420" w:right="740" w:hanging="316"/>
        <w:spacing w:after="0" w:line="277" w:lineRule="auto"/>
        <w:tabs>
          <w:tab w:leader="none" w:pos="42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Assist Tollnine, on an as agreed basis, with other matters related to its development program, such as selection of, negotiations with and supervision of GMP manufacturing sources.</w:t>
      </w:r>
    </w:p>
    <w:p>
      <w:pPr>
        <w:sectPr>
          <w:pgSz w:w="11900" w:h="16838" w:orient="portrait"/>
          <w:cols w:equalWidth="0" w:num="1">
            <w:col w:w="10960"/>
          </w:cols>
          <w:pgMar w:left="440" w:top="270" w:right="499" w:bottom="1440" w:gutter="0" w:footer="0" w:header="0"/>
        </w:sectPr>
      </w:pPr>
    </w:p>
    <w:bookmarkStart w:id="362" w:name="page363"/>
    <w:bookmarkEnd w:id="362"/>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As full consideration for the provision of Services by ATI hereunder, Tollnine shall pay to ATI a fee (the “</w:t>
      </w:r>
      <w:r>
        <w:rPr>
          <w:rFonts w:ascii="Arial" w:cs="Arial" w:eastAsia="Arial" w:hAnsi="Arial"/>
          <w:sz w:val="18"/>
          <w:szCs w:val="18"/>
          <w:b w:val="1"/>
          <w:bCs w:val="1"/>
          <w:i w:val="1"/>
          <w:iCs w:val="1"/>
          <w:color w:val="auto"/>
        </w:rPr>
        <w:t>Service Fee</w:t>
      </w:r>
      <w:r>
        <w:rPr>
          <w:rFonts w:ascii="Arial" w:cs="Arial" w:eastAsia="Arial" w:hAnsi="Arial"/>
          <w:sz w:val="18"/>
          <w:szCs w:val="18"/>
          <w:color w:val="auto"/>
        </w:rPr>
        <w:t>”) equal to the sum of the amounts described in paragraphs (a) and (d) for such period.</w:t>
      </w:r>
    </w:p>
    <w:p>
      <w:pPr>
        <w:spacing w:after="0" w:line="170" w:lineRule="exact"/>
        <w:rPr>
          <w:sz w:val="20"/>
          <w:szCs w:val="20"/>
          <w:color w:val="auto"/>
        </w:rPr>
      </w:pPr>
    </w:p>
    <w:p>
      <w:pPr>
        <w:ind w:left="244" w:hanging="244"/>
        <w:spacing w:after="0"/>
        <w:tabs>
          <w:tab w:leader="none" w:pos="24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An amount equal to the costs incurred by ATI with respect to the provision of the Services,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 mark-up equal to 10% of such costs.</w:t>
      </w:r>
    </w:p>
    <w:p>
      <w:pPr>
        <w:spacing w:after="0" w:line="225" w:lineRule="exact"/>
        <w:rPr>
          <w:rFonts w:ascii="Arial" w:cs="Arial" w:eastAsia="Arial" w:hAnsi="Arial"/>
          <w:sz w:val="18"/>
          <w:szCs w:val="18"/>
          <w:color w:val="auto"/>
        </w:rPr>
      </w:pPr>
    </w:p>
    <w:p>
      <w:pPr>
        <w:ind w:left="4" w:hanging="4"/>
        <w:spacing w:after="0" w:line="277" w:lineRule="auto"/>
        <w:tabs>
          <w:tab w:leader="none" w:pos="259" w:val="left"/>
        </w:tabs>
        <w:numPr>
          <w:ilvl w:val="0"/>
          <w:numId w:val="327"/>
        </w:numPr>
        <w:rPr>
          <w:rFonts w:ascii="Arial" w:cs="Arial" w:eastAsia="Arial" w:hAnsi="Arial"/>
          <w:sz w:val="18"/>
          <w:szCs w:val="18"/>
          <w:color w:val="auto"/>
        </w:rPr>
      </w:pPr>
      <w:r>
        <w:rPr>
          <w:rFonts w:ascii="Arial" w:cs="Arial" w:eastAsia="Arial" w:hAnsi="Arial"/>
          <w:sz w:val="18"/>
          <w:szCs w:val="18"/>
          <w:color w:val="auto"/>
        </w:rPr>
        <w:t>For greater clarity, the costs reasonably attributable to the provision of the Services shall include, but are not limited to, salaries and related costs, and other costs or expenses incurred in rendering the Services.</w:t>
      </w:r>
    </w:p>
    <w:p>
      <w:pPr>
        <w:spacing w:after="0" w:line="170" w:lineRule="exact"/>
        <w:rPr>
          <w:rFonts w:ascii="Arial" w:cs="Arial" w:eastAsia="Arial" w:hAnsi="Arial"/>
          <w:sz w:val="18"/>
          <w:szCs w:val="18"/>
          <w:color w:val="auto"/>
        </w:rPr>
      </w:pPr>
    </w:p>
    <w:p>
      <w:pPr>
        <w:ind w:left="244" w:hanging="244"/>
        <w:spacing w:after="0"/>
        <w:tabs>
          <w:tab w:leader="none" w:pos="244"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Parties shall review the provisions for determining Compensation hereunder annually in order to ensure that they continue to reflect an</w:t>
      </w:r>
    </w:p>
    <w:p>
      <w:pPr>
        <w:spacing w:after="0" w:line="35"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arm’s-length basis of compensation consistent with the requirements of § 482 of the Internal Revenue Code of 1986, as amended, and the regulations promulgated thereunder (“</w:t>
      </w:r>
      <w:r>
        <w:rPr>
          <w:rFonts w:ascii="Arial" w:cs="Arial" w:eastAsia="Arial" w:hAnsi="Arial"/>
          <w:sz w:val="18"/>
          <w:szCs w:val="18"/>
          <w:b w:val="1"/>
          <w:bCs w:val="1"/>
          <w:i w:val="1"/>
          <w:iCs w:val="1"/>
          <w:color w:val="auto"/>
        </w:rPr>
        <w:t>§ 482</w:t>
      </w:r>
      <w:r>
        <w:rPr>
          <w:rFonts w:ascii="Arial" w:cs="Arial" w:eastAsia="Arial" w:hAnsi="Arial"/>
          <w:sz w:val="18"/>
          <w:szCs w:val="18"/>
          <w:color w:val="auto"/>
        </w:rPr>
        <w:t>”). The Service Fee may also be adjusted, retrospectively or prospectively, if the Parties mutually agree in writing that an adjustment is required to comply with the arm’s length standard under § 482.</w:t>
      </w:r>
    </w:p>
    <w:p>
      <w:pPr>
        <w:spacing w:after="0" w:line="190" w:lineRule="exact"/>
        <w:rPr>
          <w:sz w:val="20"/>
          <w:szCs w:val="20"/>
          <w:color w:val="auto"/>
        </w:rPr>
      </w:pPr>
    </w:p>
    <w:p>
      <w:pPr>
        <w:ind w:left="4" w:right="300" w:hanging="4"/>
        <w:spacing w:after="0" w:line="263" w:lineRule="auto"/>
        <w:tabs>
          <w:tab w:leader="none" w:pos="259"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An amount equal to the costs incurred by ATI with respect to the services of subcontractors or Suppliers in connection with the provision of the Services,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as periodically agreed between the Parties, a mark-up equal to mutually agreed percentage of such costs. ATI will invoice Tollnine for such costs in United States Dollars.</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934699"/>
    <w:multiLevelType w:val="hybridMultilevel"/>
    <w:lvl w:ilvl="0">
      <w:lvlJc w:val="left"/>
      <w:lvlText w:val="(%1)"/>
      <w:numFmt w:val="decimal"/>
      <w:start w:val="1"/>
    </w:lvl>
  </w:abstractNum>
  <w:abstractNum w:abstractNumId="1">
    <w:nsid w:val="77485850"/>
    <w:multiLevelType w:val="hybridMultilevel"/>
    <w:lvl w:ilvl="0">
      <w:lvlJc w:val="left"/>
      <w:lvlText w:val="(%1)"/>
      <w:numFmt w:val="decimal"/>
      <w:start w:val="1"/>
    </w:lvl>
  </w:abstractNum>
  <w:abstractNum w:abstractNumId="2">
    <w:nsid w:val="744939A3"/>
    <w:multiLevelType w:val="hybridMultilevel"/>
    <w:lvl w:ilvl="0">
      <w:lvlJc w:val="left"/>
      <w:lvlText w:val="∎"/>
      <w:numFmt w:val="bullet"/>
      <w:start w:val="1"/>
    </w:lvl>
  </w:abstractNum>
  <w:abstractNum w:abstractNumId="3">
    <w:nsid w:val="4FA0D2E3"/>
    <w:multiLevelType w:val="hybridMultilevel"/>
    <w:lvl w:ilvl="0">
      <w:lvlJc w:val="left"/>
      <w:lvlText w:val="∎"/>
      <w:numFmt w:val="bullet"/>
      <w:start w:val="1"/>
    </w:lvl>
  </w:abstractNum>
  <w:abstractNum w:abstractNumId="4">
    <w:nsid w:val="6B1D2C14"/>
    <w:multiLevelType w:val="hybridMultilevel"/>
    <w:lvl w:ilvl="0">
      <w:lvlJc w:val="left"/>
      <w:lvlText w:val="∎"/>
      <w:numFmt w:val="bullet"/>
      <w:start w:val="1"/>
    </w:lvl>
  </w:abstractNum>
  <w:abstractNum w:abstractNumId="5">
    <w:nsid w:val="68B867D3"/>
    <w:multiLevelType w:val="hybridMultilevel"/>
    <w:lvl w:ilvl="0">
      <w:lvlJc w:val="left"/>
      <w:lvlText w:val="(%1)"/>
      <w:numFmt w:val="lowerRoman"/>
      <w:start w:val="2"/>
    </w:lvl>
  </w:abstractNum>
  <w:abstractNum w:abstractNumId="6">
    <w:nsid w:val="3F7F5DD9"/>
    <w:multiLevelType w:val="hybridMultilevel"/>
    <w:lvl w:ilvl="0">
      <w:lvlJc w:val="left"/>
      <w:lvlText w:val="∎"/>
      <w:numFmt w:val="bullet"/>
      <w:start w:val="1"/>
    </w:lvl>
  </w:abstractNum>
  <w:abstractNum w:abstractNumId="7">
    <w:nsid w:val="2AE05A34"/>
    <w:multiLevelType w:val="hybridMultilevel"/>
    <w:lvl w:ilvl="0">
      <w:lvlJc w:val="left"/>
      <w:lvlText w:val="∎"/>
      <w:numFmt w:val="bullet"/>
      <w:start w:val="1"/>
    </w:lvl>
  </w:abstractNum>
  <w:abstractNum w:abstractNumId="8">
    <w:nsid w:val="32794FF7"/>
    <w:multiLevelType w:val="hybridMultilevel"/>
    <w:lvl w:ilvl="0">
      <w:lvlJc w:val="left"/>
      <w:lvlText w:val="∎"/>
      <w:numFmt w:val="bullet"/>
      <w:start w:val="1"/>
    </w:lvl>
  </w:abstractNum>
  <w:abstractNum w:abstractNumId="9">
    <w:nsid w:val="5454945E"/>
    <w:multiLevelType w:val="hybridMultilevel"/>
    <w:lvl w:ilvl="0">
      <w:lvlJc w:val="left"/>
      <w:lvlText w:val="(%1)"/>
      <w:numFmt w:val="decimal"/>
      <w:start w:val="1"/>
    </w:lvl>
  </w:abstractNum>
  <w:abstractNum w:abstractNumId="10">
    <w:nsid w:val="4DEFDFA0"/>
    <w:multiLevelType w:val="hybridMultilevel"/>
    <w:lvl w:ilvl="0">
      <w:lvlJc w:val="left"/>
      <w:lvlText w:val="(%1)"/>
      <w:numFmt w:val="decimal"/>
      <w:start w:val="1"/>
    </w:lvl>
  </w:abstractNum>
  <w:abstractNum w:abstractNumId="11">
    <w:nsid w:val="2123D5F2"/>
    <w:multiLevelType w:val="hybridMultilevel"/>
    <w:lvl w:ilvl="0">
      <w:lvlJc w:val="left"/>
      <w:lvlText w:val="(%1)"/>
      <w:numFmt w:val="decimal"/>
      <w:start w:val="3"/>
    </w:lvl>
  </w:abstractNum>
  <w:abstractNum w:abstractNumId="12">
    <w:nsid w:val="135B8110"/>
    <w:multiLevelType w:val="hybridMultilevel"/>
    <w:lvl w:ilvl="0">
      <w:lvlJc w:val="left"/>
      <w:lvlText w:val="∎"/>
      <w:numFmt w:val="bullet"/>
      <w:start w:val="1"/>
    </w:lvl>
  </w:abstractNum>
  <w:abstractNum w:abstractNumId="13">
    <w:nsid w:val="94927A8"/>
    <w:multiLevelType w:val="hybridMultilevel"/>
    <w:lvl w:ilvl="0">
      <w:lvlJc w:val="left"/>
      <w:lvlText w:val="∎"/>
      <w:numFmt w:val="bullet"/>
      <w:start w:val="1"/>
    </w:lvl>
  </w:abstractNum>
  <w:abstractNum w:abstractNumId="14">
    <w:nsid w:val="DCDF8F6"/>
    <w:multiLevelType w:val="hybridMultilevel"/>
    <w:lvl w:ilvl="0">
      <w:lvlJc w:val="left"/>
      <w:lvlText w:val="∎"/>
      <w:numFmt w:val="bullet"/>
      <w:start w:val="1"/>
    </w:lvl>
  </w:abstractNum>
  <w:abstractNum w:abstractNumId="15">
    <w:nsid w:val="52D7B105"/>
    <w:multiLevelType w:val="hybridMultilevel"/>
    <w:lvl w:ilvl="0">
      <w:lvlJc w:val="left"/>
      <w:lvlText w:val="∎"/>
      <w:numFmt w:val="bullet"/>
      <w:start w:val="1"/>
    </w:lvl>
  </w:abstractNum>
  <w:abstractNum w:abstractNumId="16">
    <w:nsid w:val="2E8A6394"/>
    <w:multiLevelType w:val="hybridMultilevel"/>
    <w:lvl w:ilvl="0">
      <w:lvlJc w:val="left"/>
      <w:lvlText w:val="∎"/>
      <w:numFmt w:val="bullet"/>
      <w:start w:val="1"/>
    </w:lvl>
  </w:abstractNum>
  <w:abstractNum w:abstractNumId="17">
    <w:nsid w:val="24E60401"/>
    <w:multiLevelType w:val="hybridMultilevel"/>
    <w:lvl w:ilvl="0">
      <w:lvlJc w:val="left"/>
      <w:lvlText w:val="∎"/>
      <w:numFmt w:val="bullet"/>
      <w:start w:val="1"/>
    </w:lvl>
  </w:abstractNum>
  <w:abstractNum w:abstractNumId="18">
    <w:nsid w:val="2A6AD9BE"/>
    <w:multiLevelType w:val="hybridMultilevel"/>
    <w:lvl w:ilvl="0">
      <w:lvlJc w:val="left"/>
      <w:lvlText w:val="∎"/>
      <w:numFmt w:val="bullet"/>
      <w:start w:val="1"/>
    </w:lvl>
  </w:abstractNum>
  <w:abstractNum w:abstractNumId="19">
    <w:nsid w:val="BAAC1B4"/>
    <w:multiLevelType w:val="hybridMultilevel"/>
    <w:lvl w:ilvl="0">
      <w:lvlJc w:val="left"/>
      <w:lvlText w:val="∎"/>
      <w:numFmt w:val="bullet"/>
      <w:start w:val="1"/>
    </w:lvl>
  </w:abstractNum>
  <w:abstractNum w:abstractNumId="20">
    <w:nsid w:val="36B2ACBC"/>
    <w:multiLevelType w:val="hybridMultilevel"/>
    <w:lvl w:ilvl="0">
      <w:lvlJc w:val="left"/>
      <w:lvlText w:val="∎"/>
      <w:numFmt w:val="bullet"/>
      <w:start w:val="1"/>
    </w:lvl>
  </w:abstractNum>
  <w:abstractNum w:abstractNumId="21">
    <w:nsid w:val="779D8544"/>
    <w:multiLevelType w:val="hybridMultilevel"/>
    <w:lvl w:ilvl="0">
      <w:lvlJc w:val="left"/>
      <w:lvlText w:val="∎"/>
      <w:numFmt w:val="bullet"/>
      <w:start w:val="1"/>
    </w:lvl>
  </w:abstractNum>
  <w:abstractNum w:abstractNumId="22">
    <w:nsid w:val="4AB26E78"/>
    <w:multiLevelType w:val="hybridMultilevel"/>
    <w:lvl w:ilvl="0">
      <w:lvlJc w:val="left"/>
      <w:lvlText w:val="∎"/>
      <w:numFmt w:val="bullet"/>
      <w:start w:val="1"/>
    </w:lvl>
  </w:abstractNum>
  <w:abstractNum w:abstractNumId="23">
    <w:nsid w:val="21FAA2FA"/>
    <w:multiLevelType w:val="hybridMultilevel"/>
    <w:lvl w:ilvl="0">
      <w:lvlJc w:val="left"/>
      <w:lvlText w:val="∎"/>
      <w:numFmt w:val="bullet"/>
      <w:start w:val="1"/>
    </w:lvl>
  </w:abstractNum>
  <w:abstractNum w:abstractNumId="24">
    <w:nsid w:val="5451CF49"/>
    <w:multiLevelType w:val="hybridMultilevel"/>
    <w:lvl w:ilvl="0">
      <w:lvlJc w:val="left"/>
      <w:lvlText w:val="∎"/>
      <w:numFmt w:val="bullet"/>
      <w:start w:val="1"/>
    </w:lvl>
  </w:abstractNum>
  <w:abstractNum w:abstractNumId="25">
    <w:nsid w:val="6181EF69"/>
    <w:multiLevelType w:val="hybridMultilevel"/>
    <w:lvl w:ilvl="0">
      <w:lvlJc w:val="left"/>
      <w:lvlText w:val="∎"/>
      <w:numFmt w:val="bullet"/>
      <w:start w:val="1"/>
    </w:lvl>
  </w:abstractNum>
  <w:abstractNum w:abstractNumId="26">
    <w:nsid w:val="3E6400E6"/>
    <w:multiLevelType w:val="hybridMultilevel"/>
    <w:lvl w:ilvl="0">
      <w:lvlJc w:val="left"/>
      <w:lvlText w:val="∎"/>
      <w:numFmt w:val="bullet"/>
      <w:start w:val="1"/>
    </w:lvl>
  </w:abstractNum>
  <w:abstractNum w:abstractNumId="27">
    <w:nsid w:val="14217E23"/>
    <w:multiLevelType w:val="hybridMultilevel"/>
    <w:lvl w:ilvl="0">
      <w:lvlJc w:val="left"/>
      <w:lvlText w:val="∎"/>
      <w:numFmt w:val="bullet"/>
      <w:start w:val="1"/>
    </w:lvl>
  </w:abstractNum>
  <w:abstractNum w:abstractNumId="28">
    <w:nsid w:val="710757D0"/>
    <w:multiLevelType w:val="hybridMultilevel"/>
    <w:lvl w:ilvl="0">
      <w:lvlJc w:val="left"/>
      <w:lvlText w:val="∎"/>
      <w:numFmt w:val="bullet"/>
      <w:start w:val="1"/>
    </w:lvl>
  </w:abstractNum>
  <w:abstractNum w:abstractNumId="29">
    <w:nsid w:val="5015CD1A"/>
    <w:multiLevelType w:val="hybridMultilevel"/>
    <w:lvl w:ilvl="0">
      <w:lvlJc w:val="left"/>
      <w:lvlText w:val="∎"/>
      <w:numFmt w:val="bullet"/>
      <w:start w:val="1"/>
    </w:lvl>
  </w:abstractNum>
  <w:abstractNum w:abstractNumId="30">
    <w:nsid w:val="424479DA"/>
    <w:multiLevelType w:val="hybridMultilevel"/>
    <w:lvl w:ilvl="0">
      <w:lvlJc w:val="left"/>
      <w:lvlText w:val="∎"/>
      <w:numFmt w:val="bullet"/>
      <w:start w:val="1"/>
    </w:lvl>
  </w:abstractNum>
  <w:abstractNum w:abstractNumId="31">
    <w:nsid w:val="1A9A9E69"/>
    <w:multiLevelType w:val="hybridMultilevel"/>
    <w:lvl w:ilvl="0">
      <w:lvlJc w:val="left"/>
      <w:lvlText w:val="∎"/>
      <w:numFmt w:val="bullet"/>
      <w:start w:val="1"/>
    </w:lvl>
  </w:abstractNum>
  <w:abstractNum w:abstractNumId="32">
    <w:nsid w:val="475E256A"/>
    <w:multiLevelType w:val="hybridMultilevel"/>
    <w:lvl w:ilvl="0">
      <w:lvlJc w:val="left"/>
      <w:lvlText w:val="∎"/>
      <w:numFmt w:val="bullet"/>
      <w:start w:val="1"/>
    </w:lvl>
  </w:abstractNum>
  <w:abstractNum w:abstractNumId="33">
    <w:nsid w:val="368DB37E"/>
    <w:multiLevelType w:val="hybridMultilevel"/>
    <w:lvl w:ilvl="0">
      <w:lvlJc w:val="left"/>
      <w:lvlText w:val="∎"/>
      <w:numFmt w:val="bullet"/>
      <w:start w:val="1"/>
    </w:lvl>
  </w:abstractNum>
  <w:abstractNum w:abstractNumId="34">
    <w:nsid w:val="6A3B714C"/>
    <w:multiLevelType w:val="hybridMultilevel"/>
    <w:lvl w:ilvl="0">
      <w:lvlJc w:val="left"/>
      <w:lvlText w:val="∎"/>
      <w:numFmt w:val="bullet"/>
      <w:start w:val="1"/>
    </w:lvl>
  </w:abstractNum>
  <w:abstractNum w:abstractNumId="35">
    <w:nsid w:val="327B517E"/>
    <w:multiLevelType w:val="hybridMultilevel"/>
    <w:lvl w:ilvl="0">
      <w:lvlJc w:val="left"/>
      <w:lvlText w:val="∎"/>
      <w:numFmt w:val="bullet"/>
      <w:start w:val="1"/>
    </w:lvl>
  </w:abstractNum>
  <w:abstractNum w:abstractNumId="36">
    <w:nsid w:val="1F461B51"/>
    <w:multiLevelType w:val="hybridMultilevel"/>
    <w:lvl w:ilvl="0">
      <w:lvlJc w:val="left"/>
      <w:lvlText w:val="∎"/>
      <w:numFmt w:val="bullet"/>
      <w:start w:val="1"/>
    </w:lvl>
  </w:abstractNum>
  <w:abstractNum w:abstractNumId="37">
    <w:nsid w:val="29BACF25"/>
    <w:multiLevelType w:val="hybridMultilevel"/>
    <w:lvl w:ilvl="0">
      <w:lvlJc w:val="left"/>
      <w:lvlText w:val="∎"/>
      <w:numFmt w:val="bullet"/>
      <w:start w:val="1"/>
    </w:lvl>
  </w:abstractNum>
  <w:abstractNum w:abstractNumId="38">
    <w:nsid w:val="5D5BABB3"/>
    <w:multiLevelType w:val="hybridMultilevel"/>
    <w:lvl w:ilvl="0">
      <w:lvlJc w:val="left"/>
      <w:lvlText w:val="∎"/>
      <w:numFmt w:val="bullet"/>
      <w:start w:val="1"/>
    </w:lvl>
  </w:abstractNum>
  <w:abstractNum w:abstractNumId="39">
    <w:nsid w:val="51BF6B48"/>
    <w:multiLevelType w:val="hybridMultilevel"/>
    <w:lvl w:ilvl="0">
      <w:lvlJc w:val="left"/>
      <w:lvlText w:val="∎"/>
      <w:numFmt w:val="bullet"/>
      <w:start w:val="1"/>
    </w:lvl>
  </w:abstractNum>
  <w:abstractNum w:abstractNumId="40">
    <w:nsid w:val="7E0F6384"/>
    <w:multiLevelType w:val="hybridMultilevel"/>
    <w:lvl w:ilvl="0">
      <w:lvlJc w:val="left"/>
      <w:lvlText w:val="∎"/>
      <w:numFmt w:val="bullet"/>
      <w:start w:val="1"/>
    </w:lvl>
  </w:abstractNum>
  <w:abstractNum w:abstractNumId="41">
    <w:nsid w:val="2B4B8B53"/>
    <w:multiLevelType w:val="hybridMultilevel"/>
    <w:lvl w:ilvl="0">
      <w:lvlJc w:val="left"/>
      <w:lvlText w:val="∎"/>
      <w:numFmt w:val="bullet"/>
      <w:start w:val="1"/>
    </w:lvl>
  </w:abstractNum>
  <w:abstractNum w:abstractNumId="42">
    <w:nsid w:val="72E3413A"/>
    <w:multiLevelType w:val="hybridMultilevel"/>
    <w:lvl w:ilvl="0">
      <w:lvlJc w:val="left"/>
      <w:lvlText w:val="∎"/>
      <w:numFmt w:val="bullet"/>
      <w:start w:val="1"/>
    </w:lvl>
  </w:abstractNum>
  <w:abstractNum w:abstractNumId="43">
    <w:nsid w:val="116AE494"/>
    <w:multiLevelType w:val="hybridMultilevel"/>
    <w:lvl w:ilvl="0">
      <w:lvlJc w:val="left"/>
      <w:lvlText w:val="∎"/>
      <w:numFmt w:val="bullet"/>
      <w:start w:val="1"/>
    </w:lvl>
  </w:abstractNum>
  <w:abstractNum w:abstractNumId="44">
    <w:nsid w:val="3494B2FB"/>
    <w:multiLevelType w:val="hybridMultilevel"/>
    <w:lvl w:ilvl="0">
      <w:lvlJc w:val="left"/>
      <w:lvlText w:val="∎"/>
      <w:numFmt w:val="bullet"/>
      <w:start w:val="1"/>
    </w:lvl>
    <w:lvl w:ilvl="1">
      <w:lvlJc w:val="left"/>
      <w:lvlText w:val="∎"/>
      <w:numFmt w:val="bullet"/>
      <w:start w:val="1"/>
    </w:lvl>
  </w:abstractNum>
  <w:abstractNum w:abstractNumId="45">
    <w:nsid w:val="B13A31"/>
    <w:multiLevelType w:val="hybridMultilevel"/>
    <w:lvl w:ilvl="0">
      <w:lvlJc w:val="left"/>
      <w:lvlText w:val="∎"/>
      <w:numFmt w:val="bullet"/>
      <w:start w:val="1"/>
    </w:lvl>
  </w:abstractNum>
  <w:abstractNum w:abstractNumId="46">
    <w:nsid w:val="64429599"/>
    <w:multiLevelType w:val="hybridMultilevel"/>
    <w:lvl w:ilvl="0">
      <w:lvlJc w:val="left"/>
      <w:lvlText w:val="$"/>
      <w:numFmt w:val="bullet"/>
      <w:start w:val="1"/>
    </w:lvl>
  </w:abstractNum>
  <w:abstractNum w:abstractNumId="47">
    <w:nsid w:val="631F1690"/>
    <w:multiLevelType w:val="hybridMultilevel"/>
    <w:lvl w:ilvl="0">
      <w:lvlJc w:val="left"/>
      <w:lvlText w:val="$"/>
      <w:numFmt w:val="bullet"/>
      <w:start w:val="1"/>
    </w:lvl>
  </w:abstractNum>
  <w:abstractNum w:abstractNumId="48">
    <w:nsid w:val="25973E32"/>
    <w:multiLevelType w:val="hybridMultilevel"/>
    <w:lvl w:ilvl="0">
      <w:lvlJc w:val="left"/>
      <w:lvlText w:val="∎"/>
      <w:numFmt w:val="bullet"/>
      <w:start w:val="1"/>
    </w:lvl>
  </w:abstractNum>
  <w:abstractNum w:abstractNumId="49">
    <w:nsid w:val="EAD6F57"/>
    <w:multiLevelType w:val="hybridMultilevel"/>
    <w:lvl w:ilvl="0">
      <w:lvlJc w:val="left"/>
      <w:lvlText w:val="∎"/>
      <w:numFmt w:val="bullet"/>
      <w:start w:val="1"/>
    </w:lvl>
  </w:abstractNum>
  <w:abstractNum w:abstractNumId="50">
    <w:nsid w:val="6EC9D844"/>
    <w:multiLevelType w:val="hybridMultilevel"/>
    <w:lvl w:ilvl="0">
      <w:lvlJc w:val="left"/>
      <w:lvlText w:val="(%1)"/>
      <w:numFmt w:val="decimal"/>
      <w:start w:val="1"/>
    </w:lvl>
  </w:abstractNum>
  <w:abstractNum w:abstractNumId="51">
    <w:nsid w:val="5C49EAEE"/>
    <w:multiLevelType w:val="hybridMultilevel"/>
    <w:lvl w:ilvl="0">
      <w:lvlJc w:val="left"/>
      <w:lvlText w:val="(%1)"/>
      <w:numFmt w:val="decimal"/>
      <w:start w:val="1"/>
    </w:lvl>
  </w:abstractNum>
  <w:abstractNum w:abstractNumId="52">
    <w:nsid w:val="64AF49B"/>
    <w:multiLevelType w:val="hybridMultilevel"/>
    <w:lvl w:ilvl="0">
      <w:lvlJc w:val="left"/>
      <w:lvlText w:val="∎"/>
      <w:numFmt w:val="bullet"/>
      <w:start w:val="1"/>
    </w:lvl>
  </w:abstractNum>
  <w:abstractNum w:abstractNumId="53">
    <w:nsid w:val="397C46BC"/>
    <w:multiLevelType w:val="hybridMultilevel"/>
    <w:lvl w:ilvl="0">
      <w:lvlJc w:val="left"/>
      <w:lvlText w:val="∎"/>
      <w:numFmt w:val="bullet"/>
      <w:start w:val="1"/>
    </w:lvl>
  </w:abstractNum>
  <w:abstractNum w:abstractNumId="54">
    <w:nsid w:val="7E448DE9"/>
    <w:multiLevelType w:val="hybridMultilevel"/>
    <w:lvl w:ilvl="0">
      <w:lvlJc w:val="left"/>
      <w:lvlText w:val="∎"/>
      <w:numFmt w:val="bullet"/>
      <w:start w:val="1"/>
    </w:lvl>
  </w:abstractNum>
  <w:abstractNum w:abstractNumId="55">
    <w:nsid w:val="5A9CC3E5"/>
    <w:multiLevelType w:val="hybridMultilevel"/>
    <w:lvl w:ilvl="0">
      <w:lvlJc w:val="left"/>
      <w:lvlText w:val="∎"/>
      <w:numFmt w:val="bullet"/>
      <w:start w:val="1"/>
    </w:lvl>
  </w:abstractNum>
  <w:abstractNum w:abstractNumId="56">
    <w:nsid w:val="1AFE3625"/>
    <w:multiLevelType w:val="hybridMultilevel"/>
    <w:lvl w:ilvl="0">
      <w:lvlJc w:val="left"/>
      <w:lvlText w:val="$"/>
      <w:numFmt w:val="bullet"/>
      <w:start w:val="1"/>
    </w:lvl>
  </w:abstractNum>
  <w:abstractNum w:abstractNumId="57">
    <w:nsid w:val="3CA88ECF"/>
    <w:multiLevelType w:val="hybridMultilevel"/>
    <w:lvl w:ilvl="0">
      <w:lvlJc w:val="left"/>
      <w:lvlText w:val="(%1)"/>
      <w:numFmt w:val="decimal"/>
      <w:start w:val="1"/>
    </w:lvl>
  </w:abstractNum>
  <w:abstractNum w:abstractNumId="58">
    <w:nsid w:val="6EBE4208"/>
    <w:multiLevelType w:val="hybridMultilevel"/>
    <w:lvl w:ilvl="0">
      <w:lvlJc w:val="left"/>
      <w:lvlText w:val="∎"/>
      <w:numFmt w:val="bullet"/>
      <w:start w:val="1"/>
    </w:lvl>
  </w:abstractNum>
  <w:abstractNum w:abstractNumId="59">
    <w:nsid w:val="C058DF5"/>
    <w:multiLevelType w:val="hybridMultilevel"/>
    <w:lvl w:ilvl="0">
      <w:lvlJc w:val="left"/>
      <w:lvlText w:val="∎"/>
      <w:numFmt w:val="bullet"/>
      <w:start w:val="1"/>
    </w:lvl>
  </w:abstractNum>
  <w:abstractNum w:abstractNumId="60">
    <w:nsid w:val="CBE5BE9"/>
    <w:multiLevelType w:val="hybridMultilevel"/>
    <w:lvl w:ilvl="0">
      <w:lvlJc w:val="left"/>
      <w:lvlText w:val="∎"/>
      <w:numFmt w:val="bullet"/>
      <w:start w:val="1"/>
    </w:lvl>
  </w:abstractNum>
  <w:abstractNum w:abstractNumId="61">
    <w:nsid w:val="3102BBE2"/>
    <w:multiLevelType w:val="hybridMultilevel"/>
    <w:lvl w:ilvl="0">
      <w:lvlJc w:val="left"/>
      <w:lvlText w:val="∎"/>
      <w:numFmt w:val="bullet"/>
      <w:start w:val="1"/>
    </w:lvl>
  </w:abstractNum>
  <w:abstractNum w:abstractNumId="62">
    <w:nsid w:val="26A02C5E"/>
    <w:multiLevelType w:val="hybridMultilevel"/>
    <w:lvl w:ilvl="0">
      <w:lvlJc w:val="left"/>
      <w:lvlText w:val="∎"/>
      <w:numFmt w:val="bullet"/>
      <w:start w:val="1"/>
    </w:lvl>
  </w:abstractNum>
  <w:abstractNum w:abstractNumId="63">
    <w:nsid w:val="541C8153"/>
    <w:multiLevelType w:val="hybridMultilevel"/>
    <w:lvl w:ilvl="0">
      <w:lvlJc w:val="left"/>
      <w:lvlText w:val="∎"/>
      <w:numFmt w:val="bullet"/>
      <w:start w:val="1"/>
    </w:lvl>
    <w:lvl w:ilvl="1">
      <w:lvlJc w:val="left"/>
      <w:lvlText w:val="∎"/>
      <w:numFmt w:val="bullet"/>
      <w:start w:val="1"/>
    </w:lvl>
  </w:abstractNum>
  <w:abstractNum w:abstractNumId="64">
    <w:nsid w:val="67906F60"/>
    <w:multiLevelType w:val="hybridMultilevel"/>
    <w:lvl w:ilvl="0">
      <w:lvlJc w:val="left"/>
      <w:lvlText w:val="∎"/>
      <w:numFmt w:val="bullet"/>
      <w:start w:val="1"/>
    </w:lvl>
  </w:abstractNum>
  <w:abstractNum w:abstractNumId="65">
    <w:nsid w:val="10DB9DAA"/>
    <w:multiLevelType w:val="hybridMultilevel"/>
    <w:lvl w:ilvl="0">
      <w:lvlJc w:val="left"/>
      <w:lvlText w:val="***"/>
      <w:numFmt w:val="bullet"/>
      <w:start w:val="1"/>
    </w:lvl>
  </w:abstractNum>
  <w:abstractNum w:abstractNumId="66">
    <w:nsid w:val="697D2D2"/>
    <w:multiLevelType w:val="hybridMultilevel"/>
    <w:lvl w:ilvl="0">
      <w:lvlJc w:val="left"/>
      <w:lvlText w:val="****"/>
      <w:numFmt w:val="bullet"/>
      <w:start w:val="1"/>
    </w:lvl>
  </w:abstractNum>
  <w:abstractNum w:abstractNumId="67">
    <w:nsid w:val="6D68AB2"/>
    <w:multiLevelType w:val="hybridMultilevel"/>
    <w:lvl w:ilvl="0">
      <w:lvlJc w:val="left"/>
      <w:lvlText w:val="∎"/>
      <w:numFmt w:val="bullet"/>
      <w:start w:val="1"/>
    </w:lvl>
  </w:abstractNum>
  <w:abstractNum w:abstractNumId="68">
    <w:nsid w:val="3A966CD0"/>
    <w:multiLevelType w:val="hybridMultilevel"/>
    <w:lvl w:ilvl="0">
      <w:lvlJc w:val="left"/>
      <w:lvlText w:val="∎"/>
      <w:numFmt w:val="bullet"/>
      <w:start w:val="1"/>
    </w:lvl>
  </w:abstractNum>
  <w:abstractNum w:abstractNumId="69">
    <w:nsid w:val="63F37E85"/>
    <w:multiLevelType w:val="hybridMultilevel"/>
    <w:lvl w:ilvl="0">
      <w:lvlJc w:val="left"/>
      <w:lvlText w:val="∎"/>
      <w:numFmt w:val="bullet"/>
      <w:start w:val="1"/>
    </w:lvl>
  </w:abstractNum>
  <w:abstractNum w:abstractNumId="70">
    <w:nsid w:val="5895F5FA"/>
    <w:multiLevelType w:val="hybridMultilevel"/>
    <w:lvl w:ilvl="0">
      <w:lvlJc w:val="left"/>
      <w:lvlText w:val="∎"/>
      <w:numFmt w:val="bullet"/>
      <w:start w:val="1"/>
    </w:lvl>
  </w:abstractNum>
  <w:abstractNum w:abstractNumId="71">
    <w:nsid w:val="38A5D054"/>
    <w:multiLevelType w:val="hybridMultilevel"/>
    <w:lvl w:ilvl="0">
      <w:lvlJc w:val="left"/>
      <w:lvlText w:val="∎"/>
      <w:numFmt w:val="bullet"/>
      <w:start w:val="1"/>
    </w:lvl>
  </w:abstractNum>
  <w:abstractNum w:abstractNumId="72">
    <w:nsid w:val="F3F09D8"/>
    <w:multiLevelType w:val="hybridMultilevel"/>
    <w:lvl w:ilvl="0">
      <w:lvlJc w:val="left"/>
      <w:lvlText w:val="∎"/>
      <w:numFmt w:val="bullet"/>
      <w:start w:val="1"/>
    </w:lvl>
  </w:abstractNum>
  <w:abstractNum w:abstractNumId="73">
    <w:nsid w:val="4B793735"/>
    <w:multiLevelType w:val="hybridMultilevel"/>
    <w:lvl w:ilvl="0">
      <w:lvlJc w:val="left"/>
      <w:lvlText w:val="(%1)"/>
      <w:numFmt w:val="decimal"/>
      <w:start w:val="1"/>
    </w:lvl>
  </w:abstractNum>
  <w:abstractNum w:abstractNumId="74">
    <w:nsid w:val="4A10B4E8"/>
    <w:multiLevelType w:val="hybridMultilevel"/>
    <w:lvl w:ilvl="0">
      <w:lvlJc w:val="left"/>
      <w:lvlText w:val="(%1)"/>
      <w:numFmt w:val="decimal"/>
      <w:start w:val="1"/>
    </w:lvl>
  </w:abstractNum>
  <w:abstractNum w:abstractNumId="75">
    <w:nsid w:val="43D3BCD4"/>
    <w:multiLevelType w:val="hybridMultilevel"/>
    <w:lvl w:ilvl="0">
      <w:lvlJc w:val="left"/>
      <w:lvlText w:val="∎"/>
      <w:numFmt w:val="bullet"/>
      <w:start w:val="1"/>
    </w:lvl>
  </w:abstractNum>
  <w:abstractNum w:abstractNumId="76">
    <w:nsid w:val="4C2A7166"/>
    <w:multiLevelType w:val="hybridMultilevel"/>
    <w:lvl w:ilvl="0">
      <w:lvlJc w:val="left"/>
      <w:lvlText w:val="∎"/>
      <w:numFmt w:val="bullet"/>
      <w:start w:val="1"/>
    </w:lvl>
  </w:abstractNum>
  <w:abstractNum w:abstractNumId="77">
    <w:nsid w:val="2E534A82"/>
    <w:multiLevelType w:val="hybridMultilevel"/>
    <w:lvl w:ilvl="0">
      <w:lvlJc w:val="left"/>
      <w:lvlText w:val="∎"/>
      <w:numFmt w:val="bullet"/>
      <w:start w:val="1"/>
    </w:lvl>
  </w:abstractNum>
  <w:abstractNum w:abstractNumId="78">
    <w:nsid w:val="26F2D364"/>
    <w:multiLevelType w:val="hybridMultilevel"/>
    <w:lvl w:ilvl="0">
      <w:lvlJc w:val="left"/>
      <w:lvlText w:val="∎"/>
      <w:numFmt w:val="bullet"/>
      <w:start w:val="1"/>
    </w:lvl>
  </w:abstractNum>
  <w:abstractNum w:abstractNumId="79">
    <w:nsid w:val="71C1AF98"/>
    <w:multiLevelType w:val="hybridMultilevel"/>
    <w:lvl w:ilvl="0">
      <w:lvlJc w:val="left"/>
      <w:lvlText w:val="∎"/>
      <w:numFmt w:val="bullet"/>
      <w:start w:val="1"/>
    </w:lvl>
  </w:abstractNum>
  <w:abstractNum w:abstractNumId="80">
    <w:nsid w:val="3D00B9D9"/>
    <w:multiLevelType w:val="hybridMultilevel"/>
    <w:lvl w:ilvl="0">
      <w:lvlJc w:val="left"/>
      <w:lvlText w:val="(%1)"/>
      <w:numFmt w:val="decimal"/>
      <w:start w:val="1"/>
    </w:lvl>
  </w:abstractNum>
  <w:abstractNum w:abstractNumId="81">
    <w:nsid w:val="15BCABA8"/>
    <w:multiLevelType w:val="hybridMultilevel"/>
    <w:lvl w:ilvl="0">
      <w:lvlJc w:val="left"/>
      <w:lvlText w:val="(%1)"/>
      <w:numFmt w:val="decimal"/>
      <w:start w:val="1"/>
    </w:lvl>
  </w:abstractNum>
  <w:abstractNum w:abstractNumId="82">
    <w:nsid w:val="4E0B9A87"/>
    <w:multiLevelType w:val="hybridMultilevel"/>
    <w:lvl w:ilvl="0">
      <w:lvlJc w:val="left"/>
      <w:lvlText w:val="(%1)"/>
      <w:numFmt w:val="decimal"/>
      <w:start w:val="2"/>
    </w:lvl>
  </w:abstractNum>
  <w:abstractNum w:abstractNumId="83">
    <w:nsid w:val="434BAE75"/>
    <w:multiLevelType w:val="hybridMultilevel"/>
    <w:lvl w:ilvl="0">
      <w:lvlJc w:val="left"/>
      <w:lvlText w:val="∎"/>
      <w:numFmt w:val="bullet"/>
      <w:start w:val="1"/>
    </w:lvl>
  </w:abstractNum>
  <w:abstractNum w:abstractNumId="84">
    <w:nsid w:val="4F38F265"/>
    <w:multiLevelType w:val="hybridMultilevel"/>
    <w:lvl w:ilvl="0">
      <w:lvlJc w:val="left"/>
      <w:lvlText w:val="∎"/>
      <w:numFmt w:val="bullet"/>
      <w:start w:val="1"/>
    </w:lvl>
  </w:abstractNum>
  <w:abstractNum w:abstractNumId="85">
    <w:nsid w:val="4C502870"/>
    <w:multiLevelType w:val="hybridMultilevel"/>
    <w:lvl w:ilvl="0">
      <w:lvlJc w:val="left"/>
      <w:lvlText w:val="(%1)"/>
      <w:numFmt w:val="decimal"/>
      <w:start w:val="1"/>
    </w:lvl>
  </w:abstractNum>
  <w:abstractNum w:abstractNumId="86">
    <w:nsid w:val="1DE8725A"/>
    <w:multiLevelType w:val="hybridMultilevel"/>
    <w:lvl w:ilvl="0">
      <w:lvlJc w:val="left"/>
      <w:lvlText w:val="(%1)"/>
      <w:numFmt w:val="decimal"/>
      <w:start w:val="3"/>
    </w:lvl>
  </w:abstractNum>
  <w:abstractNum w:abstractNumId="87">
    <w:nsid w:val="6A37288A"/>
    <w:multiLevelType w:val="hybridMultilevel"/>
    <w:lvl w:ilvl="0">
      <w:lvlJc w:val="left"/>
      <w:lvlText w:val="(%1)"/>
      <w:numFmt w:val="decimal"/>
      <w:start w:val="1"/>
    </w:lvl>
  </w:abstractNum>
  <w:abstractNum w:abstractNumId="88">
    <w:nsid w:val="8F8B73F"/>
    <w:multiLevelType w:val="hybridMultilevel"/>
    <w:lvl w:ilvl="0">
      <w:lvlJc w:val="left"/>
      <w:lvlText w:val="(%1)"/>
      <w:numFmt w:val="decimal"/>
      <w:start w:val="1"/>
    </w:lvl>
  </w:abstractNum>
  <w:abstractNum w:abstractNumId="89">
    <w:nsid w:val="CA6B462"/>
    <w:multiLevelType w:val="hybridMultilevel"/>
    <w:lvl w:ilvl="0">
      <w:lvlJc w:val="left"/>
      <w:lvlText w:val="(%1)"/>
      <w:numFmt w:val="decimal"/>
      <w:start w:val="1"/>
    </w:lvl>
  </w:abstractNum>
  <w:abstractNum w:abstractNumId="90">
    <w:nsid w:val="763CB680"/>
    <w:multiLevelType w:val="hybridMultilevel"/>
    <w:lvl w:ilvl="0">
      <w:lvlJc w:val="left"/>
      <w:lvlText w:val="(%1)"/>
      <w:numFmt w:val="decimal"/>
      <w:start w:val="1"/>
    </w:lvl>
  </w:abstractNum>
  <w:abstractNum w:abstractNumId="91">
    <w:nsid w:val="15B71329"/>
    <w:multiLevelType w:val="hybridMultilevel"/>
    <w:lvl w:ilvl="0">
      <w:lvlJc w:val="left"/>
      <w:lvlText w:val="(%1)"/>
      <w:numFmt w:val="decimal"/>
      <w:start w:val="1"/>
    </w:lvl>
  </w:abstractNum>
  <w:abstractNum w:abstractNumId="92">
    <w:nsid w:val="3DA97044"/>
    <w:multiLevelType w:val="hybridMultilevel"/>
    <w:lvl w:ilvl="0">
      <w:lvlJc w:val="left"/>
      <w:lvlText w:val="∎"/>
      <w:numFmt w:val="bullet"/>
      <w:start w:val="1"/>
    </w:lvl>
  </w:abstractNum>
  <w:abstractNum w:abstractNumId="93">
    <w:nsid w:val="1CDCE2DE"/>
    <w:multiLevelType w:val="hybridMultilevel"/>
    <w:lvl w:ilvl="0">
      <w:lvlJc w:val="left"/>
      <w:lvlText w:val="(%1)"/>
      <w:numFmt w:val="decimal"/>
      <w:start w:val="1"/>
    </w:lvl>
  </w:abstractNum>
  <w:abstractNum w:abstractNumId="94">
    <w:nsid w:val="69D3947C"/>
    <w:multiLevelType w:val="hybridMultilevel"/>
    <w:lvl w:ilvl="0">
      <w:lvlJc w:val="left"/>
      <w:lvlText w:val="(%1)"/>
      <w:numFmt w:val="lowerRoman"/>
      <w:start w:val="2"/>
    </w:lvl>
  </w:abstractNum>
  <w:abstractNum w:abstractNumId="95">
    <w:nsid w:val="2539DFA5"/>
    <w:multiLevelType w:val="hybridMultilevel"/>
    <w:lvl w:ilvl="0">
      <w:lvlJc w:val="left"/>
      <w:lvlText w:val="∎"/>
      <w:numFmt w:val="bullet"/>
      <w:start w:val="1"/>
    </w:lvl>
  </w:abstractNum>
  <w:abstractNum w:abstractNumId="96">
    <w:nsid w:val="2DB88089"/>
    <w:multiLevelType w:val="hybridMultilevel"/>
    <w:lvl w:ilvl="0">
      <w:lvlJc w:val="left"/>
      <w:lvlText w:val="∎"/>
      <w:numFmt w:val="bullet"/>
      <w:start w:val="1"/>
    </w:lvl>
  </w:abstractNum>
  <w:abstractNum w:abstractNumId="97">
    <w:nsid w:val="706B674E"/>
    <w:multiLevelType w:val="hybridMultilevel"/>
    <w:lvl w:ilvl="0">
      <w:lvlJc w:val="left"/>
      <w:lvlText w:val="∎"/>
      <w:numFmt w:val="bullet"/>
      <w:start w:val="1"/>
    </w:lvl>
  </w:abstractNum>
  <w:abstractNum w:abstractNumId="98">
    <w:nsid w:val="2C106A57"/>
    <w:multiLevelType w:val="hybridMultilevel"/>
    <w:lvl w:ilvl="0">
      <w:lvlJc w:val="left"/>
      <w:lvlText w:val="∎"/>
      <w:numFmt w:val="bullet"/>
      <w:start w:val="1"/>
    </w:lvl>
  </w:abstractNum>
  <w:abstractNum w:abstractNumId="99">
    <w:nsid w:val="684EED59"/>
    <w:multiLevelType w:val="hybridMultilevel"/>
    <w:lvl w:ilvl="0">
      <w:lvlJc w:val="left"/>
      <w:lvlText w:val="∎"/>
      <w:numFmt w:val="bullet"/>
      <w:start w:val="1"/>
    </w:lvl>
  </w:abstractNum>
  <w:abstractNum w:abstractNumId="100">
    <w:nsid w:val="545EE5D3"/>
    <w:multiLevelType w:val="hybridMultilevel"/>
    <w:lvl w:ilvl="0">
      <w:lvlJc w:val="left"/>
      <w:lvlText w:val="∎"/>
      <w:numFmt w:val="bullet"/>
      <w:start w:val="1"/>
    </w:lvl>
  </w:abstractNum>
  <w:abstractNum w:abstractNumId="101">
    <w:nsid w:val="4A66051"/>
    <w:multiLevelType w:val="hybridMultilevel"/>
    <w:lvl w:ilvl="0">
      <w:lvlJc w:val="left"/>
      <w:lvlText w:val="$"/>
      <w:numFmt w:val="bullet"/>
      <w:start w:val="1"/>
    </w:lvl>
  </w:abstractNum>
  <w:abstractNum w:abstractNumId="102">
    <w:nsid w:val="20F4BDAD"/>
    <w:multiLevelType w:val="hybridMultilevel"/>
    <w:lvl w:ilvl="0">
      <w:lvlJc w:val="left"/>
      <w:lvlText w:val="∎"/>
      <w:numFmt w:val="bullet"/>
      <w:start w:val="1"/>
    </w:lvl>
  </w:abstractNum>
  <w:abstractNum w:abstractNumId="103">
    <w:nsid w:val="639DEFAC"/>
    <w:multiLevelType w:val="hybridMultilevel"/>
    <w:lvl w:ilvl="0">
      <w:lvlJc w:val="left"/>
      <w:lvlText w:val="∎"/>
      <w:numFmt w:val="bullet"/>
      <w:start w:val="1"/>
    </w:lvl>
  </w:abstractNum>
  <w:abstractNum w:abstractNumId="104">
    <w:nsid w:val="501F9786"/>
    <w:multiLevelType w:val="hybridMultilevel"/>
    <w:lvl w:ilvl="0">
      <w:lvlJc w:val="left"/>
      <w:lvlText w:val="∎"/>
      <w:numFmt w:val="bullet"/>
      <w:start w:val="1"/>
    </w:lvl>
  </w:abstractNum>
  <w:abstractNum w:abstractNumId="105">
    <w:nsid w:val="6B057295"/>
    <w:multiLevelType w:val="hybridMultilevel"/>
    <w:lvl w:ilvl="0">
      <w:lvlJc w:val="left"/>
      <w:lvlText w:val="(%1)"/>
      <w:numFmt w:val="upperLetter"/>
      <w:start w:val="1"/>
    </w:lvl>
  </w:abstractNum>
  <w:abstractNum w:abstractNumId="106">
    <w:nsid w:val="2771AC80"/>
    <w:multiLevelType w:val="hybridMultilevel"/>
    <w:lvl w:ilvl="0">
      <w:lvlJc w:val="left"/>
      <w:lvlText w:val="(%1)"/>
      <w:numFmt w:val="upperLetter"/>
      <w:start w:val="2"/>
    </w:lvl>
  </w:abstractNum>
  <w:abstractNum w:abstractNumId="107">
    <w:nsid w:val="1C4A08EC"/>
    <w:multiLevelType w:val="hybridMultilevel"/>
    <w:lvl w:ilvl="0">
      <w:lvlJc w:val="left"/>
      <w:lvlText w:val="(%1)"/>
      <w:numFmt w:val="upperLetter"/>
      <w:start w:val="2"/>
    </w:lvl>
    <w:lvl w:ilvl="1">
      <w:lvlJc w:val="left"/>
      <w:lvlText w:val="∎"/>
      <w:numFmt w:val="bullet"/>
      <w:start w:val="1"/>
    </w:lvl>
  </w:abstractNum>
  <w:abstractNum w:abstractNumId="108">
    <w:nsid w:val="1958BD17"/>
    <w:multiLevelType w:val="hybridMultilevel"/>
    <w:lvl w:ilvl="0">
      <w:lvlJc w:val="left"/>
      <w:lvlText w:val="(%1)"/>
      <w:numFmt w:val="upperLetter"/>
      <w:start w:val="4"/>
    </w:lvl>
  </w:abstractNum>
  <w:abstractNum w:abstractNumId="109">
    <w:nsid w:val="4E647FE4"/>
    <w:multiLevelType w:val="hybridMultilevel"/>
    <w:lvl w:ilvl="0">
      <w:lvlJc w:val="left"/>
      <w:lvlText w:val="(%1)"/>
      <w:numFmt w:val="upperLetter"/>
      <w:start w:val="5"/>
    </w:lvl>
  </w:abstractNum>
  <w:abstractNum w:abstractNumId="110">
    <w:nsid w:val="E0BB885"/>
    <w:multiLevelType w:val="hybridMultilevel"/>
    <w:lvl w:ilvl="0">
      <w:lvlJc w:val="left"/>
      <w:lvlText w:val="(%1)"/>
      <w:numFmt w:val="upperLetter"/>
      <w:start w:val="6"/>
    </w:lvl>
  </w:abstractNum>
  <w:abstractNum w:abstractNumId="111">
    <w:nsid w:val="565976F1"/>
    <w:multiLevelType w:val="hybridMultilevel"/>
    <w:lvl w:ilvl="0">
      <w:lvlJc w:val="left"/>
      <w:lvlText w:val="∎"/>
      <w:numFmt w:val="bullet"/>
      <w:start w:val="1"/>
    </w:lvl>
  </w:abstractNum>
  <w:abstractNum w:abstractNumId="112">
    <w:nsid w:val="64212B8C"/>
    <w:multiLevelType w:val="hybridMultilevel"/>
    <w:lvl w:ilvl="0">
      <w:lvlJc w:val="left"/>
      <w:lvlText w:val="∎"/>
      <w:numFmt w:val="bullet"/>
      <w:start w:val="1"/>
    </w:lvl>
  </w:abstractNum>
  <w:abstractNum w:abstractNumId="113">
    <w:nsid w:val="5C17530C"/>
    <w:multiLevelType w:val="hybridMultilevel"/>
    <w:lvl w:ilvl="0">
      <w:lvlJc w:val="left"/>
      <w:lvlText w:val="∎"/>
      <w:numFmt w:val="bullet"/>
      <w:start w:val="1"/>
    </w:lvl>
  </w:abstractNum>
  <w:abstractNum w:abstractNumId="114">
    <w:nsid w:val="19A52566"/>
    <w:multiLevelType w:val="hybridMultilevel"/>
    <w:lvl w:ilvl="0">
      <w:lvlJc w:val="left"/>
      <w:lvlText w:val="%1."/>
      <w:numFmt w:val="decimal"/>
      <w:start w:val="2"/>
    </w:lvl>
  </w:abstractNum>
  <w:abstractNum w:abstractNumId="115">
    <w:nsid w:val="335A1DF1"/>
    <w:multiLevelType w:val="hybridMultilevel"/>
    <w:lvl w:ilvl="0">
      <w:lvlJc w:val="left"/>
      <w:lvlText w:val="(%1)"/>
      <w:numFmt w:val="decimal"/>
      <w:start w:val="1"/>
    </w:lvl>
  </w:abstractNum>
  <w:abstractNum w:abstractNumId="116">
    <w:nsid w:val="28677B7C"/>
    <w:multiLevelType w:val="hybridMultilevel"/>
    <w:lvl w:ilvl="0">
      <w:lvlJc w:val="left"/>
      <w:lvlText w:val="(%1)"/>
      <w:numFmt w:val="decimal"/>
      <w:start w:val="2"/>
    </w:lvl>
  </w:abstractNum>
  <w:abstractNum w:abstractNumId="117">
    <w:nsid w:val="378D97C0"/>
    <w:multiLevelType w:val="hybridMultilevel"/>
    <w:lvl w:ilvl="0">
      <w:lvlJc w:val="left"/>
      <w:lvlText w:val="(%1)"/>
      <w:numFmt w:val="decimal"/>
      <w:start w:val="3"/>
    </w:lvl>
  </w:abstractNum>
  <w:abstractNum w:abstractNumId="118">
    <w:nsid w:val="1D91467C"/>
    <w:multiLevelType w:val="hybridMultilevel"/>
    <w:lvl w:ilvl="0">
      <w:lvlJc w:val="left"/>
      <w:lvlText w:val="(%1)"/>
      <w:numFmt w:val="decimal"/>
      <w:start w:val="4"/>
    </w:lvl>
  </w:abstractNum>
  <w:abstractNum w:abstractNumId="119">
    <w:nsid w:val="316032BB"/>
    <w:multiLevelType w:val="hybridMultilevel"/>
    <w:lvl w:ilvl="0">
      <w:lvlJc w:val="left"/>
      <w:lvlText w:val="(%1)"/>
      <w:numFmt w:val="decimal"/>
      <w:start w:val="5"/>
    </w:lvl>
  </w:abstractNum>
  <w:abstractNum w:abstractNumId="120">
    <w:nsid w:val="44344C22"/>
    <w:multiLevelType w:val="hybridMultilevel"/>
    <w:lvl w:ilvl="0">
      <w:lvlJc w:val="left"/>
      <w:lvlText w:val="(%1)"/>
      <w:numFmt w:val="decimal"/>
      <w:start w:val="1"/>
    </w:lvl>
  </w:abstractNum>
  <w:abstractNum w:abstractNumId="121">
    <w:nsid w:val="13CDFCFC"/>
    <w:multiLevelType w:val="hybridMultilevel"/>
    <w:lvl w:ilvl="0">
      <w:lvlJc w:val="left"/>
      <w:lvlText w:val="(%1)"/>
      <w:numFmt w:val="decimal"/>
      <w:start w:val="6"/>
    </w:lvl>
  </w:abstractNum>
  <w:abstractNum w:abstractNumId="122">
    <w:nsid w:val="471745E4"/>
    <w:multiLevelType w:val="hybridMultilevel"/>
    <w:lvl w:ilvl="0">
      <w:lvlJc w:val="left"/>
      <w:lvlText w:val="(%1)"/>
      <w:numFmt w:val="decimal"/>
      <w:start w:val="7"/>
    </w:lvl>
  </w:abstractNum>
  <w:abstractNum w:abstractNumId="123">
    <w:nsid w:val="1DDBC66"/>
    <w:multiLevelType w:val="hybridMultilevel"/>
    <w:lvl w:ilvl="0">
      <w:lvlJc w:val="left"/>
      <w:lvlText w:val="(%1)"/>
      <w:numFmt w:val="decimal"/>
      <w:start w:val="8"/>
    </w:lvl>
  </w:abstractNum>
  <w:abstractNum w:abstractNumId="124">
    <w:nsid w:val="30AADFDA"/>
    <w:multiLevelType w:val="hybridMultilevel"/>
    <w:lvl w:ilvl="0">
      <w:lvlJc w:val="left"/>
      <w:lvlText w:val="(%1)"/>
      <w:numFmt w:val="decimal"/>
      <w:start w:val="1"/>
    </w:lvl>
  </w:abstractNum>
  <w:abstractNum w:abstractNumId="125">
    <w:nsid w:val="30EADA61"/>
    <w:multiLevelType w:val="hybridMultilevel"/>
    <w:lvl w:ilvl="0">
      <w:lvlJc w:val="left"/>
      <w:lvlText w:val="(%1)"/>
      <w:numFmt w:val="decimal"/>
      <w:start w:val="9"/>
    </w:lvl>
  </w:abstractNum>
  <w:abstractNum w:abstractNumId="126">
    <w:nsid w:val="27179C0B"/>
    <w:multiLevelType w:val="hybridMultilevel"/>
    <w:lvl w:ilvl="0">
      <w:lvlJc w:val="left"/>
      <w:lvlText w:val="(%1)"/>
      <w:numFmt w:val="decimal"/>
      <w:start w:val="10"/>
    </w:lvl>
  </w:abstractNum>
  <w:abstractNum w:abstractNumId="127">
    <w:nsid w:val="5E636063"/>
    <w:multiLevelType w:val="hybridMultilevel"/>
    <w:lvl w:ilvl="0">
      <w:lvlJc w:val="left"/>
      <w:lvlText w:val="(%1)"/>
      <w:numFmt w:val="decimal"/>
      <w:start w:val="12"/>
    </w:lvl>
  </w:abstractNum>
  <w:abstractNum w:abstractNumId="128">
    <w:nsid w:val="215641AF"/>
    <w:multiLevelType w:val="hybridMultilevel"/>
    <w:lvl w:ilvl="0">
      <w:lvlJc w:val="left"/>
      <w:lvlText w:val="$"/>
      <w:numFmt w:val="bullet"/>
      <w:start w:val="1"/>
    </w:lvl>
  </w:abstractNum>
  <w:abstractNum w:abstractNumId="129">
    <w:nsid w:val="53280662"/>
    <w:multiLevelType w:val="hybridMultilevel"/>
    <w:lvl w:ilvl="0">
      <w:lvlJc w:val="left"/>
      <w:lvlText w:val="$"/>
      <w:numFmt w:val="bullet"/>
      <w:start w:val="1"/>
    </w:lvl>
  </w:abstractNum>
  <w:abstractNum w:abstractNumId="130">
    <w:nsid w:val="46B24DBC"/>
    <w:multiLevelType w:val="hybridMultilevel"/>
    <w:lvl w:ilvl="0">
      <w:lvlJc w:val="left"/>
      <w:lvlText w:val="(%1)"/>
      <w:numFmt w:val="decimal"/>
      <w:start w:val="13"/>
    </w:lvl>
  </w:abstractNum>
  <w:abstractNum w:abstractNumId="131">
    <w:nsid w:val="75B52783"/>
    <w:multiLevelType w:val="hybridMultilevel"/>
    <w:lvl w:ilvl="0">
      <w:lvlJc w:val="left"/>
      <w:lvlText w:val="(%1)"/>
      <w:numFmt w:val="decimal"/>
      <w:start w:val="3"/>
    </w:lvl>
  </w:abstractNum>
  <w:abstractNum w:abstractNumId="132">
    <w:nsid w:val="57CE66B4"/>
    <w:multiLevelType w:val="hybridMultilevel"/>
    <w:lvl w:ilvl="0">
      <w:lvlJc w:val="left"/>
      <w:lvlText w:val="(%1)"/>
      <w:numFmt w:val="decimal"/>
      <w:start w:val="5"/>
    </w:lvl>
  </w:abstractNum>
  <w:abstractNum w:abstractNumId="133">
    <w:nsid w:val="67A70B69"/>
    <w:multiLevelType w:val="hybridMultilevel"/>
    <w:lvl w:ilvl="0">
      <w:lvlJc w:val="left"/>
      <w:lvlText w:val="$"/>
      <w:numFmt w:val="bullet"/>
      <w:start w:val="1"/>
    </w:lvl>
  </w:abstractNum>
  <w:abstractNum w:abstractNumId="134">
    <w:nsid w:val="5953172F"/>
    <w:multiLevelType w:val="hybridMultilevel"/>
    <w:lvl w:ilvl="0">
      <w:lvlJc w:val="left"/>
      <w:lvlText w:val="$"/>
      <w:numFmt w:val="bullet"/>
      <w:start w:val="1"/>
    </w:lvl>
  </w:abstractNum>
  <w:abstractNum w:abstractNumId="135">
    <w:nsid w:val="27EDFE3A"/>
    <w:multiLevelType w:val="hybridMultilevel"/>
    <w:lvl w:ilvl="0">
      <w:lvlJc w:val="left"/>
      <w:lvlText w:val="$"/>
      <w:numFmt w:val="bullet"/>
      <w:start w:val="1"/>
    </w:lvl>
  </w:abstractNum>
  <w:abstractNum w:abstractNumId="136">
    <w:nsid w:val="52AC7DFF"/>
    <w:multiLevelType w:val="hybridMultilevel"/>
    <w:lvl w:ilvl="0">
      <w:lvlJc w:val="left"/>
      <w:lvlText w:val="(%1)"/>
      <w:numFmt w:val="decimal"/>
      <w:start w:val="1"/>
    </w:lvl>
  </w:abstractNum>
  <w:abstractNum w:abstractNumId="137">
    <w:nsid w:val="C4C3AF"/>
    <w:multiLevelType w:val="hybridMultilevel"/>
    <w:lvl w:ilvl="0">
      <w:lvlJc w:val="left"/>
      <w:lvlText w:val="(%1)"/>
      <w:numFmt w:val="decimal"/>
      <w:start w:val="6"/>
    </w:lvl>
  </w:abstractNum>
  <w:abstractNum w:abstractNumId="138">
    <w:nsid w:val="44380727"/>
    <w:multiLevelType w:val="hybridMultilevel"/>
    <w:lvl w:ilvl="0">
      <w:lvlJc w:val="left"/>
      <w:lvlText w:val="(%1)"/>
      <w:numFmt w:val="decimal"/>
      <w:start w:val="1"/>
    </w:lvl>
  </w:abstractNum>
  <w:abstractNum w:abstractNumId="139">
    <w:nsid w:val="6C053B16"/>
    <w:multiLevelType w:val="hybridMultilevel"/>
    <w:lvl w:ilvl="0">
      <w:lvlJc w:val="left"/>
      <w:lvlText w:val="(%1)"/>
      <w:numFmt w:val="decimal"/>
      <w:start w:val="1"/>
    </w:lvl>
  </w:abstractNum>
  <w:abstractNum w:abstractNumId="140">
    <w:nsid w:val="4F294393"/>
    <w:multiLevelType w:val="hybridMultilevel"/>
    <w:lvl w:ilvl="0">
      <w:lvlJc w:val="left"/>
      <w:lvlText w:val="*"/>
      <w:numFmt w:val="bullet"/>
      <w:start w:val="1"/>
    </w:lvl>
  </w:abstractNum>
  <w:abstractNum w:abstractNumId="141">
    <w:nsid w:val="5243BFAC"/>
    <w:multiLevelType w:val="hybridMultilevel"/>
    <w:lvl w:ilvl="0">
      <w:lvlJc w:val="left"/>
      <w:lvlText w:val="%1."/>
      <w:numFmt w:val="upperLetter"/>
      <w:start w:val="1"/>
    </w:lvl>
    <w:lvl w:ilvl="1">
      <w:lvlJc w:val="left"/>
      <w:lvlText w:val="(%2)"/>
      <w:numFmt w:val="decimal"/>
      <w:start w:val="1"/>
    </w:lvl>
  </w:abstractNum>
  <w:abstractNum w:abstractNumId="142">
    <w:nsid w:val="425EB207"/>
    <w:multiLevelType w:val="hybridMultilevel"/>
    <w:lvl w:ilvl="0">
      <w:lvlJc w:val="left"/>
      <w:lvlText w:val="(%1)"/>
      <w:numFmt w:val="lowerLetter"/>
      <w:start w:val="1"/>
    </w:lvl>
  </w:abstractNum>
  <w:abstractNum w:abstractNumId="143">
    <w:nsid w:val="334A6F1F"/>
    <w:multiLevelType w:val="hybridMultilevel"/>
    <w:lvl w:ilvl="0">
      <w:lvlJc w:val="left"/>
      <w:lvlText w:val="%1"/>
      <w:numFmt w:val="lowerLetter"/>
      <w:start w:val="1"/>
    </w:lvl>
    <w:lvl w:ilvl="1">
      <w:lvlJc w:val="left"/>
      <w:lvlText w:val="(%2)"/>
      <w:numFmt w:val="lowerLetter"/>
      <w:start w:val="1"/>
    </w:lvl>
  </w:abstractNum>
  <w:abstractNum w:abstractNumId="144">
    <w:nsid w:val="2E5B12B8"/>
    <w:multiLevelType w:val="hybridMultilevel"/>
    <w:lvl w:ilvl="0">
      <w:lvlJc w:val="left"/>
      <w:lvlText w:val="(%1)"/>
      <w:numFmt w:val="lowerLetter"/>
      <w:start w:val="9"/>
    </w:lvl>
    <w:lvl w:ilvl="1">
      <w:lvlJc w:val="left"/>
      <w:lvlText w:val="%2"/>
      <w:numFmt w:val="lowerLetter"/>
      <w:start w:val="1"/>
    </w:lvl>
  </w:abstractNum>
  <w:abstractNum w:abstractNumId="145">
    <w:nsid w:val="5C03D76D"/>
    <w:multiLevelType w:val="hybridMultilevel"/>
    <w:lvl w:ilvl="0">
      <w:lvlJc w:val="left"/>
      <w:lvlText w:val="(%1)"/>
      <w:numFmt w:val="lowerLetter"/>
      <w:start w:val="2"/>
    </w:lvl>
  </w:abstractNum>
  <w:abstractNum w:abstractNumId="146">
    <w:nsid w:val="66A48D11"/>
    <w:multiLevelType w:val="hybridMultilevel"/>
    <w:lvl w:ilvl="0">
      <w:lvlJc w:val="left"/>
      <w:lvlText w:val="(%1)"/>
      <w:numFmt w:val="lowerLetter"/>
      <w:start w:val="1"/>
    </w:lvl>
  </w:abstractNum>
  <w:abstractNum w:abstractNumId="147">
    <w:nsid w:val="56C28E34"/>
    <w:multiLevelType w:val="hybridMultilevel"/>
    <w:lvl w:ilvl="0">
      <w:lvlJc w:val="left"/>
      <w:lvlText w:val="(%1)"/>
      <w:numFmt w:val="lowerLetter"/>
      <w:start w:val="1"/>
    </w:lvl>
  </w:abstractNum>
  <w:abstractNum w:abstractNumId="148">
    <w:nsid w:val="13916F2D"/>
    <w:multiLevelType w:val="hybridMultilevel"/>
    <w:lvl w:ilvl="0">
      <w:lvlJc w:val="left"/>
      <w:lvlText w:val="(%1)"/>
      <w:numFmt w:val="decimal"/>
      <w:start w:val="1"/>
    </w:lvl>
  </w:abstractNum>
  <w:abstractNum w:abstractNumId="149">
    <w:nsid w:val="435D38D"/>
    <w:multiLevelType w:val="hybridMultilevel"/>
    <w:lvl w:ilvl="0">
      <w:lvlJc w:val="left"/>
      <w:lvlText w:val="(%1)"/>
      <w:numFmt w:val="lowerLetter"/>
      <w:start w:val="1"/>
    </w:lvl>
  </w:abstractNum>
  <w:abstractNum w:abstractNumId="150">
    <w:nsid w:val="822C0EF"/>
    <w:multiLevelType w:val="hybridMultilevel"/>
    <w:lvl w:ilvl="0">
      <w:lvlJc w:val="left"/>
      <w:lvlText w:val="(%1)"/>
      <w:numFmt w:val="lowerRoman"/>
      <w:start w:val="3"/>
    </w:lvl>
  </w:abstractNum>
  <w:abstractNum w:abstractNumId="151">
    <w:nsid w:val="57C5BB4F"/>
    <w:multiLevelType w:val="hybridMultilevel"/>
    <w:lvl w:ilvl="0">
      <w:lvlJc w:val="left"/>
      <w:lvlText w:val="["/>
      <w:numFmt w:val="bullet"/>
      <w:start w:val="1"/>
    </w:lvl>
  </w:abstractNum>
  <w:abstractNum w:abstractNumId="152">
    <w:nsid w:val="1803D089"/>
    <w:multiLevelType w:val="hybridMultilevel"/>
    <w:lvl w:ilvl="0">
      <w:lvlJc w:val="left"/>
      <w:lvlText w:val="["/>
      <w:numFmt w:val="bullet"/>
      <w:start w:val="1"/>
    </w:lvl>
  </w:abstractNum>
  <w:abstractNum w:abstractNumId="153">
    <w:nsid w:val="4F3A06D4"/>
    <w:multiLevelType w:val="hybridMultilevel"/>
    <w:lvl w:ilvl="0">
      <w:lvlJc w:val="left"/>
      <w:lvlText w:val="["/>
      <w:numFmt w:val="bullet"/>
      <w:start w:val="1"/>
    </w:lvl>
  </w:abstractNum>
  <w:abstractNum w:abstractNumId="154">
    <w:nsid w:val="59A377B6"/>
    <w:multiLevelType w:val="hybridMultilevel"/>
    <w:lvl w:ilvl="0">
      <w:lvlJc w:val="left"/>
      <w:lvlText w:val="%1."/>
      <w:numFmt w:val="decimal"/>
      <w:start w:val="2"/>
    </w:lvl>
  </w:abstractNum>
  <w:abstractNum w:abstractNumId="155">
    <w:nsid w:val="48AEB063"/>
    <w:multiLevelType w:val="hybridMultilevel"/>
    <w:lvl w:ilvl="0">
      <w:lvlJc w:val="left"/>
      <w:lvlText w:val="%1."/>
      <w:numFmt w:val="decimal"/>
      <w:start w:val="3"/>
    </w:lvl>
  </w:abstractNum>
  <w:abstractNum w:abstractNumId="156">
    <w:nsid w:val="24E135"/>
    <w:multiLevelType w:val="hybridMultilevel"/>
    <w:lvl w:ilvl="0">
      <w:lvlJc w:val="left"/>
      <w:lvlText w:val="%1."/>
      <w:numFmt w:val="decimal"/>
      <w:start w:val="1"/>
    </w:lvl>
  </w:abstractNum>
  <w:abstractNum w:abstractNumId="157">
    <w:nsid w:val="BB13C1"/>
    <w:multiLevelType w:val="hybridMultilevel"/>
    <w:lvl w:ilvl="0">
      <w:lvlJc w:val="left"/>
      <w:lvlText w:val="***"/>
      <w:numFmt w:val="bullet"/>
      <w:start w:val="1"/>
    </w:lvl>
  </w:abstractNum>
  <w:abstractNum w:abstractNumId="158">
    <w:nsid w:val="271210C7"/>
    <w:multiLevelType w:val="hybridMultilevel"/>
    <w:lvl w:ilvl="0">
      <w:lvlJc w:val="left"/>
      <w:lvlText w:val="(%1)"/>
      <w:numFmt w:val="upperLetter"/>
      <w:start w:val="1"/>
    </w:lvl>
  </w:abstractNum>
  <w:abstractNum w:abstractNumId="159">
    <w:nsid w:val="217B22E4"/>
    <w:multiLevelType w:val="hybridMultilevel"/>
    <w:lvl w:ilvl="0">
      <w:lvlJc w:val="left"/>
      <w:lvlText w:val="(%1)"/>
      <w:numFmt w:val="decimal"/>
      <w:start w:val="1"/>
    </w:lvl>
  </w:abstractNum>
  <w:abstractNum w:abstractNumId="160">
    <w:nsid w:val="53E31A24"/>
    <w:multiLevelType w:val="hybridMultilevel"/>
    <w:lvl w:ilvl="0">
      <w:lvlJc w:val="left"/>
      <w:lvlText w:val="***"/>
      <w:numFmt w:val="bullet"/>
      <w:start w:val="1"/>
    </w:lvl>
    <w:lvl w:ilvl="1">
      <w:lvlJc w:val="left"/>
      <w:lvlText w:val="(%2)"/>
      <w:numFmt w:val="lowerRoman"/>
      <w:start w:val="2"/>
    </w:lvl>
  </w:abstractNum>
  <w:abstractNum w:abstractNumId="161">
    <w:nsid w:val="6DC45E83"/>
    <w:multiLevelType w:val="hybridMultilevel"/>
    <w:lvl w:ilvl="0">
      <w:lvlJc w:val="left"/>
      <w:lvlText w:val="(%1)"/>
      <w:numFmt w:val="lowerRoman"/>
      <w:start w:val="2"/>
    </w:lvl>
  </w:abstractNum>
  <w:abstractNum w:abstractNumId="162">
    <w:nsid w:val="17304A67"/>
    <w:multiLevelType w:val="hybridMultilevel"/>
    <w:lvl w:ilvl="0">
      <w:lvlJc w:val="left"/>
      <w:lvlText w:val="(%1)"/>
      <w:numFmt w:val="decimal"/>
      <w:start w:val="4"/>
    </w:lvl>
  </w:abstractNum>
  <w:abstractNum w:abstractNumId="163">
    <w:nsid w:val="2BB180D8"/>
    <w:multiLevelType w:val="hybridMultilevel"/>
    <w:lvl w:ilvl="0">
      <w:lvlJc w:val="left"/>
      <w:lvlText w:val="***"/>
      <w:numFmt w:val="bullet"/>
      <w:start w:val="1"/>
    </w:lvl>
  </w:abstractNum>
  <w:abstractNum w:abstractNumId="164">
    <w:nsid w:val="556B69ED"/>
    <w:multiLevelType w:val="hybridMultilevel"/>
    <w:lvl w:ilvl="0">
      <w:lvlJc w:val="left"/>
      <w:lvlText w:val="***"/>
      <w:numFmt w:val="bullet"/>
      <w:start w:val="1"/>
    </w:lvl>
  </w:abstractNum>
  <w:abstractNum w:abstractNumId="165">
    <w:nsid w:val="70836196"/>
    <w:multiLevelType w:val="hybridMultilevel"/>
    <w:lvl w:ilvl="0">
      <w:lvlJc w:val="left"/>
      <w:lvlText w:val="%1."/>
      <w:numFmt w:val="decimal"/>
      <w:start w:val="3"/>
    </w:lvl>
  </w:abstractNum>
  <w:abstractNum w:abstractNumId="166">
    <w:nsid w:val="539F7F12"/>
    <w:multiLevelType w:val="hybridMultilevel"/>
    <w:lvl w:ilvl="0">
      <w:lvlJc w:val="left"/>
      <w:lvlText w:val="***"/>
      <w:numFmt w:val="bullet"/>
      <w:start w:val="1"/>
    </w:lvl>
  </w:abstractNum>
  <w:abstractNum w:abstractNumId="167">
    <w:nsid w:val="2817E7EC"/>
    <w:multiLevelType w:val="hybridMultilevel"/>
    <w:lvl w:ilvl="0">
      <w:lvlJc w:val="left"/>
      <w:lvlText w:val="(%1)"/>
      <w:numFmt w:val="upperLetter"/>
      <w:start w:val="2"/>
    </w:lvl>
  </w:abstractNum>
  <w:abstractNum w:abstractNumId="168">
    <w:nsid w:val="71482545"/>
    <w:multiLevelType w:val="hybridMultilevel"/>
    <w:lvl w:ilvl="0">
      <w:lvlJc w:val="left"/>
      <w:lvlText w:val="%1)"/>
      <w:numFmt w:val="upperLetter"/>
      <w:start w:val="9"/>
    </w:lvl>
  </w:abstractNum>
  <w:abstractNum w:abstractNumId="169">
    <w:nsid w:val="17D78639"/>
    <w:multiLevelType w:val="hybridMultilevel"/>
    <w:lvl w:ilvl="0">
      <w:lvlJc w:val="left"/>
      <w:lvlText w:val="%1)"/>
      <w:numFmt w:val="upperLetter"/>
      <w:start w:val="35"/>
    </w:lvl>
  </w:abstractNum>
  <w:abstractNum w:abstractNumId="170">
    <w:nsid w:val="141D2302"/>
    <w:multiLevelType w:val="hybridMultilevel"/>
    <w:lvl w:ilvl="0">
      <w:lvlJc w:val="left"/>
      <w:lvlText w:val="%1"/>
      <w:numFmt w:val="decimal"/>
      <w:start w:val="1"/>
    </w:lvl>
    <w:lvl w:ilvl="1">
      <w:lvlJc w:val="left"/>
      <w:lvlText w:val="(%2)"/>
      <w:numFmt w:val="upperLetter"/>
      <w:start w:val="1"/>
    </w:lvl>
  </w:abstractNum>
  <w:abstractNum w:abstractNumId="171">
    <w:nsid w:val="407168D8"/>
    <w:multiLevelType w:val="hybridMultilevel"/>
    <w:lvl w:ilvl="0">
      <w:lvlJc w:val="left"/>
      <w:lvlText w:val="%1."/>
      <w:numFmt w:val="decimal"/>
      <w:start w:val="4"/>
    </w:lvl>
    <w:lvl w:ilvl="1">
      <w:lvlJc w:val="left"/>
      <w:lvlText w:val="%2"/>
      <w:numFmt w:val="upperLetter"/>
      <w:start w:val="1"/>
    </w:lvl>
  </w:abstractNum>
  <w:abstractNum w:abstractNumId="172">
    <w:nsid w:val="6A1B45E5"/>
    <w:multiLevelType w:val="hybridMultilevel"/>
    <w:lvl w:ilvl="0">
      <w:lvlJc w:val="left"/>
      <w:lvlText w:val="***"/>
      <w:numFmt w:val="bullet"/>
      <w:start w:val="1"/>
    </w:lvl>
  </w:abstractNum>
  <w:abstractNum w:abstractNumId="173">
    <w:nsid w:val="567BD50A"/>
    <w:multiLevelType w:val="hybridMultilevel"/>
    <w:lvl w:ilvl="0">
      <w:lvlJc w:val="left"/>
      <w:lvlText w:val="(%1)"/>
      <w:numFmt w:val="upperLetter"/>
      <w:start w:val="1"/>
    </w:lvl>
  </w:abstractNum>
  <w:abstractNum w:abstractNumId="174">
    <w:nsid w:val="73BBD7F8"/>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175">
    <w:nsid w:val="1876589D"/>
    <w:multiLevelType w:val="hybridMultilevel"/>
    <w:lvl w:ilvl="0">
      <w:lvlJc w:val="left"/>
      <w:lvlText w:val="(%1)"/>
      <w:numFmt w:val="upperLetter"/>
      <w:start w:val="2"/>
    </w:lvl>
  </w:abstractNum>
  <w:abstractNum w:abstractNumId="176">
    <w:nsid w:val="327FAC77"/>
    <w:multiLevelType w:val="hybridMultilevel"/>
    <w:lvl w:ilvl="0">
      <w:lvlJc w:val="left"/>
      <w:lvlText w:val="(%1)"/>
      <w:numFmt w:val="upperLetter"/>
      <w:start w:val="1"/>
    </w:lvl>
  </w:abstractNum>
  <w:abstractNum w:abstractNumId="177">
    <w:nsid w:val="5A606509"/>
    <w:multiLevelType w:val="hybridMultilevel"/>
    <w:lvl w:ilvl="0">
      <w:lvlJc w:val="left"/>
      <w:lvlText w:val="%1"/>
      <w:numFmt w:val="decimal"/>
      <w:start w:val="1"/>
    </w:lvl>
    <w:lvl w:ilvl="1">
      <w:lvlJc w:val="left"/>
      <w:lvlText w:val="(%2)"/>
      <w:numFmt w:val="upperLetter"/>
      <w:start w:val="1"/>
    </w:lvl>
  </w:abstractNum>
  <w:abstractNum w:abstractNumId="178">
    <w:nsid w:val="6F38E6D1"/>
    <w:multiLevelType w:val="hybridMultilevel"/>
    <w:lvl w:ilvl="0">
      <w:lvlJc w:val="left"/>
      <w:lvlText w:val="%1."/>
      <w:numFmt w:val="decimal"/>
      <w:start w:val="5"/>
    </w:lvl>
    <w:lvl w:ilvl="1">
      <w:lvlJc w:val="left"/>
      <w:lvlText w:val="%2"/>
      <w:numFmt w:val="upperLetter"/>
      <w:start w:val="1"/>
    </w:lvl>
  </w:abstractNum>
  <w:abstractNum w:abstractNumId="179">
    <w:nsid w:val="46111BA5"/>
    <w:multiLevelType w:val="hybridMultilevel"/>
    <w:lvl w:ilvl="0">
      <w:lvlJc w:val="left"/>
      <w:lvlText w:val="***"/>
      <w:numFmt w:val="bullet"/>
      <w:start w:val="1"/>
    </w:lvl>
  </w:abstractNum>
  <w:abstractNum w:abstractNumId="180">
    <w:nsid w:val="5E963896"/>
    <w:multiLevelType w:val="hybridMultilevel"/>
    <w:lvl w:ilvl="0">
      <w:lvlJc w:val="left"/>
      <w:lvlText w:val="%1."/>
      <w:numFmt w:val="decimal"/>
      <w:start w:val="7"/>
    </w:lvl>
  </w:abstractNum>
  <w:abstractNum w:abstractNumId="181">
    <w:nsid w:val="775BA7C1"/>
    <w:multiLevelType w:val="hybridMultilevel"/>
    <w:lvl w:ilvl="0">
      <w:lvlJc w:val="left"/>
      <w:lvlText w:val="[***]"/>
      <w:numFmt w:val="bullet"/>
      <w:start w:val="1"/>
    </w:lvl>
  </w:abstractNum>
  <w:abstractNum w:abstractNumId="182">
    <w:nsid w:val="1DD6D6F4"/>
    <w:multiLevelType w:val="hybridMultilevel"/>
    <w:lvl w:ilvl="0">
      <w:lvlJc w:val="left"/>
      <w:lvlText w:val="***"/>
      <w:numFmt w:val="bullet"/>
      <w:start w:val="1"/>
    </w:lvl>
  </w:abstractNum>
  <w:abstractNum w:abstractNumId="183">
    <w:nsid w:val="769A091F"/>
    <w:multiLevelType w:val="hybridMultilevel"/>
    <w:lvl w:ilvl="0">
      <w:lvlJc w:val="left"/>
      <w:lvlText w:val="***"/>
      <w:numFmt w:val="bullet"/>
      <w:start w:val="1"/>
    </w:lvl>
  </w:abstractNum>
  <w:abstractNum w:abstractNumId="184">
    <w:nsid w:val="4695AE95"/>
    <w:multiLevelType w:val="hybridMultilevel"/>
    <w:lvl w:ilvl="0">
      <w:lvlJc w:val="left"/>
      <w:lvlText w:val="(%1)"/>
      <w:numFmt w:val="lowerRoman"/>
      <w:start w:val="3"/>
    </w:lvl>
  </w:abstractNum>
  <w:abstractNum w:abstractNumId="185">
    <w:nsid w:val="777A4EAA"/>
    <w:multiLevelType w:val="hybridMultilevel"/>
    <w:lvl w:ilvl="0">
      <w:lvlJc w:val="left"/>
      <w:lvlText w:val="(%1)"/>
      <w:numFmt w:val="lowerLetter"/>
      <w:start w:val="2"/>
    </w:lvl>
  </w:abstractNum>
  <w:abstractNum w:abstractNumId="186">
    <w:nsid w:val="3F48B982"/>
    <w:multiLevelType w:val="hybridMultilevel"/>
    <w:lvl w:ilvl="0">
      <w:lvlJc w:val="left"/>
      <w:lvlText w:val="***"/>
      <w:numFmt w:val="bullet"/>
      <w:start w:val="1"/>
    </w:lvl>
  </w:abstractNum>
  <w:abstractNum w:abstractNumId="187">
    <w:nsid w:val="46BA8FCA"/>
    <w:multiLevelType w:val="hybridMultilevel"/>
    <w:lvl w:ilvl="0">
      <w:lvlJc w:val="left"/>
      <w:lvlText w:val="(%1)"/>
      <w:numFmt w:val="upperLetter"/>
      <w:start w:val="1"/>
    </w:lvl>
  </w:abstractNum>
  <w:abstractNum w:abstractNumId="188">
    <w:nsid w:val="7835626C"/>
    <w:multiLevelType w:val="hybridMultilevel"/>
    <w:lvl w:ilvl="0">
      <w:lvlJc w:val="left"/>
      <w:lvlText w:val="%1."/>
      <w:numFmt w:val="decimal"/>
      <w:start w:val="7"/>
    </w:lvl>
    <w:lvl w:ilvl="1">
      <w:lvlJc w:val="left"/>
      <w:lvlText w:val="[***]"/>
      <w:numFmt w:val="bullet"/>
      <w:start w:val="1"/>
    </w:lvl>
  </w:abstractNum>
  <w:abstractNum w:abstractNumId="189">
    <w:nsid w:val="665ACA49"/>
    <w:multiLevelType w:val="hybridMultilevel"/>
    <w:lvl w:ilvl="0">
      <w:lvlJc w:val="left"/>
      <w:lvlText w:val="***"/>
      <w:numFmt w:val="bullet"/>
      <w:start w:val="1"/>
    </w:lvl>
  </w:abstractNum>
  <w:abstractNum w:abstractNumId="190">
    <w:nsid w:val="6835B2AE"/>
    <w:multiLevelType w:val="hybridMultilevel"/>
    <w:lvl w:ilvl="0">
      <w:lvlJc w:val="left"/>
      <w:lvlText w:val="%1."/>
      <w:numFmt w:val="decimal"/>
      <w:start w:val="9"/>
    </w:lvl>
    <w:lvl w:ilvl="1">
      <w:lvlJc w:val="left"/>
      <w:lvlText w:val="(%2)"/>
      <w:numFmt w:val="upperLetter"/>
      <w:start w:val="1"/>
    </w:lvl>
  </w:abstractNum>
  <w:abstractNum w:abstractNumId="191">
    <w:nsid w:val="4C187C90"/>
    <w:multiLevelType w:val="hybridMultilevel"/>
    <w:lvl w:ilvl="0">
      <w:lvlJc w:val="left"/>
      <w:lvlText w:val="***"/>
      <w:numFmt w:val="bullet"/>
      <w:start w:val="1"/>
    </w:lvl>
  </w:abstractNum>
  <w:abstractNum w:abstractNumId="192">
    <w:nsid w:val="541F28CD"/>
    <w:multiLevelType w:val="hybridMultilevel"/>
    <w:lvl w:ilvl="0">
      <w:lvlJc w:val="left"/>
      <w:lvlText w:val="%1"/>
      <w:numFmt w:val="decimal"/>
      <w:start w:val="1"/>
    </w:lvl>
    <w:lvl w:ilvl="1">
      <w:lvlJc w:val="left"/>
      <w:lvlText w:val="(%2)"/>
      <w:numFmt w:val="upperLetter"/>
      <w:start w:val="1"/>
    </w:lvl>
  </w:abstractNum>
  <w:abstractNum w:abstractNumId="193">
    <w:nsid w:val="7F65FD16"/>
    <w:multiLevelType w:val="hybridMultilevel"/>
    <w:lvl w:ilvl="0">
      <w:lvlJc w:val="left"/>
      <w:lvlText w:val="%1."/>
      <w:numFmt w:val="decimal"/>
      <w:start w:val="10"/>
    </w:lvl>
    <w:lvl w:ilvl="1">
      <w:lvlJc w:val="left"/>
      <w:lvlText w:val="(%2)"/>
      <w:numFmt w:val="upperLetter"/>
      <w:start w:val="2"/>
    </w:lvl>
  </w:abstractNum>
  <w:abstractNum w:abstractNumId="194">
    <w:nsid w:val="77C9FD68"/>
    <w:multiLevelType w:val="hybridMultilevel"/>
    <w:lvl w:ilvl="0">
      <w:lvlJc w:val="left"/>
      <w:lvlText w:val="***"/>
      <w:numFmt w:val="bullet"/>
      <w:start w:val="1"/>
    </w:lvl>
  </w:abstractNum>
  <w:abstractNum w:abstractNumId="195">
    <w:nsid w:val="298A92BA"/>
    <w:multiLevelType w:val="hybridMultilevel"/>
    <w:lvl w:ilvl="0">
      <w:lvlJc w:val="left"/>
      <w:lvlText w:val="(%1)"/>
      <w:numFmt w:val="decimal"/>
      <w:start w:val="3"/>
    </w:lvl>
  </w:abstractNum>
  <w:abstractNum w:abstractNumId="196">
    <w:nsid w:val="6FE95EAC"/>
    <w:multiLevelType w:val="hybridMultilevel"/>
    <w:lvl w:ilvl="0">
      <w:lvlJc w:val="left"/>
      <w:lvlText w:val="%1."/>
      <w:numFmt w:val="decimal"/>
      <w:start w:val="11"/>
    </w:lvl>
  </w:abstractNum>
  <w:abstractNum w:abstractNumId="197">
    <w:nsid w:val="4B697C7A"/>
    <w:multiLevelType w:val="hybridMultilevel"/>
    <w:lvl w:ilvl="0">
      <w:lvlJc w:val="left"/>
      <w:lvlText w:val="***"/>
      <w:numFmt w:val="bullet"/>
      <w:start w:val="1"/>
    </w:lvl>
  </w:abstractNum>
  <w:abstractNum w:abstractNumId="198">
    <w:nsid w:val="51A27AA6"/>
    <w:multiLevelType w:val="hybridMultilevel"/>
    <w:lvl w:ilvl="0">
      <w:lvlJc w:val="left"/>
      <w:lvlText w:val="%1."/>
      <w:numFmt w:val="decimal"/>
      <w:start w:val="12"/>
    </w:lvl>
  </w:abstractNum>
  <w:abstractNum w:abstractNumId="199">
    <w:nsid w:val="613183F2"/>
    <w:multiLevelType w:val="hybridMultilevel"/>
    <w:lvl w:ilvl="0">
      <w:lvlJc w:val="left"/>
      <w:lvlText w:val="***"/>
      <w:numFmt w:val="bullet"/>
      <w:start w:val="1"/>
    </w:lvl>
  </w:abstractNum>
  <w:abstractNum w:abstractNumId="200">
    <w:nsid w:val="634102B4"/>
    <w:multiLevelType w:val="hybridMultilevel"/>
    <w:lvl w:ilvl="0">
      <w:lvlJc w:val="left"/>
      <w:lvlText w:val="(%1)"/>
      <w:numFmt w:val="upperLetter"/>
      <w:start w:val="1"/>
    </w:lvl>
  </w:abstractNum>
  <w:abstractNum w:abstractNumId="201">
    <w:nsid w:val="65BF9DA8"/>
    <w:multiLevelType w:val="hybridMultilevel"/>
    <w:lvl w:ilvl="0">
      <w:lvlJc w:val="left"/>
      <w:lvlText w:val="(%1)"/>
      <w:numFmt w:val="upperLetter"/>
      <w:start w:val="1"/>
    </w:lvl>
  </w:abstractNum>
  <w:abstractNum w:abstractNumId="202">
    <w:nsid w:val="21A2ECCA"/>
    <w:multiLevelType w:val="hybridMultilevel"/>
    <w:lvl w:ilvl="0">
      <w:lvlJc w:val="left"/>
      <w:lvlText w:val="***"/>
      <w:numFmt w:val="bullet"/>
      <w:start w:val="1"/>
    </w:lvl>
    <w:lvl w:ilvl="1">
      <w:lvlJc w:val="left"/>
      <w:lvlText w:val="(%2)"/>
      <w:numFmt w:val="upperLetter"/>
      <w:start w:val="1"/>
    </w:lvl>
  </w:abstractNum>
  <w:abstractNum w:abstractNumId="203">
    <w:nsid w:val="4D5C4899"/>
    <w:multiLevelType w:val="hybridMultilevel"/>
    <w:lvl w:ilvl="0">
      <w:lvlJc w:val="left"/>
      <w:lvlText w:val="(%1)"/>
      <w:numFmt w:val="upperLetter"/>
      <w:start w:val="2"/>
    </w:lvl>
  </w:abstractNum>
  <w:abstractNum w:abstractNumId="204">
    <w:nsid w:val="3C3B72B2"/>
    <w:multiLevelType w:val="hybridMultilevel"/>
    <w:lvl w:ilvl="0">
      <w:lvlJc w:val="left"/>
      <w:lvlText w:val="%1."/>
      <w:numFmt w:val="decimal"/>
      <w:start w:val="15"/>
    </w:lvl>
    <w:lvl w:ilvl="1">
      <w:lvlJc w:val="left"/>
      <w:lvlText w:val="(%2)"/>
      <w:numFmt w:val="upperLetter"/>
      <w:start w:val="1"/>
    </w:lvl>
    <w:lvl w:ilvl="2">
      <w:lvlJc w:val="left"/>
      <w:lvlText w:val="(%3)"/>
      <w:numFmt w:val="decimal"/>
      <w:start w:val="1"/>
    </w:lvl>
  </w:abstractNum>
  <w:abstractNum w:abstractNumId="205">
    <w:nsid w:val="155EC4C2"/>
    <w:multiLevelType w:val="hybridMultilevel"/>
    <w:lvl w:ilvl="0">
      <w:lvlJc w:val="left"/>
      <w:lvlText w:val="***"/>
      <w:numFmt w:val="bullet"/>
      <w:start w:val="1"/>
    </w:lvl>
  </w:abstractNum>
  <w:abstractNum w:abstractNumId="206">
    <w:nsid w:val="65D2A137"/>
    <w:multiLevelType w:val="hybridMultilevel"/>
    <w:lvl w:ilvl="0">
      <w:lvlJc w:val="left"/>
      <w:lvlText w:val="%1"/>
      <w:numFmt w:val="decimal"/>
      <w:start w:val="1"/>
    </w:lvl>
    <w:lvl w:ilvl="1">
      <w:lvlJc w:val="left"/>
      <w:lvlText w:val="(%2)"/>
      <w:numFmt w:val="upperLetter"/>
      <w:start w:val="1"/>
    </w:lvl>
  </w:abstractNum>
  <w:abstractNum w:abstractNumId="207">
    <w:nsid w:val="6EBB1F2A"/>
    <w:multiLevelType w:val="hybridMultilevel"/>
    <w:lvl w:ilvl="0">
      <w:lvlJc w:val="left"/>
      <w:lvlText w:val="%1."/>
      <w:numFmt w:val="decimal"/>
      <w:start w:val="16"/>
    </w:lvl>
    <w:lvl w:ilvl="1">
      <w:lvlJc w:val="left"/>
      <w:lvlText w:val="(%2)"/>
      <w:numFmt w:val="upperLetter"/>
      <w:start w:val="1"/>
    </w:lvl>
  </w:abstractNum>
  <w:abstractNum w:abstractNumId="208">
    <w:nsid w:val="6FBF29CB"/>
    <w:multiLevelType w:val="hybridMultilevel"/>
    <w:lvl w:ilvl="0">
      <w:lvlJc w:val="left"/>
      <w:lvlText w:val="***"/>
      <w:numFmt w:val="bullet"/>
      <w:start w:val="1"/>
    </w:lvl>
    <w:lvl w:ilvl="1">
      <w:lvlJc w:val="left"/>
      <w:lvlText w:val="(%2)"/>
      <w:numFmt w:val="upperLetter"/>
      <w:start w:val="1"/>
    </w:lvl>
  </w:abstractNum>
  <w:abstractNum w:abstractNumId="209">
    <w:nsid w:val="550B8808"/>
    <w:multiLevelType w:val="hybridMultilevel"/>
    <w:lvl w:ilvl="0">
      <w:lvlJc w:val="left"/>
      <w:lvlText w:val="%1."/>
      <w:numFmt w:val="decimal"/>
      <w:start w:val="17"/>
    </w:lvl>
  </w:abstractNum>
  <w:abstractNum w:abstractNumId="210">
    <w:nsid w:val="34CC3ACF"/>
    <w:multiLevelType w:val="hybridMultilevel"/>
    <w:lvl w:ilvl="0">
      <w:lvlJc w:val="left"/>
      <w:lvlText w:val="***"/>
      <w:numFmt w:val="bullet"/>
      <w:start w:val="1"/>
    </w:lvl>
  </w:abstractNum>
  <w:abstractNum w:abstractNumId="211">
    <w:nsid w:val="4E556261"/>
    <w:multiLevelType w:val="hybridMultilevel"/>
    <w:lvl w:ilvl="0">
      <w:lvlJc w:val="left"/>
      <w:lvlText w:val="%1."/>
      <w:numFmt w:val="decimal"/>
      <w:start w:val="19"/>
    </w:lvl>
  </w:abstractNum>
  <w:abstractNum w:abstractNumId="212">
    <w:nsid w:val="4C672FC9"/>
    <w:multiLevelType w:val="hybridMultilevel"/>
    <w:lvl w:ilvl="0">
      <w:lvlJc w:val="left"/>
      <w:lvlText w:val="***"/>
      <w:numFmt w:val="bullet"/>
      <w:start w:val="1"/>
    </w:lvl>
  </w:abstractNum>
  <w:abstractNum w:abstractNumId="213">
    <w:nsid w:val="52A311C3"/>
    <w:multiLevelType w:val="hybridMultilevel"/>
    <w:lvl w:ilvl="0">
      <w:lvlJc w:val="left"/>
      <w:lvlText w:val="***"/>
      <w:numFmt w:val="bullet"/>
      <w:start w:val="1"/>
    </w:lvl>
  </w:abstractNum>
  <w:abstractNum w:abstractNumId="214">
    <w:nsid w:val="44EF6B80"/>
    <w:multiLevelType w:val="hybridMultilevel"/>
    <w:lvl w:ilvl="0">
      <w:lvlJc w:val="left"/>
      <w:lvlText w:val="***"/>
      <w:numFmt w:val="bullet"/>
      <w:start w:val="1"/>
    </w:lvl>
  </w:abstractNum>
  <w:abstractNum w:abstractNumId="215">
    <w:nsid w:val="12FCDE5E"/>
    <w:multiLevelType w:val="hybridMultilevel"/>
    <w:lvl w:ilvl="0">
      <w:lvlJc w:val="left"/>
      <w:lvlText w:val="***"/>
      <w:numFmt w:val="bullet"/>
      <w:start w:val="1"/>
    </w:lvl>
  </w:abstractNum>
  <w:abstractNum w:abstractNumId="216">
    <w:nsid w:val="4A1D606E"/>
    <w:multiLevelType w:val="hybridMultilevel"/>
    <w:lvl w:ilvl="0">
      <w:lvlJc w:val="left"/>
      <w:lvlText w:val="***"/>
      <w:numFmt w:val="bullet"/>
      <w:start w:val="1"/>
    </w:lvl>
  </w:abstractNum>
  <w:abstractNum w:abstractNumId="217">
    <w:nsid w:val="4382503"/>
    <w:multiLevelType w:val="hybridMultilevel"/>
    <w:lvl w:ilvl="0">
      <w:lvlJc w:val="left"/>
      <w:lvlText w:val="%1."/>
      <w:numFmt w:val="decimal"/>
      <w:start w:val="1"/>
    </w:lvl>
  </w:abstractNum>
  <w:abstractNum w:abstractNumId="218">
    <w:nsid w:val="59B76E28"/>
    <w:multiLevelType w:val="hybridMultilevel"/>
    <w:lvl w:ilvl="0">
      <w:lvlJc w:val="left"/>
      <w:lvlText w:val="***"/>
      <w:numFmt w:val="bullet"/>
      <w:start w:val="1"/>
    </w:lvl>
  </w:abstractNum>
  <w:abstractNum w:abstractNumId="219">
    <w:nsid w:val="4252C2DA"/>
    <w:multiLevelType w:val="hybridMultilevel"/>
    <w:lvl w:ilvl="0">
      <w:lvlJc w:val="left"/>
      <w:lvlText w:val="%1."/>
      <w:numFmt w:val="decimal"/>
      <w:start w:val="4"/>
    </w:lvl>
  </w:abstractNum>
  <w:abstractNum w:abstractNumId="220">
    <w:nsid w:val="6A92EF4C"/>
    <w:multiLevelType w:val="hybridMultilevel"/>
    <w:lvl w:ilvl="0">
      <w:lvlJc w:val="left"/>
      <w:lvlText w:val="***"/>
      <w:numFmt w:val="bullet"/>
      <w:start w:val="1"/>
    </w:lvl>
  </w:abstractNum>
  <w:abstractNum w:abstractNumId="221">
    <w:nsid w:val="41ED20D7"/>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222">
    <w:nsid w:val="E6B3F6A"/>
    <w:multiLevelType w:val="hybridMultilevel"/>
    <w:lvl w:ilvl="0">
      <w:lvlJc w:val="left"/>
      <w:lvlText w:val="***"/>
      <w:numFmt w:val="bullet"/>
      <w:start w:val="1"/>
    </w:lvl>
    <w:lvl w:ilvl="1">
      <w:lvlJc w:val="left"/>
      <w:lvlText w:val="%2"/>
      <w:numFmt w:val="upperLetter"/>
      <w:start w:val="1"/>
    </w:lvl>
    <w:lvl w:ilvl="2">
      <w:lvlJc w:val="left"/>
      <w:lvlText w:val="(%3)"/>
      <w:numFmt w:val="decimal"/>
      <w:start w:val="4"/>
    </w:lvl>
  </w:abstractNum>
  <w:abstractNum w:abstractNumId="223">
    <w:nsid w:val="3EB21819"/>
    <w:multiLevelType w:val="hybridMultilevel"/>
    <w:lvl w:ilvl="0">
      <w:lvlJc w:val="left"/>
      <w:lvlText w:val="***"/>
      <w:numFmt w:val="bullet"/>
      <w:start w:val="1"/>
    </w:lvl>
    <w:lvl w:ilvl="1">
      <w:lvlJc w:val="left"/>
      <w:lvlText w:val="(%2)"/>
      <w:numFmt w:val="upperLetter"/>
      <w:start w:val="2"/>
    </w:lvl>
    <w:lvl w:ilvl="2">
      <w:lvlJc w:val="left"/>
      <w:lvlText w:val="%3"/>
      <w:numFmt w:val="decimal"/>
      <w:start w:val="1"/>
    </w:lvl>
  </w:abstractNum>
  <w:abstractNum w:abstractNumId="224">
    <w:nsid w:val="41531DED"/>
    <w:multiLevelType w:val="hybridMultilevel"/>
    <w:lvl w:ilvl="0">
      <w:lvlJc w:val="left"/>
      <w:lvlText w:val="%1."/>
      <w:numFmt w:val="decimal"/>
      <w:start w:val="1"/>
    </w:lvl>
  </w:abstractNum>
  <w:abstractNum w:abstractNumId="225">
    <w:nsid w:val="6353CD2"/>
    <w:multiLevelType w:val="hybridMultilevel"/>
    <w:lvl w:ilvl="0">
      <w:lvlJc w:val="left"/>
      <w:lvlText w:val="***"/>
      <w:numFmt w:val="bullet"/>
      <w:start w:val="1"/>
    </w:lvl>
  </w:abstractNum>
  <w:abstractNum w:abstractNumId="226">
    <w:nsid w:val="683CAAD3"/>
    <w:multiLevelType w:val="hybridMultilevel"/>
    <w:lvl w:ilvl="0">
      <w:lvlJc w:val="left"/>
      <w:lvlText w:val="%1."/>
      <w:numFmt w:val="decimal"/>
      <w:start w:val="4"/>
    </w:lvl>
  </w:abstractNum>
  <w:abstractNum w:abstractNumId="227">
    <w:nsid w:val="313C7C99"/>
    <w:multiLevelType w:val="hybridMultilevel"/>
    <w:lvl w:ilvl="0">
      <w:lvlJc w:val="left"/>
      <w:lvlText w:val="%1."/>
      <w:numFmt w:val="decimal"/>
      <w:start w:val="4"/>
    </w:lvl>
    <w:lvl w:ilvl="1">
      <w:lvlJc w:val="left"/>
      <w:lvlText w:val="[***]"/>
      <w:numFmt w:val="bullet"/>
      <w:start w:val="1"/>
    </w:lvl>
  </w:abstractNum>
  <w:abstractNum w:abstractNumId="228">
    <w:nsid w:val="519EB94C"/>
    <w:multiLevelType w:val="hybridMultilevel"/>
    <w:lvl w:ilvl="0">
      <w:lvlJc w:val="left"/>
      <w:lvlText w:val="%1."/>
      <w:numFmt w:val="decimal"/>
      <w:start w:val="6"/>
    </w:lvl>
  </w:abstractNum>
  <w:abstractNum w:abstractNumId="229">
    <w:nsid w:val="39DF2579"/>
    <w:multiLevelType w:val="hybridMultilevel"/>
    <w:lvl w:ilvl="0">
      <w:lvlJc w:val="left"/>
      <w:lvlText w:val="***"/>
      <w:numFmt w:val="bullet"/>
      <w:start w:val="1"/>
    </w:lvl>
  </w:abstractNum>
  <w:abstractNum w:abstractNumId="230">
    <w:nsid w:val="126E008B"/>
    <w:multiLevelType w:val="hybridMultilevel"/>
    <w:lvl w:ilvl="0">
      <w:lvlJc w:val="left"/>
      <w:lvlText w:val="***"/>
      <w:numFmt w:val="bullet"/>
      <w:start w:val="1"/>
    </w:lvl>
  </w:abstractNum>
  <w:abstractNum w:abstractNumId="231">
    <w:nsid w:val="34DFBC00"/>
    <w:multiLevelType w:val="hybridMultilevel"/>
    <w:lvl w:ilvl="0">
      <w:lvlJc w:val="left"/>
      <w:lvlText w:val="%1."/>
      <w:numFmt w:val="decimal"/>
      <w:start w:val="1"/>
    </w:lvl>
  </w:abstractNum>
  <w:abstractNum w:abstractNumId="232">
    <w:nsid w:val="1F9EC322"/>
    <w:multiLevelType w:val="hybridMultilevel"/>
    <w:lvl w:ilvl="0">
      <w:lvlJc w:val="left"/>
      <w:lvlText w:val="***"/>
      <w:numFmt w:val="bullet"/>
      <w:start w:val="1"/>
    </w:lvl>
    <w:lvl w:ilvl="1">
      <w:lvlJc w:val="left"/>
      <w:lvlText w:val="["/>
      <w:numFmt w:val="bullet"/>
      <w:start w:val="1"/>
    </w:lvl>
  </w:abstractNum>
  <w:abstractNum w:abstractNumId="233">
    <w:nsid w:val="3410ED56"/>
    <w:multiLevelType w:val="hybridMultilevel"/>
    <w:lvl w:ilvl="0">
      <w:lvlJc w:val="left"/>
      <w:lvlText w:val="***"/>
      <w:numFmt w:val="bullet"/>
      <w:start w:val="1"/>
    </w:lvl>
  </w:abstractNum>
  <w:abstractNum w:abstractNumId="234">
    <w:nsid w:val="23C049A"/>
    <w:multiLevelType w:val="hybridMultilevel"/>
    <w:lvl w:ilvl="0">
      <w:lvlJc w:val="left"/>
      <w:lvlText w:val="(%1)"/>
      <w:numFmt w:val="lowerRoman"/>
      <w:start w:val="2"/>
    </w:lvl>
  </w:abstractNum>
  <w:abstractNum w:abstractNumId="235">
    <w:nsid w:val="5BDA35D4"/>
    <w:multiLevelType w:val="hybridMultilevel"/>
    <w:lvl w:ilvl="0">
      <w:lvlJc w:val="left"/>
      <w:lvlText w:val="%1"/>
      <w:numFmt w:val="decimal"/>
      <w:start w:val="1"/>
    </w:lvl>
    <w:lvl w:ilvl="1">
      <w:lvlJc w:val="left"/>
      <w:lvlText w:val="(%2)"/>
      <w:numFmt w:val="lowerLetter"/>
      <w:start w:val="1"/>
    </w:lvl>
  </w:abstractNum>
  <w:abstractNum w:abstractNumId="236">
    <w:nsid w:val="496FB218"/>
    <w:multiLevelType w:val="hybridMultilevel"/>
    <w:lvl w:ilvl="0">
      <w:lvlJc w:val="left"/>
      <w:lvlText w:val="(%1)"/>
      <w:numFmt w:val="decimal"/>
      <w:start w:val="21"/>
    </w:lvl>
    <w:lvl w:ilvl="1">
      <w:lvlJc w:val="left"/>
      <w:lvlText w:val="%2"/>
      <w:numFmt w:val="lowerLetter"/>
      <w:start w:val="1"/>
    </w:lvl>
  </w:abstractNum>
  <w:abstractNum w:abstractNumId="237">
    <w:nsid w:val="680EA5D1"/>
    <w:multiLevelType w:val="hybridMultilevel"/>
    <w:lvl w:ilvl="0">
      <w:lvlJc w:val="left"/>
      <w:lvlText w:val="%1"/>
      <w:numFmt w:val="decimal"/>
      <w:start w:val="1"/>
    </w:lvl>
    <w:lvl w:ilvl="1">
      <w:lvlJc w:val="left"/>
      <w:lvlText w:val="(%2)"/>
      <w:numFmt w:val="lowerLetter"/>
      <w:start w:val="4"/>
    </w:lvl>
  </w:abstractNum>
  <w:abstractNum w:abstractNumId="238">
    <w:nsid w:val="4A9554FE"/>
    <w:multiLevelType w:val="hybridMultilevel"/>
    <w:lvl w:ilvl="0">
      <w:lvlJc w:val="left"/>
      <w:lvlText w:val="(%1)"/>
      <w:numFmt w:val="decimal"/>
      <w:start w:val="10"/>
    </w:lvl>
    <w:lvl w:ilvl="1">
      <w:lvlJc w:val="left"/>
      <w:lvlText w:val="(%2)"/>
      <w:numFmt w:val="lowerLetter"/>
      <w:start w:val="5"/>
    </w:lvl>
  </w:abstractNum>
  <w:abstractNum w:abstractNumId="239">
    <w:nsid w:val="392EDBE4"/>
    <w:multiLevelType w:val="hybridMultilevel"/>
    <w:lvl w:ilvl="0">
      <w:lvlJc w:val="left"/>
      <w:lvlText w:val="(%1)"/>
      <w:numFmt w:val="lowerLetter"/>
      <w:start w:val="6"/>
    </w:lvl>
  </w:abstractNum>
  <w:abstractNum w:abstractNumId="240">
    <w:nsid w:val="3D1A2DD9"/>
    <w:multiLevelType w:val="hybridMultilevel"/>
    <w:lvl w:ilvl="0">
      <w:lvlJc w:val="left"/>
      <w:lvlText w:val="(%1)"/>
      <w:numFmt w:val="lowerLetter"/>
      <w:start w:val="10"/>
    </w:lvl>
  </w:abstractNum>
  <w:abstractNum w:abstractNumId="241">
    <w:nsid w:val="7F618FCD"/>
    <w:multiLevelType w:val="hybridMultilevel"/>
    <w:lvl w:ilvl="0">
      <w:lvlJc w:val="left"/>
      <w:lvlText w:val="(%1)"/>
      <w:numFmt w:val="lowerLetter"/>
      <w:start w:val="13"/>
    </w:lvl>
  </w:abstractNum>
  <w:abstractNum w:abstractNumId="242">
    <w:nsid w:val="7843E45"/>
    <w:multiLevelType w:val="hybridMultilevel"/>
    <w:lvl w:ilvl="0">
      <w:lvlJc w:val="left"/>
      <w:lvlText w:val="(%1)"/>
      <w:numFmt w:val="lowerLetter"/>
      <w:start w:val="19"/>
    </w:lvl>
  </w:abstractNum>
  <w:abstractNum w:abstractNumId="243">
    <w:nsid w:val="9815DA3"/>
    <w:multiLevelType w:val="hybridMultilevel"/>
    <w:lvl w:ilvl="0">
      <w:lvlJc w:val="left"/>
      <w:lvlText w:val="(%1)"/>
      <w:numFmt w:val="lowerLetter"/>
      <w:start w:val="27"/>
    </w:lvl>
  </w:abstractNum>
  <w:abstractNum w:abstractNumId="244">
    <w:nsid w:val="5204A191"/>
    <w:multiLevelType w:val="hybridMultilevel"/>
    <w:lvl w:ilvl="0">
      <w:lvlJc w:val="left"/>
      <w:lvlText w:val="(%1)"/>
      <w:numFmt w:val="lowerLetter"/>
      <w:start w:val="31"/>
    </w:lvl>
  </w:abstractNum>
  <w:abstractNum w:abstractNumId="245">
    <w:nsid w:val="4C73A9C6"/>
    <w:multiLevelType w:val="hybridMultilevel"/>
    <w:lvl w:ilvl="0">
      <w:lvlJc w:val="left"/>
      <w:lvlText w:val="(%1)"/>
      <w:numFmt w:val="lowerLetter"/>
      <w:start w:val="33"/>
    </w:lvl>
  </w:abstractNum>
  <w:abstractNum w:abstractNumId="246">
    <w:nsid w:val="1C7E3C01"/>
    <w:multiLevelType w:val="hybridMultilevel"/>
    <w:lvl w:ilvl="0">
      <w:lvlJc w:val="left"/>
      <w:lvlText w:val="(%1)"/>
      <w:numFmt w:val="lowerLetter"/>
      <w:start w:val="35"/>
    </w:lvl>
  </w:abstractNum>
  <w:abstractNum w:abstractNumId="247">
    <w:nsid w:val="1C2201FF"/>
    <w:multiLevelType w:val="hybridMultilevel"/>
    <w:lvl w:ilvl="0">
      <w:lvlJc w:val="left"/>
      <w:lvlText w:val="(%1)"/>
      <w:numFmt w:val="lowerLetter"/>
      <w:start w:val="38"/>
    </w:lvl>
  </w:abstractNum>
  <w:abstractNum w:abstractNumId="248">
    <w:nsid w:val="50ABCEC9"/>
    <w:multiLevelType w:val="hybridMultilevel"/>
    <w:lvl w:ilvl="0">
      <w:lvlJc w:val="left"/>
      <w:lvlText w:val="(%1)"/>
      <w:numFmt w:val="lowerLetter"/>
      <w:start w:val="40"/>
    </w:lvl>
  </w:abstractNum>
  <w:abstractNum w:abstractNumId="249">
    <w:nsid w:val="7635AA2A"/>
    <w:multiLevelType w:val="hybridMultilevel"/>
    <w:lvl w:ilvl="0">
      <w:lvlJc w:val="left"/>
      <w:lvlText w:val="(%1)"/>
      <w:numFmt w:val="lowerLetter"/>
      <w:start w:val="42"/>
    </w:lvl>
  </w:abstractNum>
  <w:abstractNum w:abstractNumId="250">
    <w:nsid w:val="5E74C4D9"/>
    <w:multiLevelType w:val="hybridMultilevel"/>
    <w:lvl w:ilvl="0">
      <w:lvlJc w:val="left"/>
      <w:lvlText w:val="%1"/>
      <w:numFmt w:val="decimal"/>
      <w:start w:val="1"/>
    </w:lvl>
    <w:lvl w:ilvl="1">
      <w:lvlJc w:val="left"/>
      <w:lvlText w:val="(%2)"/>
      <w:numFmt w:val="lowerLetter"/>
      <w:start w:val="44"/>
    </w:lvl>
  </w:abstractNum>
  <w:abstractNum w:abstractNumId="251">
    <w:nsid w:val="3B3EBE15"/>
    <w:multiLevelType w:val="hybridMultilevel"/>
    <w:lvl w:ilvl="0">
      <w:lvlJc w:val="left"/>
      <w:lvlText w:val="(%1)"/>
      <w:numFmt w:val="decimal"/>
      <w:start w:val="5"/>
    </w:lvl>
    <w:lvl w:ilvl="1">
      <w:lvlJc w:val="left"/>
      <w:lvlText w:val="(%2)"/>
      <w:numFmt w:val="lowerLetter"/>
      <w:start w:val="48"/>
    </w:lvl>
  </w:abstractNum>
  <w:abstractNum w:abstractNumId="252">
    <w:nsid w:val="3822CB01"/>
    <w:multiLevelType w:val="hybridMultilevel"/>
    <w:lvl w:ilvl="0">
      <w:lvlJc w:val="left"/>
      <w:lvlText w:val="(%1)"/>
      <w:numFmt w:val="lowerLetter"/>
      <w:start w:val="51"/>
    </w:lvl>
  </w:abstractNum>
  <w:abstractNum w:abstractNumId="253">
    <w:nsid w:val="6CE00443"/>
    <w:multiLevelType w:val="hybridMultilevel"/>
    <w:lvl w:ilvl="0">
      <w:lvlJc w:val="left"/>
      <w:lvlText w:val="(%1)"/>
      <w:numFmt w:val="lowerLetter"/>
      <w:start w:val="53"/>
    </w:lvl>
  </w:abstractNum>
  <w:abstractNum w:abstractNumId="254">
    <w:nsid w:val="79F0D62F"/>
    <w:multiLevelType w:val="hybridMultilevel"/>
    <w:lvl w:ilvl="0">
      <w:lvlJc w:val="left"/>
      <w:lvlText w:val="(%1)"/>
      <w:numFmt w:val="lowerLetter"/>
      <w:start w:val="54"/>
    </w:lvl>
  </w:abstractNum>
  <w:abstractNum w:abstractNumId="255">
    <w:nsid w:val="7975E8EE"/>
    <w:multiLevelType w:val="hybridMultilevel"/>
    <w:lvl w:ilvl="0">
      <w:lvlJc w:val="left"/>
      <w:lvlText w:val="%1"/>
      <w:numFmt w:val="lowerLetter"/>
      <w:start w:val="1"/>
    </w:lvl>
    <w:lvl w:ilvl="1">
      <w:lvlJc w:val="left"/>
      <w:lvlText w:val="(%2)"/>
      <w:numFmt w:val="lowerLetter"/>
      <w:start w:val="56"/>
    </w:lvl>
  </w:abstractNum>
  <w:abstractNum w:abstractNumId="256">
    <w:nsid w:val="73154115"/>
    <w:multiLevelType w:val="hybridMultilevel"/>
    <w:lvl w:ilvl="0">
      <w:lvlJc w:val="left"/>
      <w:lvlText w:val="(%1)"/>
      <w:numFmt w:val="lowerLetter"/>
      <w:start w:val="35"/>
    </w:lvl>
    <w:lvl w:ilvl="1">
      <w:lvlJc w:val="left"/>
      <w:lvlText w:val="(%2)"/>
      <w:numFmt w:val="lowerLetter"/>
      <w:start w:val="57"/>
    </w:lvl>
  </w:abstractNum>
  <w:abstractNum w:abstractNumId="257">
    <w:nsid w:val="622D8102"/>
    <w:multiLevelType w:val="hybridMultilevel"/>
    <w:lvl w:ilvl="0">
      <w:lvlJc w:val="left"/>
      <w:lvlText w:val="(%1)"/>
      <w:numFmt w:val="decimal"/>
      <w:start w:val="2"/>
    </w:lvl>
  </w:abstractNum>
  <w:abstractNum w:abstractNumId="258">
    <w:nsid w:val="2AB26587"/>
    <w:multiLevelType w:val="hybridMultilevel"/>
    <w:lvl w:ilvl="0">
      <w:lvlJc w:val="left"/>
      <w:lvlText w:val="(%1)"/>
      <w:numFmt w:val="lowerLetter"/>
      <w:start w:val="1"/>
    </w:lvl>
  </w:abstractNum>
  <w:abstractNum w:abstractNumId="259">
    <w:nsid w:val="44B3FA61"/>
    <w:multiLevelType w:val="hybridMultilevel"/>
    <w:lvl w:ilvl="0">
      <w:lvlJc w:val="left"/>
      <w:lvlText w:val="(%1)"/>
      <w:numFmt w:val="lowerLetter"/>
      <w:start w:val="2"/>
    </w:lvl>
  </w:abstractNum>
  <w:abstractNum w:abstractNumId="260">
    <w:nsid w:val="1C0CA67C"/>
    <w:multiLevelType w:val="hybridMultilevel"/>
    <w:lvl w:ilvl="0">
      <w:lvlJc w:val="left"/>
      <w:lvlText w:val="%1"/>
      <w:numFmt w:val="lowerLetter"/>
      <w:start w:val="1"/>
    </w:lvl>
    <w:lvl w:ilvl="1">
      <w:lvlJc w:val="left"/>
      <w:lvlText w:val="(%2)"/>
      <w:numFmt w:val="lowerLetter"/>
      <w:start w:val="1"/>
    </w:lvl>
  </w:abstractNum>
  <w:abstractNum w:abstractNumId="261">
    <w:nsid w:val="3D206613"/>
    <w:multiLevelType w:val="hybridMultilevel"/>
    <w:lvl w:ilvl="0">
      <w:lvlJc w:val="left"/>
      <w:lvlText w:val="(%1)"/>
      <w:numFmt w:val="lowerLetter"/>
      <w:start w:val="35"/>
    </w:lvl>
    <w:lvl w:ilvl="1">
      <w:lvlJc w:val="left"/>
      <w:lvlText w:val="%2"/>
      <w:numFmt w:val="lowerLetter"/>
      <w:start w:val="1"/>
    </w:lvl>
  </w:abstractNum>
  <w:abstractNum w:abstractNumId="262">
    <w:nsid w:val="7993B662"/>
    <w:multiLevelType w:val="hybridMultilevel"/>
    <w:lvl w:ilvl="0">
      <w:lvlJc w:val="left"/>
      <w:lvlText w:val="(%1)"/>
      <w:numFmt w:val="lowerLetter"/>
      <w:start w:val="58"/>
    </w:lvl>
  </w:abstractNum>
  <w:abstractNum w:abstractNumId="263">
    <w:nsid w:val="3BAB699E"/>
    <w:multiLevelType w:val="hybridMultilevel"/>
    <w:lvl w:ilvl="0">
      <w:lvlJc w:val="left"/>
      <w:lvlText w:val="(%1)"/>
      <w:numFmt w:val="lowerLetter"/>
      <w:start w:val="68"/>
    </w:lvl>
  </w:abstractNum>
  <w:abstractNum w:abstractNumId="264">
    <w:nsid w:val="71315369"/>
    <w:multiLevelType w:val="hybridMultilevel"/>
    <w:lvl w:ilvl="0">
      <w:lvlJc w:val="left"/>
      <w:lvlText w:val="(%1)"/>
      <w:numFmt w:val="lowerLetter"/>
      <w:start w:val="2"/>
    </w:lvl>
  </w:abstractNum>
  <w:abstractNum w:abstractNumId="265">
    <w:nsid w:val="7BCFBAFC"/>
    <w:multiLevelType w:val="hybridMultilevel"/>
    <w:lvl w:ilvl="0">
      <w:lvlJc w:val="left"/>
      <w:lvlText w:val="(%1)"/>
      <w:numFmt w:val="lowerLetter"/>
      <w:start w:val="69"/>
    </w:lvl>
  </w:abstractNum>
  <w:abstractNum w:abstractNumId="266">
    <w:nsid w:val="17859F72"/>
    <w:multiLevelType w:val="hybridMultilevel"/>
    <w:lvl w:ilvl="0">
      <w:lvlJc w:val="left"/>
      <w:lvlText w:val="(%1)"/>
      <w:numFmt w:val="lowerLetter"/>
      <w:start w:val="72"/>
    </w:lvl>
  </w:abstractNum>
  <w:abstractNum w:abstractNumId="267">
    <w:nsid w:val="3AA10581"/>
    <w:multiLevelType w:val="hybridMultilevel"/>
    <w:lvl w:ilvl="0">
      <w:lvlJc w:val="left"/>
      <w:lvlText w:val="(%1)"/>
      <w:numFmt w:val="lowerLetter"/>
      <w:start w:val="74"/>
    </w:lvl>
    <w:lvl w:ilvl="1">
      <w:lvlJc w:val="left"/>
      <w:lvlText w:val="(%2)"/>
      <w:numFmt w:val="lowerRoman"/>
      <w:start w:val="1"/>
    </w:lvl>
  </w:abstractNum>
  <w:abstractNum w:abstractNumId="268">
    <w:nsid w:val="63DE60CD"/>
    <w:multiLevelType w:val="hybridMultilevel"/>
    <w:lvl w:ilvl="0">
      <w:lvlJc w:val="left"/>
      <w:lvlText w:val="(%1)"/>
      <w:numFmt w:val="lowerLetter"/>
      <w:start w:val="76"/>
    </w:lvl>
  </w:abstractNum>
  <w:abstractNum w:abstractNumId="269">
    <w:nsid w:val="621AF471"/>
    <w:multiLevelType w:val="hybridMultilevel"/>
    <w:lvl w:ilvl="0">
      <w:lvlJc w:val="left"/>
      <w:lvlText w:val="(%1)"/>
      <w:numFmt w:val="lowerLetter"/>
      <w:start w:val="4"/>
    </w:lvl>
  </w:abstractNum>
  <w:abstractNum w:abstractNumId="270">
    <w:nsid w:val="73CFE165"/>
    <w:multiLevelType w:val="hybridMultilevel"/>
    <w:lvl w:ilvl="0">
      <w:lvlJc w:val="left"/>
      <w:lvlText w:val="(%1)"/>
      <w:numFmt w:val="decimal"/>
      <w:start w:val="7"/>
    </w:lvl>
  </w:abstractNum>
  <w:abstractNum w:abstractNumId="271">
    <w:nsid w:val="20F88EA6"/>
    <w:multiLevelType w:val="hybridMultilevel"/>
    <w:lvl w:ilvl="0">
      <w:lvlJc w:val="left"/>
      <w:lvlText w:val="(%1)"/>
      <w:numFmt w:val="lowerLetter"/>
      <w:start w:val="4"/>
    </w:lvl>
  </w:abstractNum>
  <w:abstractNum w:abstractNumId="272">
    <w:nsid w:val="617C843E"/>
    <w:multiLevelType w:val="hybridMultilevel"/>
    <w:lvl w:ilvl="0">
      <w:lvlJc w:val="left"/>
      <w:lvlText w:val="(%1)"/>
      <w:numFmt w:val="lowerLetter"/>
      <w:start w:val="1"/>
    </w:lvl>
  </w:abstractNum>
  <w:abstractNum w:abstractNumId="273">
    <w:nsid w:val="7B541FAB"/>
    <w:multiLevelType w:val="hybridMultilevel"/>
    <w:lvl w:ilvl="0">
      <w:lvlJc w:val="left"/>
      <w:lvlText w:val="(%1)"/>
      <w:numFmt w:val="lowerLetter"/>
      <w:start w:val="1"/>
    </w:lvl>
  </w:abstractNum>
  <w:abstractNum w:abstractNumId="274">
    <w:nsid w:val="2A79EC49"/>
    <w:multiLevelType w:val="hybridMultilevel"/>
    <w:lvl w:ilvl="0">
      <w:lvlJc w:val="left"/>
      <w:lvlText w:val="(%1)"/>
      <w:numFmt w:val="lowerLetter"/>
      <w:start w:val="1"/>
    </w:lvl>
  </w:abstractNum>
  <w:abstractNum w:abstractNumId="275">
    <w:nsid w:val="338125CF"/>
    <w:multiLevelType w:val="hybridMultilevel"/>
    <w:lvl w:ilvl="0">
      <w:lvlJc w:val="left"/>
      <w:lvlText w:val="(%1)"/>
      <w:numFmt w:val="lowerLetter"/>
      <w:start w:val="2"/>
    </w:lvl>
  </w:abstractNum>
  <w:abstractNum w:abstractNumId="276">
    <w:nsid w:val="47C7C971"/>
    <w:multiLevelType w:val="hybridMultilevel"/>
    <w:lvl w:ilvl="0">
      <w:lvlJc w:val="left"/>
      <w:lvlText w:val="(%1)"/>
      <w:numFmt w:val="lowerLetter"/>
      <w:start w:val="4"/>
    </w:lvl>
  </w:abstractNum>
  <w:abstractNum w:abstractNumId="277">
    <w:nsid w:val="46F8284B"/>
    <w:multiLevelType w:val="hybridMultilevel"/>
    <w:lvl w:ilvl="0">
      <w:lvlJc w:val="left"/>
      <w:lvlText w:val="(%1)"/>
      <w:numFmt w:val="lowerLetter"/>
      <w:start w:val="1"/>
    </w:lvl>
  </w:abstractNum>
  <w:abstractNum w:abstractNumId="278">
    <w:nsid w:val="4FA327CE"/>
    <w:multiLevelType w:val="hybridMultilevel"/>
    <w:lvl w:ilvl="0">
      <w:lvlJc w:val="left"/>
      <w:lvlText w:val="(%1)"/>
      <w:numFmt w:val="lowerLetter"/>
      <w:start w:val="8"/>
    </w:lvl>
  </w:abstractNum>
  <w:abstractNum w:abstractNumId="279">
    <w:nsid w:val="1873983A"/>
    <w:multiLevelType w:val="hybridMultilevel"/>
    <w:lvl w:ilvl="0">
      <w:lvlJc w:val="left"/>
      <w:lvlText w:val="(%1)"/>
      <w:numFmt w:val="lowerLetter"/>
      <w:start w:val="1"/>
    </w:lvl>
  </w:abstractNum>
  <w:abstractNum w:abstractNumId="280">
    <w:nsid w:val="3D2DD275"/>
    <w:multiLevelType w:val="hybridMultilevel"/>
    <w:lvl w:ilvl="0">
      <w:lvlJc w:val="left"/>
      <w:lvlText w:val="["/>
      <w:numFmt w:val="bullet"/>
      <w:start w:val="1"/>
    </w:lvl>
    <w:lvl w:ilvl="1">
      <w:lvlJc w:val="left"/>
      <w:lvlText w:val="%2."/>
      <w:numFmt w:val="decimal"/>
      <w:start w:val="1"/>
    </w:lvl>
  </w:abstractNum>
  <w:abstractNum w:abstractNumId="281">
    <w:nsid w:val="2E17ECA7"/>
    <w:multiLevelType w:val="hybridMultilevel"/>
    <w:lvl w:ilvl="0">
      <w:lvlJc w:val="left"/>
      <w:lvlText w:val="*"/>
      <w:numFmt w:val="bullet"/>
      <w:start w:val="1"/>
    </w:lvl>
  </w:abstractNum>
  <w:abstractNum w:abstractNumId="282">
    <w:nsid w:val="53B2564F"/>
    <w:multiLevelType w:val="hybridMultilevel"/>
    <w:lvl w:ilvl="0">
      <w:lvlJc w:val="left"/>
      <w:lvlText w:val="%1."/>
      <w:numFmt w:val="upperLetter"/>
      <w:start w:val="1"/>
    </w:lvl>
  </w:abstractNum>
  <w:abstractNum w:abstractNumId="283">
    <w:nsid w:val="75509D76"/>
    <w:multiLevelType w:val="hybridMultilevel"/>
    <w:lvl w:ilvl="0">
      <w:lvlJc w:val="left"/>
      <w:lvlText w:val="%1."/>
      <w:numFmt w:val="decimal"/>
      <w:start w:val="1"/>
    </w:lvl>
  </w:abstractNum>
  <w:abstractNum w:abstractNumId="284">
    <w:nsid w:val="1AF7F0EA"/>
    <w:multiLevelType w:val="hybridMultilevel"/>
    <w:lvl w:ilvl="0">
      <w:lvlJc w:val="left"/>
      <w:lvlText w:val="%1."/>
      <w:numFmt w:val="decimal"/>
      <w:start w:val="3"/>
    </w:lvl>
  </w:abstractNum>
  <w:abstractNum w:abstractNumId="285">
    <w:nsid w:val="4DA32C7E"/>
    <w:multiLevelType w:val="hybridMultilevel"/>
    <w:lvl w:ilvl="0">
      <w:lvlJc w:val="left"/>
      <w:lvlText w:val="%1."/>
      <w:numFmt w:val="decimal"/>
      <w:start w:val="5"/>
    </w:lvl>
  </w:abstractNum>
  <w:abstractNum w:abstractNumId="286">
    <w:nsid w:val="6EC68664"/>
    <w:multiLevelType w:val="hybridMultilevel"/>
    <w:lvl w:ilvl="0">
      <w:lvlJc w:val="left"/>
      <w:lvlText w:val="%1."/>
      <w:numFmt w:val="upperLetter"/>
      <w:start w:val="1"/>
    </w:lvl>
  </w:abstractNum>
  <w:abstractNum w:abstractNumId="287">
    <w:nsid w:val="E0D31FF"/>
    <w:multiLevelType w:val="hybridMultilevel"/>
    <w:lvl w:ilvl="0">
      <w:lvlJc w:val="left"/>
      <w:lvlText w:val="\ldblquote"/>
      <w:numFmt w:val="bullet"/>
      <w:start w:val="1"/>
    </w:lvl>
  </w:abstractNum>
  <w:abstractNum w:abstractNumId="288">
    <w:nsid w:val="2FD0AD81"/>
    <w:multiLevelType w:val="hybridMultilevel"/>
    <w:lvl w:ilvl="0">
      <w:lvlJc w:val="left"/>
      <w:lvlText w:val="\ldblquote"/>
      <w:numFmt w:val="bullet"/>
      <w:start w:val="1"/>
    </w:lvl>
    <w:lvl w:ilvl="1">
      <w:lvlJc w:val="left"/>
      <w:lvlText w:val="(%2)"/>
      <w:numFmt w:val="lowerLetter"/>
      <w:start w:val="1"/>
    </w:lvl>
  </w:abstractNum>
  <w:abstractNum w:abstractNumId="289">
    <w:nsid w:val="1978EBEB"/>
    <w:multiLevelType w:val="hybridMultilevel"/>
    <w:lvl w:ilvl="0">
      <w:lvlJc w:val="left"/>
      <w:lvlText w:val="\ldblquote"/>
      <w:numFmt w:val="bullet"/>
      <w:start w:val="1"/>
    </w:lvl>
  </w:abstractNum>
  <w:abstractNum w:abstractNumId="290">
    <w:nsid w:val="52C12C61"/>
    <w:multiLevelType w:val="hybridMultilevel"/>
    <w:lvl w:ilvl="0">
      <w:lvlJc w:val="left"/>
      <w:lvlText w:val="\ldblquote"/>
      <w:numFmt w:val="bullet"/>
      <w:start w:val="1"/>
    </w:lvl>
  </w:abstractNum>
  <w:abstractNum w:abstractNumId="291">
    <w:nsid w:val="4BDD53FD"/>
    <w:multiLevelType w:val="hybridMultilevel"/>
    <w:lvl w:ilvl="0">
      <w:lvlJc w:val="left"/>
      <w:lvlText w:val="\ldblquote"/>
      <w:numFmt w:val="bullet"/>
      <w:start w:val="1"/>
    </w:lvl>
  </w:abstractNum>
  <w:abstractNum w:abstractNumId="292">
    <w:nsid w:val="569951FE"/>
    <w:multiLevelType w:val="hybridMultilevel"/>
    <w:lvl w:ilvl="0">
      <w:lvlJc w:val="left"/>
      <w:lvlText w:val="\ldblquote"/>
      <w:numFmt w:val="bullet"/>
      <w:start w:val="1"/>
    </w:lvl>
    <w:lvl w:ilvl="1">
      <w:lvlJc w:val="left"/>
      <w:lvlText w:val="(%2)"/>
      <w:numFmt w:val="lowerLetter"/>
      <w:start w:val="1"/>
    </w:lvl>
  </w:abstractNum>
  <w:abstractNum w:abstractNumId="293">
    <w:nsid w:val="4C54E2C3"/>
    <w:multiLevelType w:val="hybridMultilevel"/>
    <w:lvl w:ilvl="0">
      <w:lvlJc w:val="left"/>
      <w:lvlText w:val="(%1)"/>
      <w:numFmt w:val="lowerLetter"/>
      <w:start w:val="3"/>
    </w:lvl>
  </w:abstractNum>
  <w:abstractNum w:abstractNumId="294">
    <w:nsid w:val="788BD9B"/>
    <w:multiLevelType w:val="hybridMultilevel"/>
    <w:lvl w:ilvl="0">
      <w:lvlJc w:val="left"/>
      <w:lvlText w:val="\ldblquote"/>
      <w:numFmt w:val="bullet"/>
      <w:start w:val="1"/>
    </w:lvl>
  </w:abstractNum>
  <w:abstractNum w:abstractNumId="295">
    <w:nsid w:val="47CAA567"/>
    <w:multiLevelType w:val="hybridMultilevel"/>
    <w:lvl w:ilvl="0">
      <w:lvlJc w:val="left"/>
      <w:lvlText w:val="\ldblquote"/>
      <w:numFmt w:val="bullet"/>
      <w:start w:val="1"/>
    </w:lvl>
  </w:abstractNum>
  <w:abstractNum w:abstractNumId="296">
    <w:nsid w:val="48249DBF"/>
    <w:multiLevelType w:val="hybridMultilevel"/>
    <w:lvl w:ilvl="0">
      <w:lvlJc w:val="left"/>
      <w:lvlText w:val="\ldblquote"/>
      <w:numFmt w:val="bullet"/>
      <w:start w:val="1"/>
    </w:lvl>
  </w:abstractNum>
  <w:abstractNum w:abstractNumId="297">
    <w:nsid w:val="1F0E5D0D"/>
    <w:multiLevelType w:val="hybridMultilevel"/>
    <w:lvl w:ilvl="0">
      <w:lvlJc w:val="left"/>
      <w:lvlText w:val="\ldblquote"/>
      <w:numFmt w:val="bullet"/>
      <w:start w:val="1"/>
    </w:lvl>
  </w:abstractNum>
  <w:abstractNum w:abstractNumId="298">
    <w:nsid w:val="26BAAE9"/>
    <w:multiLevelType w:val="hybridMultilevel"/>
    <w:lvl w:ilvl="0">
      <w:lvlJc w:val="left"/>
      <w:lvlText w:val="\ldblquote"/>
      <w:numFmt w:val="bullet"/>
      <w:start w:val="1"/>
    </w:lvl>
  </w:abstractNum>
  <w:abstractNum w:abstractNumId="299">
    <w:nsid w:val="2C02FE8C"/>
    <w:multiLevelType w:val="hybridMultilevel"/>
    <w:lvl w:ilvl="0">
      <w:lvlJc w:val="left"/>
      <w:lvlText w:val="%1."/>
      <w:numFmt w:val="decimal"/>
      <w:start w:val="8"/>
    </w:lvl>
  </w:abstractNum>
  <w:abstractNum w:abstractNumId="300">
    <w:nsid w:val="129517E"/>
    <w:multiLevelType w:val="hybridMultilevel"/>
    <w:lvl w:ilvl="0">
      <w:lvlJc w:val="left"/>
      <w:lvlText w:val="(%1)"/>
      <w:numFmt w:val="lowerLetter"/>
      <w:start w:val="2"/>
    </w:lvl>
  </w:abstractNum>
  <w:abstractNum w:abstractNumId="301">
    <w:nsid w:val="763B8C4E"/>
    <w:multiLevelType w:val="hybridMultilevel"/>
    <w:lvl w:ilvl="0">
      <w:lvlJc w:val="left"/>
      <w:lvlText w:val="%1."/>
      <w:numFmt w:val="decimal"/>
      <w:start w:val="9"/>
    </w:lvl>
  </w:abstractNum>
  <w:abstractNum w:abstractNumId="302">
    <w:nsid w:val="4CFB8D32"/>
    <w:multiLevelType w:val="hybridMultilevel"/>
    <w:lvl w:ilvl="0">
      <w:lvlJc w:val="left"/>
      <w:lvlText w:val="%1."/>
      <w:numFmt w:val="decimal"/>
      <w:start w:val="10"/>
    </w:lvl>
  </w:abstractNum>
  <w:abstractNum w:abstractNumId="303">
    <w:nsid w:val="62A5D5BD"/>
    <w:multiLevelType w:val="hybridMultilevel"/>
    <w:lvl w:ilvl="0">
      <w:lvlJc w:val="left"/>
      <w:lvlText w:val="%1."/>
      <w:numFmt w:val="decimal"/>
      <w:start w:val="12"/>
    </w:lvl>
  </w:abstractNum>
  <w:abstractNum w:abstractNumId="304">
    <w:nsid w:val="718FABF9"/>
    <w:multiLevelType w:val="hybridMultilevel"/>
    <w:lvl w:ilvl="0">
      <w:lvlJc w:val="left"/>
      <w:lvlText w:val="%1."/>
      <w:numFmt w:val="decimal"/>
      <w:start w:val="1"/>
    </w:lvl>
  </w:abstractNum>
  <w:abstractNum w:abstractNumId="305">
    <w:nsid w:val="7775797C"/>
    <w:multiLevelType w:val="hybridMultilevel"/>
    <w:lvl w:ilvl="0">
      <w:lvlJc w:val="left"/>
      <w:lvlText w:val="*"/>
      <w:numFmt w:val="bullet"/>
      <w:start w:val="1"/>
    </w:lvl>
  </w:abstractNum>
  <w:abstractNum w:abstractNumId="306">
    <w:nsid w:val="1626FB8C"/>
    <w:multiLevelType w:val="hybridMultilevel"/>
    <w:lvl w:ilvl="0">
      <w:lvlJc w:val="left"/>
      <w:lvlText w:val="(%1)"/>
      <w:numFmt w:val="lowerLetter"/>
      <w:start w:val="1"/>
    </w:lvl>
  </w:abstractNum>
  <w:abstractNum w:abstractNumId="307">
    <w:nsid w:val="3957756A"/>
    <w:multiLevelType w:val="hybridMultilevel"/>
    <w:lvl w:ilvl="0">
      <w:lvlJc w:val="left"/>
      <w:lvlText w:val="(%1)"/>
      <w:numFmt w:val="lowerLetter"/>
      <w:start w:val="2"/>
    </w:lvl>
  </w:abstractNum>
  <w:abstractNum w:abstractNumId="308">
    <w:nsid w:val="3E6DA1C7"/>
    <w:multiLevelType w:val="hybridMultilevel"/>
    <w:lvl w:ilvl="0">
      <w:lvlJc w:val="left"/>
      <w:lvlText w:val="(%1)"/>
      <w:numFmt w:val="lowerLetter"/>
      <w:start w:val="2"/>
    </w:lvl>
  </w:abstractNum>
  <w:abstractNum w:abstractNumId="309">
    <w:nsid w:val="65CA235B"/>
    <w:multiLevelType w:val="hybridMultilevel"/>
    <w:lvl w:ilvl="0">
      <w:lvlJc w:val="left"/>
      <w:lvlText w:val="(%1)"/>
      <w:numFmt w:val="lowerLetter"/>
      <w:start w:val="1"/>
    </w:lvl>
  </w:abstractNum>
  <w:abstractNum w:abstractNumId="310">
    <w:nsid w:val="51CB0DA4"/>
    <w:multiLevelType w:val="hybridMultilevel"/>
    <w:lvl w:ilvl="0">
      <w:lvlJc w:val="left"/>
      <w:lvlText w:val="(%1)"/>
      <w:numFmt w:val="lowerLetter"/>
      <w:start w:val="3"/>
    </w:lvl>
  </w:abstractNum>
  <w:abstractNum w:abstractNumId="311">
    <w:nsid w:val="7B9B743C"/>
    <w:multiLevelType w:val="hybridMultilevel"/>
    <w:lvl w:ilvl="0">
      <w:lvlJc w:val="left"/>
      <w:lvlText w:val="%1."/>
      <w:numFmt w:val="decimal"/>
      <w:start w:val="4"/>
    </w:lvl>
  </w:abstractNum>
  <w:abstractNum w:abstractNumId="312">
    <w:nsid w:val="13E21002"/>
    <w:multiLevelType w:val="hybridMultilevel"/>
    <w:lvl w:ilvl="0">
      <w:lvlJc w:val="left"/>
      <w:lvlText w:val="(%1)"/>
      <w:numFmt w:val="lowerLetter"/>
      <w:start w:val="1"/>
    </w:lvl>
  </w:abstractNum>
  <w:abstractNum w:abstractNumId="313">
    <w:nsid w:val="257D63F4"/>
    <w:multiLevelType w:val="hybridMultilevel"/>
    <w:lvl w:ilvl="0">
      <w:lvlJc w:val="left"/>
      <w:lvlText w:val="(%1)"/>
      <w:numFmt w:val="lowerLetter"/>
      <w:start w:val="4"/>
    </w:lvl>
  </w:abstractNum>
  <w:abstractNum w:abstractNumId="314">
    <w:nsid w:val="70EC11B2"/>
    <w:multiLevelType w:val="hybridMultilevel"/>
    <w:lvl w:ilvl="0">
      <w:lvlJc w:val="left"/>
      <w:lvlText w:val="(%1)"/>
      <w:numFmt w:val="lowerLetter"/>
      <w:start w:val="1"/>
    </w:lvl>
    <w:lvl w:ilvl="1">
      <w:lvlJc w:val="left"/>
      <w:lvlText w:val="(%2)"/>
      <w:numFmt w:val="lowerRoman"/>
      <w:start w:val="1"/>
    </w:lvl>
  </w:abstractNum>
  <w:abstractNum w:abstractNumId="315">
    <w:nsid w:val="2EDA00ED"/>
    <w:multiLevelType w:val="hybridMultilevel"/>
    <w:lvl w:ilvl="0">
      <w:lvlJc w:val="left"/>
      <w:lvlText w:val="(%1)"/>
      <w:numFmt w:val="lowerRoman"/>
      <w:start w:val="4"/>
    </w:lvl>
  </w:abstractNum>
  <w:abstractNum w:abstractNumId="316">
    <w:nsid w:val="73209072"/>
    <w:multiLevelType w:val="hybridMultilevel"/>
    <w:lvl w:ilvl="0">
      <w:lvlJc w:val="left"/>
      <w:lvlText w:val="(%1)"/>
      <w:numFmt w:val="lowerLetter"/>
      <w:start w:val="2"/>
    </w:lvl>
    <w:lvl w:ilvl="1">
      <w:lvlJc w:val="left"/>
      <w:lvlText w:val="(%2)"/>
      <w:numFmt w:val="lowerRoman"/>
      <w:start w:val="1"/>
    </w:lvl>
  </w:abstractNum>
  <w:abstractNum w:abstractNumId="317">
    <w:nsid w:val="5FB29816"/>
    <w:multiLevelType w:val="hybridMultilevel"/>
    <w:lvl w:ilvl="0">
      <w:lvlJc w:val="left"/>
      <w:lvlText w:val="(%1)"/>
      <w:numFmt w:val="lowerLetter"/>
      <w:start w:val="4"/>
    </w:lvl>
  </w:abstractNum>
  <w:abstractNum w:abstractNumId="318">
    <w:nsid w:val="3CE732EC"/>
    <w:multiLevelType w:val="hybridMultilevel"/>
    <w:lvl w:ilvl="0">
      <w:lvlJc w:val="left"/>
      <w:lvlText w:val="(%1)"/>
      <w:numFmt w:val="lowerLetter"/>
      <w:start w:val="6"/>
    </w:lvl>
  </w:abstractNum>
  <w:abstractNum w:abstractNumId="319">
    <w:nsid w:val="22F13DF3"/>
    <w:multiLevelType w:val="hybridMultilevel"/>
    <w:lvl w:ilvl="0">
      <w:lvlJc w:val="left"/>
      <w:lvlText w:val="(%1)"/>
      <w:numFmt w:val="lowerLetter"/>
      <w:start w:val="1"/>
    </w:lvl>
  </w:abstractNum>
  <w:abstractNum w:abstractNumId="320">
    <w:nsid w:val="792B8401"/>
    <w:multiLevelType w:val="hybridMultilevel"/>
    <w:lvl w:ilvl="0">
      <w:lvlJc w:val="left"/>
      <w:lvlText w:val="(%1)"/>
      <w:numFmt w:val="lowerLetter"/>
      <w:start w:val="1"/>
    </w:lvl>
  </w:abstractNum>
  <w:abstractNum w:abstractNumId="321">
    <w:nsid w:val="FA85F4D"/>
    <w:multiLevelType w:val="hybridMultilevel"/>
    <w:lvl w:ilvl="0">
      <w:lvlJc w:val="left"/>
      <w:lvlText w:val="(%1)"/>
      <w:numFmt w:val="lowerLetter"/>
      <w:start w:val="1"/>
    </w:lvl>
  </w:abstractNum>
  <w:abstractNum w:abstractNumId="322">
    <w:nsid w:val="6ECE91F0"/>
    <w:multiLevelType w:val="hybridMultilevel"/>
    <w:lvl w:ilvl="0">
      <w:lvlJc w:val="left"/>
      <w:lvlText w:val="(%1)"/>
      <w:numFmt w:val="lowerLetter"/>
      <w:start w:val="1"/>
    </w:lvl>
  </w:abstractNum>
  <w:abstractNum w:abstractNumId="323">
    <w:nsid w:val="4FC4D600"/>
    <w:multiLevelType w:val="hybridMultilevel"/>
    <w:lvl w:ilvl="0">
      <w:lvlJc w:val="left"/>
      <w:lvlText w:val="(%1)"/>
      <w:numFmt w:val="lowerLetter"/>
      <w:start w:val="2"/>
    </w:lvl>
  </w:abstractNum>
  <w:abstractNum w:abstractNumId="324">
    <w:nsid w:val="5BFD4210"/>
    <w:multiLevelType w:val="hybridMultilevel"/>
    <w:lvl w:ilvl="0">
      <w:lvlJc w:val="left"/>
      <w:lvlText w:val="(%1)"/>
      <w:numFmt w:val="lowerLetter"/>
      <w:start w:val="1"/>
    </w:lvl>
  </w:abstractNum>
  <w:abstractNum w:abstractNumId="325">
    <w:nsid w:val="76574F8B"/>
    <w:multiLevelType w:val="hybridMultilevel"/>
    <w:lvl w:ilvl="0">
      <w:lvlJc w:val="left"/>
      <w:lvlText w:val="•"/>
      <w:numFmt w:val="bullet"/>
      <w:start w:val="1"/>
    </w:lvl>
  </w:abstractNum>
  <w:abstractNum w:abstractNumId="326">
    <w:nsid w:val="178F7B67"/>
    <w:multiLevelType w:val="hybridMultilevel"/>
    <w:lvl w:ilvl="0">
      <w:lvlJc w:val="left"/>
      <w:lvlText w:val="(%1)"/>
      <w:numFmt w:val="lowerLetter"/>
      <w:start w:val="1"/>
    </w:lvl>
  </w:abstractNum>
  <w:abstractNum w:abstractNumId="327">
    <w:nsid w:val="2421DFC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2020-06-26T23:09:43Z</dcterms:created>
  <dcterms:modified xsi:type="dcterms:W3CDTF">2020-06-26T23:09:43Z</dcterms:modified>
</cp:coreProperties>
</file>