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6"/>
          <w:szCs w:val="16"/>
          <w:b w:val="1"/>
          <w:bCs w:val="1"/>
          <w:color w:val="auto"/>
        </w:rPr>
        <w:t>As filed with the Securities and Exchange Commission on February 28, 2022</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96520</wp:posOffset>
            </wp:positionV>
            <wp:extent cx="1543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S-8</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REGISTRATION STATEMENT</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Under</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100330</wp:posOffset>
            </wp:positionV>
            <wp:extent cx="1543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39"/>
          <w:szCs w:val="39"/>
          <w:b w:val="1"/>
          <w:bCs w:val="1"/>
          <w:color w:val="auto"/>
        </w:rPr>
        <w:t>ALX ONCOLOGY HOLDINGS INC.</w:t>
      </w:r>
    </w:p>
    <w:p>
      <w:pPr>
        <w:spacing w:after="0" w:line="14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109220</wp:posOffset>
            </wp:positionV>
            <wp:extent cx="1543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66" w:lineRule="exact"/>
        <w:rPr>
          <w:sz w:val="24"/>
          <w:szCs w:val="24"/>
          <w:color w:val="auto"/>
        </w:rPr>
      </w:pPr>
    </w:p>
    <w:tbl>
      <w:tblPr>
        <w:tblLayout w:type="fixed"/>
        <w:tblInd w:w="1980" w:type="dxa"/>
        <w:tblCellMar>
          <w:top w:w="0" w:type="dxa"/>
          <w:left w:w="0" w:type="dxa"/>
          <w:bottom w:w="0" w:type="dxa"/>
          <w:right w:w="0" w:type="dxa"/>
        </w:tblCellMar>
      </w:tblPr>
      <w:tr>
        <w:trPr>
          <w:trHeight w:val="161"/>
        </w:trPr>
        <w:tc>
          <w:tcPr>
            <w:tcW w:w="3760" w:type="dxa"/>
            <w:vAlign w:val="bottom"/>
          </w:tcPr>
          <w:p>
            <w:pPr>
              <w:jc w:val="center"/>
              <w:ind w:right="2017"/>
              <w:spacing w:after="0"/>
              <w:rPr>
                <w:sz w:val="20"/>
                <w:szCs w:val="20"/>
                <w:color w:val="auto"/>
              </w:rPr>
            </w:pPr>
            <w:r>
              <w:rPr>
                <w:rFonts w:ascii="Arial" w:cs="Arial" w:eastAsia="Arial" w:hAnsi="Arial"/>
                <w:sz w:val="14"/>
                <w:szCs w:val="14"/>
                <w:b w:val="1"/>
                <w:bCs w:val="1"/>
                <w:color w:val="auto"/>
              </w:rPr>
              <w:t>Delaware</w:t>
            </w:r>
          </w:p>
        </w:tc>
        <w:tc>
          <w:tcPr>
            <w:tcW w:w="3300" w:type="dxa"/>
            <w:vAlign w:val="bottom"/>
          </w:tcPr>
          <w:p>
            <w:pPr>
              <w:jc w:val="center"/>
              <w:ind w:left="2016"/>
              <w:spacing w:after="0"/>
              <w:rPr>
                <w:sz w:val="20"/>
                <w:szCs w:val="20"/>
                <w:color w:val="auto"/>
              </w:rPr>
            </w:pPr>
            <w:r>
              <w:rPr>
                <w:rFonts w:ascii="Arial" w:cs="Arial" w:eastAsia="Arial" w:hAnsi="Arial"/>
                <w:sz w:val="14"/>
                <w:szCs w:val="14"/>
                <w:b w:val="1"/>
                <w:bCs w:val="1"/>
                <w:color w:val="auto"/>
              </w:rPr>
              <w:t>85-0642577</w:t>
            </w:r>
          </w:p>
        </w:tc>
      </w:tr>
      <w:tr>
        <w:trPr>
          <w:trHeight w:val="145"/>
        </w:trPr>
        <w:tc>
          <w:tcPr>
            <w:tcW w:w="3760" w:type="dxa"/>
            <w:vAlign w:val="bottom"/>
          </w:tcPr>
          <w:p>
            <w:pPr>
              <w:jc w:val="center"/>
              <w:ind w:right="2017"/>
              <w:spacing w:after="0"/>
              <w:rPr>
                <w:sz w:val="20"/>
                <w:szCs w:val="20"/>
                <w:color w:val="auto"/>
              </w:rPr>
            </w:pPr>
            <w:r>
              <w:rPr>
                <w:rFonts w:ascii="Arial" w:cs="Arial" w:eastAsia="Arial" w:hAnsi="Arial"/>
                <w:sz w:val="12"/>
                <w:szCs w:val="12"/>
                <w:b w:val="1"/>
                <w:bCs w:val="1"/>
                <w:color w:val="auto"/>
                <w:w w:val="97"/>
              </w:rPr>
              <w:t>(State or other jurisdiction of</w:t>
            </w:r>
          </w:p>
        </w:tc>
        <w:tc>
          <w:tcPr>
            <w:tcW w:w="3300" w:type="dxa"/>
            <w:vAlign w:val="bottom"/>
          </w:tcPr>
          <w:p>
            <w:pPr>
              <w:jc w:val="center"/>
              <w:ind w:left="2016"/>
              <w:spacing w:after="0" w:line="146" w:lineRule="exact"/>
              <w:rPr>
                <w:sz w:val="20"/>
                <w:szCs w:val="20"/>
                <w:color w:val="auto"/>
              </w:rPr>
            </w:pPr>
            <w:r>
              <w:rPr>
                <w:rFonts w:ascii="Arial" w:cs="Arial" w:eastAsia="Arial" w:hAnsi="Arial"/>
                <w:sz w:val="13"/>
                <w:szCs w:val="13"/>
                <w:b w:val="1"/>
                <w:bCs w:val="1"/>
                <w:color w:val="auto"/>
                <w:w w:val="98"/>
              </w:rPr>
              <w:t>(I.R.S. Employer</w:t>
            </w:r>
          </w:p>
        </w:tc>
      </w:tr>
      <w:tr>
        <w:trPr>
          <w:trHeight w:val="154"/>
        </w:trPr>
        <w:tc>
          <w:tcPr>
            <w:tcW w:w="3760" w:type="dxa"/>
            <w:vAlign w:val="bottom"/>
          </w:tcPr>
          <w:p>
            <w:pPr>
              <w:jc w:val="center"/>
              <w:ind w:right="2017"/>
              <w:spacing w:after="0"/>
              <w:rPr>
                <w:sz w:val="20"/>
                <w:szCs w:val="20"/>
                <w:color w:val="auto"/>
              </w:rPr>
            </w:pPr>
            <w:r>
              <w:rPr>
                <w:rFonts w:ascii="Arial" w:cs="Arial" w:eastAsia="Arial" w:hAnsi="Arial"/>
                <w:sz w:val="12"/>
                <w:szCs w:val="12"/>
                <w:b w:val="1"/>
                <w:bCs w:val="1"/>
                <w:color w:val="auto"/>
                <w:w w:val="98"/>
              </w:rPr>
              <w:t>incorporation or organization)</w:t>
            </w:r>
          </w:p>
        </w:tc>
        <w:tc>
          <w:tcPr>
            <w:tcW w:w="3300" w:type="dxa"/>
            <w:vAlign w:val="bottom"/>
          </w:tcPr>
          <w:p>
            <w:pPr>
              <w:jc w:val="center"/>
              <w:ind w:left="2036"/>
              <w:spacing w:after="0"/>
              <w:rPr>
                <w:sz w:val="20"/>
                <w:szCs w:val="20"/>
                <w:color w:val="auto"/>
              </w:rPr>
            </w:pPr>
            <w:r>
              <w:rPr>
                <w:rFonts w:ascii="Arial" w:cs="Arial" w:eastAsia="Arial" w:hAnsi="Arial"/>
                <w:sz w:val="12"/>
                <w:szCs w:val="12"/>
                <w:b w:val="1"/>
                <w:bCs w:val="1"/>
                <w:color w:val="auto"/>
                <w:w w:val="97"/>
              </w:rPr>
              <w:t>Identification Number</w:t>
            </w:r>
          </w:p>
        </w:tc>
      </w:tr>
    </w:tbl>
    <w:p>
      <w:pPr>
        <w:spacing w:after="0" w:line="9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323 Allerton Avenue</w:t>
      </w:r>
    </w:p>
    <w:p>
      <w:pPr>
        <w:spacing w:after="0" w:line="25"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auto"/>
        </w:rPr>
        <w:t>South San Francisco, California 94080</w:t>
      </w:r>
    </w:p>
    <w:p>
      <w:pPr>
        <w:spacing w:after="0" w:line="5" w:lineRule="exact"/>
        <w:rPr>
          <w:sz w:val="24"/>
          <w:szCs w:val="24"/>
          <w:color w:val="auto"/>
        </w:rPr>
      </w:pPr>
    </w:p>
    <w:p>
      <w:pPr>
        <w:ind w:left="3360"/>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9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Amended and Restated 2020 Equity Incentive Plan</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2020 Employee Stock Purchase Plan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(Full title of the plan)</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Jaume Pons, Ph.D.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ALX Oncology Holdings Inc.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323 Allerton Avenue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South San Francisco, California 94080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650-466-7125</w:t>
      </w:r>
    </w:p>
    <w:p>
      <w:pPr>
        <w:jc w:val="center"/>
        <w:spacing w:after="0"/>
        <w:rPr>
          <w:sz w:val="20"/>
          <w:szCs w:val="20"/>
          <w:color w:val="auto"/>
        </w:rPr>
      </w:pPr>
      <w:r>
        <w:rPr>
          <w:rFonts w:ascii="Arial" w:cs="Arial" w:eastAsia="Arial" w:hAnsi="Arial"/>
          <w:sz w:val="13"/>
          <w:szCs w:val="13"/>
          <w:b w:val="1"/>
          <w:bCs w:val="1"/>
          <w:color w:val="auto"/>
        </w:rPr>
        <w:t>(Name, address and telephone number, including area code, of agent for service)</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Copies to:</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Kenneth A. Clark</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Michael E. Coke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Christina L. Poulsen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Wilson Sonsini Goodrich &amp; Rosati, P.C.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650 Page Mill Road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Palo Alto, California 94304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650-493-9300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96520</wp:posOffset>
            </wp:positionV>
            <wp:extent cx="1543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55" w:lineRule="exact"/>
        <w:rPr>
          <w:sz w:val="24"/>
          <w:szCs w:val="24"/>
          <w:color w:val="auto"/>
        </w:rPr>
      </w:pPr>
    </w:p>
    <w:p>
      <w:pPr>
        <w:ind w:right="1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180" w:type="dxa"/>
        <w:tblCellMar>
          <w:top w:w="0" w:type="dxa"/>
          <w:left w:w="0" w:type="dxa"/>
          <w:bottom w:w="0" w:type="dxa"/>
          <w:right w:w="0" w:type="dxa"/>
        </w:tblCellMar>
      </w:tblPr>
      <w:tr>
        <w:trPr>
          <w:trHeight w:val="254"/>
        </w:trPr>
        <w:tc>
          <w:tcPr>
            <w:tcW w:w="22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88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2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88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2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98" w:lineRule="exact"/>
        <w:rPr>
          <w:sz w:val="24"/>
          <w:szCs w:val="24"/>
          <w:color w:val="auto"/>
        </w:rPr>
      </w:pPr>
    </w:p>
    <w:p>
      <w:pPr>
        <w:ind w:right="3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934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6934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597535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INFORMATION REQUIRED IN THE PROSPECTUS</w:t>
      </w:r>
    </w:p>
    <w:p>
      <w:pPr>
        <w:spacing w:after="0" w:line="214" w:lineRule="exact"/>
        <w:rPr>
          <w:sz w:val="20"/>
          <w:szCs w:val="20"/>
          <w:color w:val="auto"/>
        </w:rPr>
      </w:pPr>
    </w:p>
    <w:p>
      <w:pPr>
        <w:ind w:right="160" w:firstLine="446"/>
        <w:spacing w:after="0" w:line="251" w:lineRule="auto"/>
        <w:rPr>
          <w:sz w:val="20"/>
          <w:szCs w:val="20"/>
          <w:color w:val="auto"/>
        </w:rPr>
      </w:pPr>
      <w:r>
        <w:rPr>
          <w:rFonts w:ascii="Arial" w:cs="Arial" w:eastAsia="Arial" w:hAnsi="Arial"/>
          <w:sz w:val="16"/>
          <w:szCs w:val="16"/>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INFORMATION REQUIRED IN REGISTRATION STATEMENT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Incorporation of Documents by Reference.</w:t>
      </w:r>
    </w:p>
    <w:p>
      <w:pPr>
        <w:spacing w:after="0" w:line="133" w:lineRule="exact"/>
        <w:rPr>
          <w:sz w:val="20"/>
          <w:szCs w:val="20"/>
          <w:color w:val="auto"/>
        </w:rPr>
      </w:pPr>
    </w:p>
    <w:p>
      <w:pPr>
        <w:ind w:right="960" w:firstLine="426"/>
        <w:spacing w:after="0" w:line="260" w:lineRule="auto"/>
        <w:rPr>
          <w:sz w:val="20"/>
          <w:szCs w:val="20"/>
          <w:color w:val="auto"/>
        </w:rPr>
      </w:pPr>
      <w:r>
        <w:rPr>
          <w:rFonts w:ascii="Arial" w:cs="Arial" w:eastAsia="Arial" w:hAnsi="Arial"/>
          <w:sz w:val="16"/>
          <w:szCs w:val="16"/>
          <w:color w:val="auto"/>
        </w:rPr>
        <w:t>ALX Oncology Holdings Inc. (the “Registrant”) hereby incorporates by reference into this Registration Statement the following documents previously filed with the Securities and Exchange Commission (the “Commission”):</w:t>
      </w:r>
    </w:p>
    <w:p>
      <w:pPr>
        <w:spacing w:after="0" w:line="114" w:lineRule="exact"/>
        <w:rPr>
          <w:sz w:val="20"/>
          <w:szCs w:val="20"/>
          <w:color w:val="auto"/>
        </w:rPr>
      </w:pPr>
    </w:p>
    <w:p>
      <w:pPr>
        <w:ind w:left="1280" w:hanging="827"/>
        <w:spacing w:after="0"/>
        <w:tabs>
          <w:tab w:leader="none" w:pos="1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w:t>
      </w:r>
      <w:hyperlink r:id="rId17">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2021, filed with the Commission on February 28,</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2022;</w:t>
      </w:r>
    </w:p>
    <w:p>
      <w:pPr>
        <w:spacing w:after="0" w:line="221" w:lineRule="exact"/>
        <w:rPr>
          <w:sz w:val="20"/>
          <w:szCs w:val="20"/>
          <w:color w:val="auto"/>
        </w:rPr>
      </w:pPr>
    </w:p>
    <w:p>
      <w:pPr>
        <w:jc w:val="both"/>
        <w:ind w:right="140" w:firstLine="445"/>
        <w:spacing w:after="0" w:line="253" w:lineRule="auto"/>
        <w:tabs>
          <w:tab w:leader="none" w:pos="1247"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other reports filed pursuant to Section 13(a) or 15(d) of the Securities Exchange Act of 1934, as amended (the “Exchange Act”) since the end of the fiscal year covered by the Registrant’s Annual Report referred to in (1) above (other than the portions of these documents not deemed to be filed); and</w:t>
      </w:r>
    </w:p>
    <w:p>
      <w:pPr>
        <w:spacing w:after="0" w:line="214" w:lineRule="exact"/>
        <w:rPr>
          <w:rFonts w:ascii="Arial" w:cs="Arial" w:eastAsia="Arial" w:hAnsi="Arial"/>
          <w:sz w:val="16"/>
          <w:szCs w:val="16"/>
          <w:color w:val="auto"/>
        </w:rPr>
      </w:pPr>
    </w:p>
    <w:p>
      <w:pPr>
        <w:ind w:right="160" w:firstLine="453"/>
        <w:spacing w:after="0" w:line="253" w:lineRule="auto"/>
        <w:tabs>
          <w:tab w:leader="none" w:pos="125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contained in the Company’s Registration Statement on </w:t>
      </w:r>
      <w:hyperlink r:id="rId18">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 No. 001-39386) filed with the Commission on July 13, 2020, pursuant to Section 12(b) of the Exchange Act, including any amendment or report filed for the purpose of updating such description.</w:t>
      </w:r>
    </w:p>
    <w:p>
      <w:pPr>
        <w:spacing w:after="0" w:line="215" w:lineRule="exact"/>
        <w:rPr>
          <w:sz w:val="20"/>
          <w:szCs w:val="20"/>
          <w:color w:val="auto"/>
        </w:rPr>
      </w:pPr>
    </w:p>
    <w:p>
      <w:pPr>
        <w:ind w:right="80" w:firstLine="445"/>
        <w:spacing w:after="0" w:line="250" w:lineRule="auto"/>
        <w:rPr>
          <w:sz w:val="20"/>
          <w:szCs w:val="20"/>
          <w:color w:val="auto"/>
        </w:rPr>
      </w:pPr>
      <w:r>
        <w:rPr>
          <w:rFonts w:ascii="Arial" w:cs="Arial" w:eastAsia="Arial" w:hAnsi="Arial"/>
          <w:sz w:val="16"/>
          <w:szCs w:val="16"/>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documents or information deemed to have been furnished and not filed in accordance with the rules of the Commission shall not be deemed incorporated by reference into this Registration Statement.</w:t>
      </w:r>
    </w:p>
    <w:p>
      <w:pPr>
        <w:spacing w:after="0" w:line="216" w:lineRule="exact"/>
        <w:rPr>
          <w:sz w:val="20"/>
          <w:szCs w:val="20"/>
          <w:color w:val="auto"/>
        </w:rPr>
      </w:pPr>
    </w:p>
    <w:p>
      <w:pPr>
        <w:ind w:right="100" w:firstLine="442"/>
        <w:spacing w:after="0" w:line="251"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Description of Securities.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Interests of Named Experts and Counsel.</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Indemnification of Directors and Officers.</w:t>
      </w:r>
    </w:p>
    <w:p>
      <w:pPr>
        <w:spacing w:after="0" w:line="133" w:lineRule="exact"/>
        <w:rPr>
          <w:sz w:val="20"/>
          <w:szCs w:val="20"/>
          <w:color w:val="auto"/>
        </w:rPr>
      </w:pPr>
    </w:p>
    <w:p>
      <w:pPr>
        <w:ind w:firstLine="447"/>
        <w:spacing w:after="0" w:line="250" w:lineRule="auto"/>
        <w:rPr>
          <w:sz w:val="20"/>
          <w:szCs w:val="20"/>
          <w:color w:val="auto"/>
        </w:rPr>
      </w:pPr>
      <w:r>
        <w:rPr>
          <w:rFonts w:ascii="Arial" w:cs="Arial" w:eastAsia="Arial" w:hAnsi="Arial"/>
          <w:sz w:val="16"/>
          <w:szCs w:val="16"/>
          <w:color w:val="auto"/>
        </w:rPr>
        <w:t>Section 145 of the Delaware General Corporation Law authorizes a corporation’s board of directors to grant, and authorizes a court to award, indemnity to officers, directors, and other corporate agents, provided that the person acted in good faith and in a manner the person reasonably believed to be in the corporation’s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 w:name="page3"/>
    <w:bookmarkEnd w:id="2"/>
    <w:p>
      <w:pPr>
        <w:ind w:right="380" w:firstLine="433"/>
        <w:spacing w:after="0" w:line="251" w:lineRule="auto"/>
        <w:rPr>
          <w:sz w:val="20"/>
          <w:szCs w:val="20"/>
          <w:color w:val="auto"/>
        </w:rPr>
      </w:pPr>
      <w:r>
        <w:rPr>
          <w:rFonts w:ascii="Arial" w:cs="Arial" w:eastAsia="Arial" w:hAnsi="Arial"/>
          <w:sz w:val="16"/>
          <w:szCs w:val="16"/>
          <w:color w:val="auto"/>
        </w:rPr>
        <w:t>The Registrant’s amended and restated certificate of incorporation to be in effect upon the completion of this offering contains provisions that limit the liability of its directors for monetary damages to the fullest extent permitted by the Delaware General Corporation Law. Consequently, the Registrant’s directors will not be personally liable to the Registrant or its stockholders for monetary damages for any breach of fiduciary duties as directors, except liability for the following:</w:t>
      </w:r>
    </w:p>
    <w:p>
      <w:pPr>
        <w:spacing w:after="0" w:line="216" w:lineRule="exact"/>
        <w:rPr>
          <w:sz w:val="20"/>
          <w:szCs w:val="20"/>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breach of their duty of loyalty to the Registrant or its stockholders;</w:t>
      </w:r>
    </w:p>
    <w:p>
      <w:pPr>
        <w:spacing w:after="0" w:line="234"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act or omission not in good faith or that involves intentional misconduct or a knowing violation of law;</w:t>
      </w:r>
    </w:p>
    <w:p>
      <w:pPr>
        <w:spacing w:after="0" w:line="234" w:lineRule="exact"/>
        <w:rPr>
          <w:rFonts w:ascii="Arial" w:cs="Arial" w:eastAsia="Arial" w:hAnsi="Arial"/>
          <w:sz w:val="16"/>
          <w:szCs w:val="16"/>
          <w:color w:val="auto"/>
        </w:rPr>
      </w:pPr>
    </w:p>
    <w:p>
      <w:pPr>
        <w:ind w:left="980" w:right="920" w:hanging="540"/>
        <w:spacing w:after="0" w:line="260"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unlawful payments of dividends or unlawful stock repurchases or redemptions as provided in Section 174 of the Delaware General Corporation Law; or</w:t>
      </w:r>
    </w:p>
    <w:p>
      <w:pPr>
        <w:spacing w:after="0" w:line="208" w:lineRule="exact"/>
        <w:rPr>
          <w:rFonts w:ascii="Arial" w:cs="Arial" w:eastAsia="Arial" w:hAnsi="Arial"/>
          <w:sz w:val="16"/>
          <w:szCs w:val="16"/>
          <w:color w:val="auto"/>
        </w:rPr>
      </w:pPr>
    </w:p>
    <w:p>
      <w:pPr>
        <w:ind w:left="980" w:hanging="54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transaction from which they derived an improper personal benefit.</w:t>
      </w:r>
    </w:p>
    <w:p>
      <w:pPr>
        <w:spacing w:after="0" w:line="235" w:lineRule="exact"/>
        <w:rPr>
          <w:sz w:val="20"/>
          <w:szCs w:val="20"/>
          <w:color w:val="auto"/>
        </w:rPr>
      </w:pPr>
    </w:p>
    <w:p>
      <w:pPr>
        <w:ind w:right="180" w:firstLine="441"/>
        <w:spacing w:after="0" w:line="251"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148" w:lineRule="exact"/>
        <w:rPr>
          <w:sz w:val="20"/>
          <w:szCs w:val="20"/>
          <w:color w:val="auto"/>
        </w:rPr>
      </w:pPr>
    </w:p>
    <w:p>
      <w:pPr>
        <w:ind w:firstLine="448"/>
        <w:spacing w:after="0" w:line="248" w:lineRule="auto"/>
        <w:rPr>
          <w:sz w:val="20"/>
          <w:szCs w:val="20"/>
          <w:color w:val="auto"/>
        </w:rPr>
      </w:pPr>
      <w:r>
        <w:rPr>
          <w:rFonts w:ascii="Arial" w:cs="Arial" w:eastAsia="Arial" w:hAnsi="Arial"/>
          <w:sz w:val="16"/>
          <w:szCs w:val="16"/>
          <w:color w:val="auto"/>
        </w:rPr>
        <w:t>In addition, the Registrant’s amended and restated bylaws provide that the Registrant will indemnify, to the fullest extent permitted by law, any person who is or was a party or is threatened to be made a party to any action, suit, or proceeding by reason of the fact that they are or were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also provide that the Registrant must advance expenses incurred by or on behalf of a director or officer in advance of the final disposition of any action or proceeding, subject to limited exceptions.</w:t>
      </w:r>
    </w:p>
    <w:p>
      <w:pPr>
        <w:spacing w:after="0" w:line="221" w:lineRule="exact"/>
        <w:rPr>
          <w:sz w:val="20"/>
          <w:szCs w:val="20"/>
          <w:color w:val="auto"/>
        </w:rPr>
      </w:pPr>
    </w:p>
    <w:p>
      <w:pPr>
        <w:ind w:left="20" w:right="200" w:firstLine="531"/>
        <w:spacing w:after="0" w:line="248" w:lineRule="auto"/>
        <w:rPr>
          <w:sz w:val="20"/>
          <w:szCs w:val="20"/>
          <w:color w:val="auto"/>
        </w:rPr>
      </w:pPr>
      <w:r>
        <w:rPr>
          <w:rFonts w:ascii="Arial" w:cs="Arial" w:eastAsia="Arial" w:hAnsi="Arial"/>
          <w:sz w:val="16"/>
          <w:szCs w:val="16"/>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amended and restated certificate of incorporation to be in effect upon the completion of this offering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219" w:lineRule="exact"/>
        <w:rPr>
          <w:sz w:val="20"/>
          <w:szCs w:val="20"/>
          <w:color w:val="auto"/>
        </w:rPr>
      </w:pPr>
    </w:p>
    <w:p>
      <w:pPr>
        <w:ind w:left="20" w:right="60" w:firstLine="446"/>
        <w:spacing w:after="0" w:line="250" w:lineRule="auto"/>
        <w:rPr>
          <w:sz w:val="20"/>
          <w:szCs w:val="20"/>
          <w:color w:val="auto"/>
        </w:rPr>
      </w:pPr>
      <w:r>
        <w:rPr>
          <w:rFonts w:ascii="Arial" w:cs="Arial" w:eastAsia="Arial" w:hAnsi="Arial"/>
          <w:sz w:val="16"/>
          <w:szCs w:val="16"/>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216" w:lineRule="exact"/>
        <w:rPr>
          <w:sz w:val="20"/>
          <w:szCs w:val="20"/>
          <w:color w:val="auto"/>
        </w:rPr>
      </w:pPr>
    </w:p>
    <w:p>
      <w:pPr>
        <w:ind w:left="20" w:right="20" w:firstLine="446"/>
        <w:spacing w:after="0" w:line="251" w:lineRule="auto"/>
        <w:rPr>
          <w:sz w:val="20"/>
          <w:szCs w:val="20"/>
          <w:color w:val="auto"/>
        </w:rPr>
      </w:pPr>
      <w:r>
        <w:rPr>
          <w:rFonts w:ascii="Arial" w:cs="Arial" w:eastAsia="Arial" w:hAnsi="Arial"/>
          <w:sz w:val="16"/>
          <w:szCs w:val="16"/>
          <w:color w:val="auto"/>
        </w:rPr>
        <w:t>Further, as permitted by the Delaware General Corporation Law, the Registrant has entered into separate indemnification agreements with each of its directors and certain executive officers that may be broader than the specific indemnification provisions contained in the Delaware General Corporation Law. These indemnification agreements require the Registrant, among other things, to indemnify its directors and executive officers against certain liabilities that may arise by reason of their status or service.</w:t>
      </w:r>
    </w:p>
    <w:p>
      <w:pPr>
        <w:spacing w:after="0" w:line="148" w:lineRule="exact"/>
        <w:rPr>
          <w:sz w:val="20"/>
          <w:szCs w:val="20"/>
          <w:color w:val="auto"/>
        </w:rPr>
      </w:pPr>
    </w:p>
    <w:p>
      <w:pPr>
        <w:ind w:left="20" w:right="120" w:firstLine="448"/>
        <w:spacing w:after="0" w:line="249" w:lineRule="auto"/>
        <w:rPr>
          <w:sz w:val="20"/>
          <w:szCs w:val="20"/>
          <w:color w:val="auto"/>
        </w:rPr>
      </w:pPr>
      <w:r>
        <w:rPr>
          <w:rFonts w:ascii="Arial" w:cs="Arial" w:eastAsia="Arial" w:hAnsi="Arial"/>
          <w:sz w:val="16"/>
          <w:szCs w:val="16"/>
          <w:color w:val="auto"/>
        </w:rPr>
        <w:t>The Registrant has obtained insurance policies under which, within the limits and subject to the limitations of the policies, coverage is provided to the Registrant’s directors and executive officers against certain expenses in connection with the defense of, and certain liabilities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 The coverage provided by these policies may apply whether or not the Registrant would have the power to indemnify such person against such liability under the provisions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00" w:right="359" w:bottom="1440" w:gutter="0" w:footer="0" w:header="0"/>
        </w:sectPr>
      </w:pPr>
    </w:p>
    <w:bookmarkStart w:id="3" w:name="page4"/>
    <w:bookmarkEnd w:id="3"/>
    <w:p>
      <w:pPr>
        <w:ind w:left="20" w:right="480" w:firstLine="428"/>
        <w:spacing w:after="0" w:line="253" w:lineRule="auto"/>
        <w:rPr>
          <w:sz w:val="20"/>
          <w:szCs w:val="20"/>
          <w:color w:val="auto"/>
        </w:rPr>
      </w:pPr>
      <w:r>
        <w:rPr>
          <w:rFonts w:ascii="Arial" w:cs="Arial" w:eastAsia="Arial" w:hAnsi="Arial"/>
          <w:sz w:val="16"/>
          <w:szCs w:val="16"/>
          <w:color w:val="auto"/>
        </w:rPr>
        <w:t>These indemnification provisions and the indemnification agreements entered into between the Registrant and the Registrant’s directors and executive officers may be sufficiently broad to permit indemnification of the Registrant’s directors and executive officers for liabilities (including reimbursement of expenses incurred) arising under the Securities Act.</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7. Exemption from Registration Claimed.</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8. Exhibits.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117" w:lineRule="exact"/>
        <w:rPr>
          <w:sz w:val="20"/>
          <w:szCs w:val="20"/>
          <w:color w:val="auto"/>
        </w:rPr>
      </w:pPr>
    </w:p>
    <w:p>
      <w:pPr>
        <w:spacing w:after="0"/>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4.1(1)</w:t>
      </w:r>
      <w:r>
        <w:rPr>
          <w:sz w:val="20"/>
          <w:szCs w:val="20"/>
          <w:color w:val="auto"/>
        </w:rPr>
        <w:tab/>
      </w:r>
      <w:hyperlink r:id="rId21">
        <w:r>
          <w:rPr>
            <w:rFonts w:ascii="Arial" w:cs="Arial" w:eastAsia="Arial" w:hAnsi="Arial"/>
            <w:sz w:val="17"/>
            <w:szCs w:val="17"/>
            <w:u w:val="single" w:color="auto"/>
            <w:color w:val="0000EE"/>
          </w:rPr>
          <w:t>Specimen common stock certificate of the Registrant.</w:t>
        </w:r>
      </w:hyperlink>
    </w:p>
    <w:p>
      <w:pPr>
        <w:spacing w:after="0" w:line="117" w:lineRule="exact"/>
        <w:rPr>
          <w:sz w:val="20"/>
          <w:szCs w:val="20"/>
          <w:color w:val="auto"/>
        </w:rPr>
      </w:pPr>
    </w:p>
    <w:p>
      <w:pPr>
        <w:spacing w:after="0"/>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4.2(2)</w:t>
      </w:r>
      <w:r>
        <w:rPr>
          <w:sz w:val="20"/>
          <w:szCs w:val="20"/>
          <w:color w:val="auto"/>
        </w:rPr>
        <w:tab/>
      </w:r>
      <w:hyperlink r:id="rId22">
        <w:r>
          <w:rPr>
            <w:rFonts w:ascii="Arial" w:cs="Arial" w:eastAsia="Arial" w:hAnsi="Arial"/>
            <w:sz w:val="17"/>
            <w:szCs w:val="17"/>
            <w:u w:val="single" w:color="auto"/>
            <w:color w:val="0000EE"/>
          </w:rPr>
          <w:t>Amended and Restated 2020 Equity Incentive Plan and forms of agreements thereunder.</w:t>
        </w:r>
      </w:hyperlink>
    </w:p>
    <w:p>
      <w:pPr>
        <w:spacing w:after="0" w:line="117" w:lineRule="exact"/>
        <w:rPr>
          <w:sz w:val="20"/>
          <w:szCs w:val="20"/>
          <w:color w:val="auto"/>
        </w:rPr>
      </w:pPr>
    </w:p>
    <w:p>
      <w:pPr>
        <w:spacing w:after="0"/>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4.3(3)</w:t>
      </w:r>
      <w:r>
        <w:rPr>
          <w:sz w:val="20"/>
          <w:szCs w:val="20"/>
          <w:color w:val="auto"/>
        </w:rPr>
        <w:tab/>
      </w:r>
      <w:hyperlink r:id="rId23">
        <w:r>
          <w:rPr>
            <w:rFonts w:ascii="Arial" w:cs="Arial" w:eastAsia="Arial" w:hAnsi="Arial"/>
            <w:sz w:val="17"/>
            <w:szCs w:val="17"/>
            <w:u w:val="single" w:color="auto"/>
            <w:color w:val="0000EE"/>
          </w:rPr>
          <w:t>2020 Employee Stock Purchase Plan.</w:t>
        </w:r>
      </w:hyperlink>
    </w:p>
    <w:p>
      <w:pPr>
        <w:spacing w:after="0" w:line="117" w:lineRule="exact"/>
        <w:rPr>
          <w:sz w:val="20"/>
          <w:szCs w:val="20"/>
          <w:color w:val="auto"/>
        </w:rPr>
      </w:pPr>
    </w:p>
    <w:p>
      <w:pPr>
        <w:spacing w:after="0"/>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5.1</w:t>
      </w:r>
      <w:r>
        <w:rPr>
          <w:sz w:val="20"/>
          <w:szCs w:val="20"/>
          <w:color w:val="auto"/>
        </w:rPr>
        <w:tab/>
      </w:r>
      <w:hyperlink w:anchor="page7">
        <w:r>
          <w:rPr>
            <w:rFonts w:ascii="Arial" w:cs="Arial" w:eastAsia="Arial" w:hAnsi="Arial"/>
            <w:sz w:val="17"/>
            <w:szCs w:val="17"/>
            <w:u w:val="single" w:color="auto"/>
            <w:color w:val="0000EE"/>
          </w:rPr>
          <w:t>Opinion of Wilson Sonsini Goodrich &amp; Rosati, P.C.</w:t>
        </w:r>
      </w:hyperlink>
    </w:p>
    <w:p>
      <w:pPr>
        <w:spacing w:after="0" w:line="117" w:lineRule="exact"/>
        <w:rPr>
          <w:sz w:val="20"/>
          <w:szCs w:val="20"/>
          <w:color w:val="auto"/>
        </w:rPr>
      </w:pPr>
    </w:p>
    <w:p>
      <w:pPr>
        <w:spacing w:after="0"/>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23.1</w:t>
      </w:r>
      <w:r>
        <w:rPr>
          <w:sz w:val="20"/>
          <w:szCs w:val="20"/>
          <w:color w:val="auto"/>
        </w:rPr>
        <w:tab/>
      </w:r>
      <w:hyperlink w:anchor="page8">
        <w:r>
          <w:rPr>
            <w:rFonts w:ascii="Arial" w:cs="Arial" w:eastAsia="Arial" w:hAnsi="Arial"/>
            <w:sz w:val="17"/>
            <w:szCs w:val="17"/>
            <w:u w:val="single" w:color="auto"/>
            <w:color w:val="0000EE"/>
          </w:rPr>
          <w:t>Consent of KPMG LLP, Independent Registered Public Accounting Firm.</w:t>
        </w:r>
      </w:hyperlink>
    </w:p>
    <w:p>
      <w:pPr>
        <w:spacing w:after="0" w:line="117" w:lineRule="exact"/>
        <w:rPr>
          <w:sz w:val="20"/>
          <w:szCs w:val="20"/>
          <w:color w:val="auto"/>
        </w:rPr>
      </w:pPr>
    </w:p>
    <w:p>
      <w:pPr>
        <w:spacing w:after="0"/>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23.2</w:t>
      </w:r>
      <w:r>
        <w:rPr>
          <w:sz w:val="20"/>
          <w:szCs w:val="20"/>
          <w:color w:val="auto"/>
        </w:rPr>
        <w:tab/>
      </w:r>
      <w:hyperlink w:anchor="page7">
        <w:r>
          <w:rPr>
            <w:rFonts w:ascii="Arial" w:cs="Arial" w:eastAsia="Arial" w:hAnsi="Arial"/>
            <w:sz w:val="17"/>
            <w:szCs w:val="17"/>
            <w:u w:val="single" w:color="auto"/>
            <w:color w:val="0000EE"/>
          </w:rPr>
          <w:t>Consent of Wilson Sonsini Goodrich &amp; Rosati, Professional Corporation (included in Exhibit 5.1).</w:t>
        </w:r>
      </w:hyperlink>
    </w:p>
    <w:p>
      <w:pPr>
        <w:spacing w:after="0" w:line="117" w:lineRule="exact"/>
        <w:rPr>
          <w:sz w:val="20"/>
          <w:szCs w:val="20"/>
          <w:color w:val="auto"/>
        </w:rPr>
      </w:pPr>
    </w:p>
    <w:p>
      <w:pPr>
        <w:spacing w:after="0"/>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24.1</w:t>
      </w:r>
      <w:r>
        <w:rPr>
          <w:sz w:val="20"/>
          <w:szCs w:val="20"/>
          <w:color w:val="auto"/>
        </w:rPr>
        <w:tab/>
      </w:r>
      <w:hyperlink w:anchor="page6">
        <w:r>
          <w:rPr>
            <w:rFonts w:ascii="Arial" w:cs="Arial" w:eastAsia="Arial" w:hAnsi="Arial"/>
            <w:sz w:val="17"/>
            <w:szCs w:val="17"/>
            <w:u w:val="single" w:color="auto"/>
            <w:color w:val="0000EE"/>
          </w:rPr>
          <w:t>Power of Attorney (contained on signature page hereto).</w:t>
        </w:r>
      </w:hyperlink>
    </w:p>
    <w:p>
      <w:pPr>
        <w:spacing w:after="0" w:line="117" w:lineRule="exact"/>
        <w:rPr>
          <w:sz w:val="20"/>
          <w:szCs w:val="20"/>
          <w:color w:val="auto"/>
        </w:rPr>
      </w:pPr>
    </w:p>
    <w:p>
      <w:pPr>
        <w:spacing w:after="0"/>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107.1</w:t>
      </w:r>
      <w:r>
        <w:rPr>
          <w:sz w:val="20"/>
          <w:szCs w:val="20"/>
          <w:color w:val="auto"/>
        </w:rPr>
        <w:tab/>
      </w:r>
      <w:hyperlink w:anchor="page9">
        <w:r>
          <w:rPr>
            <w:rFonts w:ascii="Arial" w:cs="Arial" w:eastAsia="Arial" w:hAnsi="Arial"/>
            <w:sz w:val="17"/>
            <w:szCs w:val="17"/>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9169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40" w:lineRule="exact"/>
        <w:rPr>
          <w:sz w:val="20"/>
          <w:szCs w:val="20"/>
          <w:color w:val="auto"/>
        </w:rPr>
      </w:pPr>
    </w:p>
    <w:p>
      <w:pPr>
        <w:ind w:left="420" w:hanging="412"/>
        <w:spacing w:after="0" w:line="246"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to Exhibit 4.2 filed with the Registrant’s Registration Statement on Form S-1 (Registration No. 333-239490), filed with the Commission on June 26, 2020.</w:t>
      </w:r>
    </w:p>
    <w:p>
      <w:pPr>
        <w:ind w:left="420" w:right="20" w:hanging="412"/>
        <w:spacing w:after="0" w:line="246"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to Exhibit 10.2 filed with the Registrant’s Registration Statement on Form S-1/A (Registration No. 333-239490), filed with the Commission on July 13, 2020.</w:t>
      </w:r>
    </w:p>
    <w:p>
      <w:pPr>
        <w:ind w:left="420" w:right="20" w:hanging="412"/>
        <w:spacing w:after="0" w:line="260"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to Exhibit 10.3 filed with the Registrant’s Registration Statement on Form S-1/A (Registration No. 333-239490), filed with the Commission on July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320" w:top="600" w:right="619" w:bottom="1440" w:gutter="0" w:footer="0" w:header="0"/>
        </w:sectPr>
      </w:pPr>
    </w:p>
    <w:bookmarkStart w:id="4" w:name="page5"/>
    <w:bookmarkEnd w:id="4"/>
    <w:p>
      <w:pPr>
        <w:ind w:left="12"/>
        <w:spacing w:after="0"/>
        <w:rPr>
          <w:sz w:val="20"/>
          <w:szCs w:val="20"/>
          <w:color w:val="auto"/>
        </w:rPr>
      </w:pPr>
      <w:r>
        <w:rPr>
          <w:rFonts w:ascii="Arial" w:cs="Arial" w:eastAsia="Arial" w:hAnsi="Arial"/>
          <w:sz w:val="16"/>
          <w:szCs w:val="16"/>
          <w:b w:val="1"/>
          <w:bCs w:val="1"/>
          <w:color w:val="auto"/>
        </w:rPr>
        <w:t>Item 9. Undertakings.</w:t>
      </w:r>
    </w:p>
    <w:p>
      <w:pPr>
        <w:spacing w:after="0" w:line="133" w:lineRule="exact"/>
        <w:rPr>
          <w:sz w:val="20"/>
          <w:szCs w:val="20"/>
          <w:color w:val="auto"/>
        </w:rPr>
      </w:pPr>
    </w:p>
    <w:p>
      <w:pPr>
        <w:ind w:left="432" w:hanging="432"/>
        <w:spacing w:after="0"/>
        <w:tabs>
          <w:tab w:leader="none" w:pos="43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undersigned Registrant hereby undertakes:</w:t>
      </w:r>
    </w:p>
    <w:p>
      <w:pPr>
        <w:spacing w:after="0" w:line="113" w:lineRule="exact"/>
        <w:rPr>
          <w:rFonts w:ascii="Arial" w:cs="Arial" w:eastAsia="Arial" w:hAnsi="Arial"/>
          <w:sz w:val="16"/>
          <w:szCs w:val="16"/>
          <w:color w:val="auto"/>
        </w:rPr>
      </w:pPr>
    </w:p>
    <w:p>
      <w:pPr>
        <w:ind w:left="972" w:hanging="540"/>
        <w:spacing w:after="0"/>
        <w:tabs>
          <w:tab w:leader="none" w:pos="972" w:val="left"/>
        </w:tabs>
        <w:numPr>
          <w:ilvl w:val="1"/>
          <w:numId w:val="5"/>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13" w:lineRule="exact"/>
        <w:rPr>
          <w:rFonts w:ascii="Arial" w:cs="Arial" w:eastAsia="Arial" w:hAnsi="Arial"/>
          <w:sz w:val="16"/>
          <w:szCs w:val="16"/>
          <w:color w:val="auto"/>
        </w:rPr>
      </w:pPr>
    </w:p>
    <w:p>
      <w:pPr>
        <w:ind w:left="1452" w:hanging="453"/>
        <w:spacing w:after="0"/>
        <w:tabs>
          <w:tab w:leader="none" w:pos="1452" w:val="left"/>
        </w:tabs>
        <w:numPr>
          <w:ilvl w:val="2"/>
          <w:numId w:val="5"/>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w:t>
      </w:r>
    </w:p>
    <w:p>
      <w:pPr>
        <w:spacing w:after="0" w:line="113" w:lineRule="exact"/>
        <w:rPr>
          <w:rFonts w:ascii="Arial" w:cs="Arial" w:eastAsia="Arial" w:hAnsi="Arial"/>
          <w:sz w:val="16"/>
          <w:szCs w:val="16"/>
          <w:color w:val="auto"/>
        </w:rPr>
      </w:pPr>
    </w:p>
    <w:p>
      <w:pPr>
        <w:ind w:left="1452" w:right="40" w:hanging="453"/>
        <w:spacing w:after="0" w:line="248" w:lineRule="auto"/>
        <w:tabs>
          <w:tab w:leader="none" w:pos="1452" w:val="left"/>
        </w:tabs>
        <w:numPr>
          <w:ilvl w:val="2"/>
          <w:numId w:val="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46" w:lineRule="exact"/>
        <w:rPr>
          <w:rFonts w:ascii="Arial" w:cs="Arial" w:eastAsia="Arial" w:hAnsi="Arial"/>
          <w:sz w:val="16"/>
          <w:szCs w:val="16"/>
          <w:color w:val="auto"/>
        </w:rPr>
      </w:pPr>
    </w:p>
    <w:p>
      <w:pPr>
        <w:ind w:left="1452" w:right="180" w:hanging="453"/>
        <w:spacing w:after="0" w:line="260" w:lineRule="auto"/>
        <w:tabs>
          <w:tab w:leader="none" w:pos="1452" w:val="left"/>
        </w:tabs>
        <w:numPr>
          <w:ilvl w:val="2"/>
          <w:numId w:val="5"/>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98" w:lineRule="exact"/>
        <w:rPr>
          <w:sz w:val="20"/>
          <w:szCs w:val="20"/>
          <w:color w:val="auto"/>
        </w:rPr>
      </w:pPr>
    </w:p>
    <w:p>
      <w:pPr>
        <w:ind w:left="12" w:right="380"/>
        <w:spacing w:after="0" w:line="263"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paragraphs (A)(1)(i) and (A)(1)(ii) do not apply if the information required to be included in a post-effective amendment by those</w:t>
      </w:r>
      <w:r>
        <w:rPr>
          <w:rFonts w:ascii="Arial" w:cs="Arial" w:eastAsia="Arial" w:hAnsi="Arial"/>
          <w:sz w:val="16"/>
          <w:szCs w:val="16"/>
          <w:i w:val="1"/>
          <w:iCs w:val="1"/>
          <w:color w:val="auto"/>
        </w:rPr>
        <w:t xml:space="preserve"> </w:t>
      </w:r>
      <w:r>
        <w:rPr>
          <w:rFonts w:ascii="Arial" w:cs="Arial" w:eastAsia="Arial" w:hAnsi="Arial"/>
          <w:sz w:val="16"/>
          <w:szCs w:val="16"/>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208" w:lineRule="exact"/>
        <w:rPr>
          <w:sz w:val="20"/>
          <w:szCs w:val="20"/>
          <w:color w:val="auto"/>
        </w:rPr>
      </w:pPr>
    </w:p>
    <w:p>
      <w:pPr>
        <w:jc w:val="both"/>
        <w:ind w:left="972" w:right="600" w:hanging="540"/>
        <w:spacing w:after="0" w:line="253" w:lineRule="auto"/>
        <w:tabs>
          <w:tab w:leader="none" w:pos="972"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2" w:lineRule="exact"/>
        <w:rPr>
          <w:rFonts w:ascii="Arial" w:cs="Arial" w:eastAsia="Arial" w:hAnsi="Arial"/>
          <w:sz w:val="16"/>
          <w:szCs w:val="16"/>
          <w:color w:val="auto"/>
        </w:rPr>
      </w:pPr>
    </w:p>
    <w:p>
      <w:pPr>
        <w:ind w:left="972" w:right="460" w:hanging="540"/>
        <w:spacing w:after="0" w:line="260" w:lineRule="auto"/>
        <w:tabs>
          <w:tab w:leader="none" w:pos="972" w:val="left"/>
        </w:tabs>
        <w:numPr>
          <w:ilvl w:val="1"/>
          <w:numId w:val="6"/>
        </w:numPr>
        <w:rPr>
          <w:rFonts w:ascii="Arial" w:cs="Arial" w:eastAsia="Arial" w:hAnsi="Arial"/>
          <w:sz w:val="16"/>
          <w:szCs w:val="16"/>
          <w:color w:val="auto"/>
        </w:rPr>
      </w:pPr>
      <w:r>
        <w:rPr>
          <w:rFonts w:ascii="Arial" w:cs="Arial" w:eastAsia="Arial" w:hAnsi="Arial"/>
          <w:sz w:val="16"/>
          <w:szCs w:val="16"/>
          <w:color w:val="auto"/>
        </w:rPr>
        <w:t>It will remove from registration by means of a post-effective amendment any of the securities being registered which remain unsold at the termination of the offering.</w:t>
      </w:r>
    </w:p>
    <w:p>
      <w:pPr>
        <w:spacing w:after="0" w:line="33" w:lineRule="exact"/>
        <w:rPr>
          <w:rFonts w:ascii="Arial" w:cs="Arial" w:eastAsia="Arial" w:hAnsi="Arial"/>
          <w:sz w:val="16"/>
          <w:szCs w:val="16"/>
          <w:color w:val="auto"/>
        </w:rPr>
      </w:pPr>
    </w:p>
    <w:p>
      <w:pPr>
        <w:ind w:left="432" w:hanging="432"/>
        <w:spacing w:after="0" w:line="250" w:lineRule="auto"/>
        <w:tabs>
          <w:tab w:leader="none" w:pos="43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6" w:lineRule="exact"/>
        <w:rPr>
          <w:rFonts w:ascii="Arial" w:cs="Arial" w:eastAsia="Arial" w:hAnsi="Arial"/>
          <w:sz w:val="16"/>
          <w:szCs w:val="16"/>
          <w:color w:val="auto"/>
        </w:rPr>
      </w:pPr>
    </w:p>
    <w:p>
      <w:pPr>
        <w:ind w:left="412" w:right="100" w:hanging="412"/>
        <w:spacing w:after="0" w:line="248" w:lineRule="auto"/>
        <w:tabs>
          <w:tab w:leader="none" w:pos="41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477520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SIGNATURES</w:t>
      </w:r>
    </w:p>
    <w:p>
      <w:pPr>
        <w:spacing w:after="0" w:line="214" w:lineRule="exact"/>
        <w:rPr>
          <w:sz w:val="20"/>
          <w:szCs w:val="20"/>
          <w:color w:val="auto"/>
        </w:rPr>
      </w:pPr>
    </w:p>
    <w:p>
      <w:pPr>
        <w:ind w:right="620" w:firstLine="431"/>
        <w:spacing w:after="0" w:line="253"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South San Francisco, California, on the 28th day of February 2022.</w:t>
      </w:r>
    </w:p>
    <w:p>
      <w:pPr>
        <w:spacing w:after="0" w:line="127" w:lineRule="exact"/>
        <w:rPr>
          <w:sz w:val="20"/>
          <w:szCs w:val="20"/>
          <w:color w:val="auto"/>
        </w:rPr>
      </w:pPr>
    </w:p>
    <w:p>
      <w:pPr>
        <w:ind w:left="6640"/>
        <w:spacing w:after="0"/>
        <w:rPr>
          <w:sz w:val="20"/>
          <w:szCs w:val="20"/>
          <w:color w:val="auto"/>
        </w:rPr>
      </w:pPr>
      <w:r>
        <w:rPr>
          <w:rFonts w:ascii="Arial" w:cs="Arial" w:eastAsia="Arial" w:hAnsi="Arial"/>
          <w:sz w:val="16"/>
          <w:szCs w:val="16"/>
          <w:b w:val="1"/>
          <w:bCs w:val="1"/>
          <w:color w:val="auto"/>
        </w:rPr>
        <w:t>ALX ONCOLOGY HOLDINGS INC.</w:t>
      </w:r>
    </w:p>
    <w:p>
      <w:pPr>
        <w:spacing w:after="0" w:line="187"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1905</wp:posOffset>
            </wp:positionV>
            <wp:extent cx="2717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ind w:left="6960"/>
        <w:spacing w:after="0" w:line="235" w:lineRule="auto"/>
        <w:rPr>
          <w:sz w:val="20"/>
          <w:szCs w:val="20"/>
          <w:color w:val="auto"/>
        </w:rPr>
      </w:pPr>
      <w:r>
        <w:rPr>
          <w:rFonts w:ascii="Arial" w:cs="Arial" w:eastAsia="Arial" w:hAnsi="Arial"/>
          <w:sz w:val="16"/>
          <w:szCs w:val="16"/>
          <w:color w:val="auto"/>
        </w:rPr>
        <w:t>Jaume Pons, Ph.D.</w:t>
      </w:r>
    </w:p>
    <w:p>
      <w:pPr>
        <w:ind w:left="6960"/>
        <w:spacing w:after="0"/>
        <w:rPr>
          <w:sz w:val="20"/>
          <w:szCs w:val="20"/>
          <w:color w:val="auto"/>
        </w:rPr>
      </w:pP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14" w:lineRule="exact"/>
        <w:rPr>
          <w:sz w:val="20"/>
          <w:szCs w:val="20"/>
          <w:color w:val="auto"/>
        </w:rPr>
      </w:pPr>
    </w:p>
    <w:p>
      <w:pPr>
        <w:ind w:right="160" w:firstLine="446"/>
        <w:spacing w:after="0" w:line="248"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Jaume Pons, Ph.D. and Peter Garcia,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 in fact, proxy and agent, or the individual’s substitute, may lawfully do or cause to be done by virtue hereof.</w:t>
      </w:r>
    </w:p>
    <w:p>
      <w:pPr>
        <w:spacing w:after="0" w:line="127" w:lineRule="exact"/>
        <w:rPr>
          <w:sz w:val="20"/>
          <w:szCs w:val="20"/>
          <w:color w:val="auto"/>
        </w:rPr>
      </w:pPr>
    </w:p>
    <w:p>
      <w:pPr>
        <w:ind w:right="260" w:firstLine="446"/>
        <w:spacing w:after="0" w:line="260" w:lineRule="auto"/>
        <w:rPr>
          <w:sz w:val="20"/>
          <w:szCs w:val="20"/>
          <w:color w:val="auto"/>
        </w:rPr>
      </w:pPr>
      <w:r>
        <w:rPr>
          <w:rFonts w:ascii="Arial" w:cs="Arial" w:eastAsia="Arial" w:hAnsi="Arial"/>
          <w:sz w:val="16"/>
          <w:szCs w:val="16"/>
          <w:color w:val="auto"/>
        </w:rPr>
        <w:t>Pursuant to the requirements of the Securities Act of 1933, as amended, this Registration Statement on Form S-8 has been signed by the following persons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5"/>
                <w:szCs w:val="15"/>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1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Jaume Pons</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President, Chief Executive Officer and 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February 28, 2022</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9"/>
              </w:rPr>
              <w:t>Jaume Pons, Ph.D.</w:t>
            </w:r>
          </w:p>
        </w:tc>
        <w:tc>
          <w:tcPr>
            <w:tcW w:w="120" w:type="dxa"/>
            <w:vAlign w:val="bottom"/>
          </w:tcPr>
          <w:p>
            <w:pPr>
              <w:spacing w:after="0"/>
              <w:rPr>
                <w:sz w:val="20"/>
                <w:szCs w:val="20"/>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Executive Officer</w:t>
            </w:r>
            <w:r>
              <w:rPr>
                <w:rFonts w:ascii="Arial" w:cs="Arial" w:eastAsia="Arial" w:hAnsi="Arial"/>
                <w:sz w:val="18"/>
                <w:szCs w:val="18"/>
                <w:color w:val="auto"/>
                <w:w w:val="99"/>
              </w:rPr>
              <w:t>)</w:t>
            </w:r>
          </w:p>
        </w:tc>
        <w:tc>
          <w:tcPr>
            <w:tcW w:w="1980" w:type="dxa"/>
            <w:vAlign w:val="bottom"/>
          </w:tcPr>
          <w:p>
            <w:pPr>
              <w:spacing w:after="0"/>
              <w:rPr>
                <w:sz w:val="20"/>
                <w:szCs w:val="20"/>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Peter Garcia</w:t>
            </w:r>
          </w:p>
        </w:tc>
        <w:tc>
          <w:tcPr>
            <w:tcW w:w="120" w:type="dxa"/>
            <w:vAlign w:val="bottom"/>
          </w:tcPr>
          <w:p>
            <w:pPr>
              <w:spacing w:after="0"/>
              <w:rPr>
                <w:sz w:val="24"/>
                <w:szCs w:val="24"/>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rPr>
              <w:t>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February 28, 2022</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9"/>
              </w:rPr>
              <w:t>Peter Garcia</w:t>
            </w:r>
          </w:p>
        </w:tc>
        <w:tc>
          <w:tcPr>
            <w:tcW w:w="120" w:type="dxa"/>
            <w:vAlign w:val="bottom"/>
          </w:tcPr>
          <w:p>
            <w:pPr>
              <w:spacing w:after="0"/>
              <w:rPr>
                <w:sz w:val="20"/>
                <w:szCs w:val="20"/>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Financial Officer</w:t>
            </w:r>
            <w:r>
              <w:rPr>
                <w:rFonts w:ascii="Arial" w:cs="Arial" w:eastAsia="Arial" w:hAnsi="Arial"/>
                <w:sz w:val="18"/>
                <w:szCs w:val="18"/>
                <w:color w:val="auto"/>
                <w:w w:val="99"/>
              </w:rPr>
              <w:t>)</w:t>
            </w:r>
          </w:p>
        </w:tc>
        <w:tc>
          <w:tcPr>
            <w:tcW w:w="1980" w:type="dxa"/>
            <w:vAlign w:val="bottom"/>
          </w:tcPr>
          <w:p>
            <w:pPr>
              <w:spacing w:after="0"/>
              <w:rPr>
                <w:sz w:val="20"/>
                <w:szCs w:val="20"/>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Shelly Pinto</w:t>
            </w:r>
          </w:p>
        </w:tc>
        <w:tc>
          <w:tcPr>
            <w:tcW w:w="120" w:type="dxa"/>
            <w:vAlign w:val="bottom"/>
          </w:tcPr>
          <w:p>
            <w:pPr>
              <w:spacing w:after="0"/>
              <w:rPr>
                <w:sz w:val="24"/>
                <w:szCs w:val="24"/>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Vice President, Finance and Chief Accounting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February 28, 2022</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8"/>
              </w:rPr>
              <w:t>Shelly Pinto</w:t>
            </w:r>
          </w:p>
        </w:tc>
        <w:tc>
          <w:tcPr>
            <w:tcW w:w="120" w:type="dxa"/>
            <w:vAlign w:val="bottom"/>
          </w:tcPr>
          <w:p>
            <w:pPr>
              <w:spacing w:after="0"/>
              <w:rPr>
                <w:sz w:val="20"/>
                <w:szCs w:val="20"/>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rPr>
              <w:t>(Principal Accounting Officer)</w:t>
            </w:r>
          </w:p>
        </w:tc>
        <w:tc>
          <w:tcPr>
            <w:tcW w:w="1980" w:type="dxa"/>
            <w:vAlign w:val="bottom"/>
          </w:tcPr>
          <w:p>
            <w:pPr>
              <w:spacing w:after="0"/>
              <w:rPr>
                <w:sz w:val="20"/>
                <w:szCs w:val="20"/>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Corey Goodman</w:t>
            </w:r>
          </w:p>
        </w:tc>
        <w:tc>
          <w:tcPr>
            <w:tcW w:w="120" w:type="dxa"/>
            <w:vAlign w:val="bottom"/>
          </w:tcPr>
          <w:p>
            <w:pPr>
              <w:spacing w:after="0"/>
              <w:rPr>
                <w:sz w:val="24"/>
                <w:szCs w:val="24"/>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rPr>
              <w:t>Executive Chairman of the Board of Directors</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February 28, 2022</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9"/>
              </w:rPr>
              <w:t>Corey Goodman, Ph.D.</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Rekha Hemrajani</w:t>
            </w:r>
          </w:p>
        </w:tc>
        <w:tc>
          <w:tcPr>
            <w:tcW w:w="120" w:type="dxa"/>
            <w:vAlign w:val="bottom"/>
          </w:tcPr>
          <w:p>
            <w:pPr>
              <w:spacing w:after="0"/>
              <w:rPr>
                <w:sz w:val="24"/>
                <w:szCs w:val="24"/>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February 28, 2022</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9"/>
              </w:rPr>
              <w:t>Rekha Hemrajani</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Jason Lettmann</w:t>
            </w:r>
          </w:p>
        </w:tc>
        <w:tc>
          <w:tcPr>
            <w:tcW w:w="120" w:type="dxa"/>
            <w:vAlign w:val="bottom"/>
          </w:tcPr>
          <w:p>
            <w:pPr>
              <w:spacing w:after="0"/>
              <w:rPr>
                <w:sz w:val="24"/>
                <w:szCs w:val="24"/>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February 28, 2022</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9"/>
              </w:rPr>
              <w:t>Jason Lettmann</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Jack Nielsen</w:t>
            </w:r>
          </w:p>
        </w:tc>
        <w:tc>
          <w:tcPr>
            <w:tcW w:w="120" w:type="dxa"/>
            <w:vAlign w:val="bottom"/>
          </w:tcPr>
          <w:p>
            <w:pPr>
              <w:spacing w:after="0"/>
              <w:rPr>
                <w:sz w:val="24"/>
                <w:szCs w:val="24"/>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February 28, 2022</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rPr>
              <w:t>Jack Nielsen</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Sophia Randolph</w:t>
            </w:r>
          </w:p>
        </w:tc>
        <w:tc>
          <w:tcPr>
            <w:tcW w:w="120" w:type="dxa"/>
            <w:vAlign w:val="bottom"/>
          </w:tcPr>
          <w:p>
            <w:pPr>
              <w:spacing w:after="0"/>
              <w:rPr>
                <w:sz w:val="24"/>
                <w:szCs w:val="24"/>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February 28, 2022</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9"/>
              </w:rPr>
              <w:t>Sophia Randolph, M.D., Ph.D.</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ectPr>
          <w:pgSz w:w="11900" w:h="16838" w:orient="portrait"/>
          <w:cols w:equalWidth="0" w:num="1">
            <w:col w:w="11240"/>
          </w:cols>
          <w:pgMar w:left="320" w:top="580"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5.1</w:t>
      </w:r>
    </w:p>
    <w:p>
      <w:pPr>
        <w:spacing w:after="0" w:line="200" w:lineRule="exact"/>
        <w:rPr>
          <w:sz w:val="20"/>
          <w:szCs w:val="20"/>
          <w:color w:val="auto"/>
        </w:rPr>
      </w:pPr>
    </w:p>
    <w:p>
      <w:pPr>
        <w:spacing w:after="0" w:line="369"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Wilson Sonsini Goodrich &amp; Rosati</w:t>
      </w:r>
    </w:p>
    <w:p>
      <w:pPr>
        <w:ind w:left="8080"/>
        <w:spacing w:after="0"/>
        <w:rPr>
          <w:sz w:val="20"/>
          <w:szCs w:val="20"/>
          <w:color w:val="auto"/>
        </w:rPr>
      </w:pPr>
      <w:r>
        <w:rPr>
          <w:rFonts w:ascii="Arial" w:cs="Arial" w:eastAsia="Arial" w:hAnsi="Arial"/>
          <w:sz w:val="14"/>
          <w:szCs w:val="14"/>
          <w:color w:val="auto"/>
        </w:rPr>
        <w:t>Professional Corporation</w:t>
      </w:r>
    </w:p>
    <w:p>
      <w:pPr>
        <w:spacing w:after="0" w:line="83" w:lineRule="exact"/>
        <w:rPr>
          <w:sz w:val="20"/>
          <w:szCs w:val="20"/>
          <w:color w:val="auto"/>
        </w:rPr>
      </w:pPr>
    </w:p>
    <w:p>
      <w:pPr>
        <w:ind w:left="8080"/>
        <w:spacing w:after="0"/>
        <w:rPr>
          <w:sz w:val="20"/>
          <w:szCs w:val="20"/>
          <w:color w:val="auto"/>
        </w:rPr>
      </w:pPr>
      <w:r>
        <w:rPr>
          <w:rFonts w:ascii="Arial" w:cs="Arial" w:eastAsia="Arial" w:hAnsi="Arial"/>
          <w:sz w:val="14"/>
          <w:szCs w:val="14"/>
          <w:color w:val="auto"/>
        </w:rPr>
        <w:t>650 Page Mill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088390" cy="403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88390" cy="403225"/>
                    </a:xfrm>
                    <a:prstGeom prst="rect">
                      <a:avLst/>
                    </a:prstGeom>
                    <a:noFill/>
                  </pic:spPr>
                </pic:pic>
              </a:graphicData>
            </a:graphic>
          </wp:anchor>
        </w:drawing>
      </w:r>
    </w:p>
    <w:p>
      <w:pPr>
        <w:ind w:left="8080"/>
        <w:spacing w:after="0"/>
        <w:rPr>
          <w:sz w:val="20"/>
          <w:szCs w:val="20"/>
          <w:color w:val="auto"/>
        </w:rPr>
      </w:pPr>
      <w:r>
        <w:rPr>
          <w:rFonts w:ascii="Arial" w:cs="Arial" w:eastAsia="Arial" w:hAnsi="Arial"/>
          <w:sz w:val="14"/>
          <w:szCs w:val="14"/>
          <w:color w:val="auto"/>
        </w:rPr>
        <w:t>Palo Alto, California 94304-1050</w:t>
      </w:r>
    </w:p>
    <w:p>
      <w:pPr>
        <w:spacing w:after="0" w:line="128"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o: 650.493.9300</w:t>
      </w:r>
    </w:p>
    <w:p>
      <w:pPr>
        <w:spacing w:after="0" w:line="2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f: 650.493.6811</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February 28, 2022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ALX Oncology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323 Allerton Avenue</w:t>
      </w:r>
    </w:p>
    <w:p>
      <w:pPr>
        <w:spacing w:after="0"/>
        <w:rPr>
          <w:sz w:val="20"/>
          <w:szCs w:val="20"/>
          <w:color w:val="auto"/>
        </w:rPr>
      </w:pPr>
      <w:r>
        <w:rPr>
          <w:rFonts w:ascii="Arial" w:cs="Arial" w:eastAsia="Arial" w:hAnsi="Arial"/>
          <w:sz w:val="20"/>
          <w:szCs w:val="20"/>
          <w:color w:val="auto"/>
        </w:rPr>
        <w:t>South San Francisco, California 94080</w:t>
      </w:r>
    </w:p>
    <w:p>
      <w:pPr>
        <w:spacing w:after="0" w:line="194" w:lineRule="exact"/>
        <w:rPr>
          <w:sz w:val="20"/>
          <w:szCs w:val="20"/>
          <w:color w:val="auto"/>
        </w:rPr>
      </w:pPr>
    </w:p>
    <w:p>
      <w:pPr>
        <w:ind w:left="600"/>
        <w:spacing w:after="0" w:line="230" w:lineRule="exact"/>
        <w:rPr>
          <w:sz w:val="20"/>
          <w:szCs w:val="20"/>
          <w:color w:val="auto"/>
        </w:rPr>
      </w:pPr>
      <w:r>
        <w:rPr>
          <w:rFonts w:ascii="Arial" w:cs="Arial" w:eastAsia="Arial" w:hAnsi="Arial"/>
          <w:sz w:val="20"/>
          <w:szCs w:val="20"/>
          <w:b w:val="1"/>
          <w:bCs w:val="1"/>
          <w:color w:val="auto"/>
        </w:rPr>
        <w:t>Re: Registration Statement on Form S</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8</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589"/>
        <w:spacing w:after="0" w:line="276" w:lineRule="auto"/>
        <w:rPr>
          <w:sz w:val="20"/>
          <w:szCs w:val="20"/>
          <w:color w:val="auto"/>
        </w:rPr>
      </w:pPr>
      <w:r>
        <w:rPr>
          <w:rFonts w:ascii="Arial" w:cs="Arial" w:eastAsia="Arial" w:hAnsi="Arial"/>
          <w:sz w:val="18"/>
          <w:szCs w:val="18"/>
          <w:color w:val="auto"/>
        </w:rPr>
        <w:t>We have examined the Registration Statement on Form S-8 (the “Registration Statement”) to be filed by ALX Oncology Holdings Inc., a Delaware corporation (the “Company”), with the Securities and Exchange Commission on or about the date hereof, relating to the registration under the Securities Act of 1933, as amended, of (i) 1,623,483 shares of common stock, par value $0.001 per share (the “Common Stock”), reserved for issuance pursuant to the Company’s Amended and Restated 2020 Equity Incentive Plan and (ii) 405,871 shares of Common Stock reserved for issuance pursuant to the Company’s 2020 Employee Stock Purchase Plan, as amended (which plans are referred to herein as the “Plans” and which shares of Common Stock are referred to herein as the “Shares”).</w:t>
      </w:r>
    </w:p>
    <w:p>
      <w:pPr>
        <w:spacing w:after="0" w:line="165" w:lineRule="exact"/>
        <w:rPr>
          <w:sz w:val="20"/>
          <w:szCs w:val="20"/>
          <w:color w:val="auto"/>
        </w:rPr>
      </w:pPr>
    </w:p>
    <w:p>
      <w:pPr>
        <w:jc w:val="both"/>
        <w:ind w:firstLine="589"/>
        <w:spacing w:after="0" w:line="250" w:lineRule="auto"/>
        <w:rPr>
          <w:sz w:val="20"/>
          <w:szCs w:val="20"/>
          <w:color w:val="auto"/>
        </w:rPr>
      </w:pPr>
      <w:r>
        <w:rPr>
          <w:rFonts w:ascii="Arial" w:cs="Arial" w:eastAsia="Arial" w:hAnsi="Arial"/>
          <w:sz w:val="20"/>
          <w:szCs w:val="20"/>
          <w:color w:val="auto"/>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spacing w:after="0" w:line="186" w:lineRule="exact"/>
        <w:rPr>
          <w:sz w:val="20"/>
          <w:szCs w:val="20"/>
          <w:color w:val="auto"/>
        </w:rPr>
      </w:pPr>
    </w:p>
    <w:p>
      <w:pPr>
        <w:jc w:val="both"/>
        <w:ind w:firstLine="589"/>
        <w:spacing w:after="0" w:line="260" w:lineRule="auto"/>
        <w:rPr>
          <w:sz w:val="20"/>
          <w:szCs w:val="20"/>
          <w:color w:val="auto"/>
        </w:rPr>
      </w:pPr>
      <w:r>
        <w:rPr>
          <w:rFonts w:ascii="Arial" w:cs="Arial" w:eastAsia="Arial" w:hAnsi="Arial"/>
          <w:sz w:val="20"/>
          <w:szCs w:val="20"/>
          <w:color w:val="auto"/>
        </w:rPr>
        <w:t>We consent to the use of this opinion as an exhibit to the Registration Statement and further consent to the use of our name wherever appearing in the Registration Statement and any amendments thereto.</w:t>
      </w:r>
    </w:p>
    <w:p>
      <w:pPr>
        <w:spacing w:after="0" w:line="190"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Very truly yours,</w:t>
      </w:r>
    </w:p>
    <w:p>
      <w:pPr>
        <w:spacing w:after="0" w:line="21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Wilson Sonsini Goodrich &amp; Rosati</w:t>
      </w:r>
    </w:p>
    <w:p>
      <w:pPr>
        <w:spacing w:after="0" w:line="236"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WILSON SONSINI GOODRICH &amp; ROSATI</w:t>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Professional Corporation</w:t>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23.1</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2" w:lineRule="exact"/>
        <w:rPr>
          <w:sz w:val="20"/>
          <w:szCs w:val="20"/>
          <w:color w:val="auto"/>
        </w:rPr>
      </w:pPr>
    </w:p>
    <w:p>
      <w:pPr>
        <w:ind w:right="740"/>
        <w:spacing w:after="0" w:line="287" w:lineRule="auto"/>
        <w:rPr>
          <w:sz w:val="20"/>
          <w:szCs w:val="20"/>
          <w:color w:val="auto"/>
        </w:rPr>
      </w:pPr>
      <w:r>
        <w:rPr>
          <w:rFonts w:ascii="Arial" w:cs="Arial" w:eastAsia="Arial" w:hAnsi="Arial"/>
          <w:sz w:val="19"/>
          <w:szCs w:val="19"/>
          <w:color w:val="auto"/>
        </w:rPr>
        <w:t>We consent to the use of our report dated February 28, 2022, with respect to the consolidated financial statements of ALX Oncology Holdings Inc. and the effectiveness of internal control over financial reporting,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28, 2022</w:t>
      </w:r>
    </w:p>
    <w:p>
      <w:pPr>
        <w:sectPr>
          <w:pgSz w:w="11900" w:h="16838" w:orient="portrait"/>
          <w:cols w:equalWidth="0" w:num="1">
            <w:col w:w="11240"/>
          </w:cols>
          <w:pgMar w:left="320" w:top="11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107.1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Filing Fee Table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ALX ONCOLOGY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983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32320" cy="298323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 Newly Registered Securities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21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Security Class Title</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 Calculation</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 Rate</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Type</w:t>
            </w:r>
          </w:p>
        </w:tc>
        <w:tc>
          <w:tcPr>
            <w:tcW w:w="21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Rule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 (1)</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220" w:type="dxa"/>
            <w:vAlign w:val="bottom"/>
            <w:tcBorders>
              <w:right w:val="single" w:sz="8" w:color="auto"/>
            </w:tcBorders>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216"/>
        </w:trPr>
        <w:tc>
          <w:tcPr>
            <w:tcW w:w="10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Price</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220" w:type="dxa"/>
            <w:vAlign w:val="bottom"/>
            <w:tcBorders>
              <w:right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100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 Unit</w:t>
            </w:r>
          </w:p>
        </w:tc>
        <w:tc>
          <w:tcPr>
            <w:tcW w:w="148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400" w:type="dxa"/>
            <w:vAlign w:val="bottom"/>
          </w:tcPr>
          <w:p>
            <w:pPr>
              <w:spacing w:after="0"/>
              <w:rPr>
                <w:sz w:val="20"/>
                <w:szCs w:val="20"/>
                <w:color w:val="auto"/>
              </w:rPr>
            </w:pPr>
          </w:p>
        </w:tc>
      </w:tr>
      <w:tr>
        <w:trPr>
          <w:trHeight w:val="135"/>
        </w:trPr>
        <w:tc>
          <w:tcPr>
            <w:tcW w:w="10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r>
      <w:tr>
        <w:trPr>
          <w:trHeight w:val="186"/>
        </w:trPr>
        <w:tc>
          <w:tcPr>
            <w:tcW w:w="10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8"/>
                <w:szCs w:val="18"/>
                <w:color w:val="auto"/>
                <w:w w:val="95"/>
              </w:rPr>
              <w:t>Equity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Common Stock, $0.001 par</w:t>
            </w:r>
          </w:p>
        </w:tc>
        <w:tc>
          <w:tcPr>
            <w:tcW w:w="13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8"/>
                <w:szCs w:val="18"/>
                <w:color w:val="auto"/>
                <w:w w:val="90"/>
              </w:rPr>
              <w:t>457(c) and</w:t>
            </w:r>
          </w:p>
        </w:tc>
        <w:tc>
          <w:tcPr>
            <w:tcW w:w="1480" w:type="dxa"/>
            <w:vAlign w:val="bottom"/>
            <w:tcBorders>
              <w:right w:val="single" w:sz="8" w:color="auto"/>
            </w:tcBorders>
          </w:tcPr>
          <w:p>
            <w:pPr>
              <w:jc w:val="right"/>
              <w:ind w:right="170"/>
              <w:spacing w:after="0" w:line="186" w:lineRule="exact"/>
              <w:rPr>
                <w:sz w:val="20"/>
                <w:szCs w:val="20"/>
                <w:color w:val="auto"/>
              </w:rPr>
            </w:pPr>
            <w:r>
              <w:rPr>
                <w:rFonts w:ascii="Arial" w:cs="Arial" w:eastAsia="Arial" w:hAnsi="Arial"/>
                <w:sz w:val="18"/>
                <w:szCs w:val="18"/>
                <w:color w:val="auto"/>
              </w:rPr>
              <w:t>1,623,483 (2)</w:t>
            </w: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8"/>
                <w:szCs w:val="18"/>
                <w:color w:val="auto"/>
                <w:w w:val="92"/>
              </w:rPr>
              <w:t>$15.49 (3)</w:t>
            </w:r>
          </w:p>
        </w:tc>
        <w:tc>
          <w:tcPr>
            <w:tcW w:w="14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8"/>
                <w:szCs w:val="18"/>
                <w:color w:val="auto"/>
                <w:w w:val="89"/>
              </w:rPr>
              <w:t>$ 25,147,752</w:t>
            </w: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8"/>
                <w:szCs w:val="18"/>
                <w:color w:val="auto"/>
                <w:w w:val="89"/>
              </w:rPr>
              <w:t>0.0000927</w:t>
            </w:r>
          </w:p>
        </w:tc>
        <w:tc>
          <w:tcPr>
            <w:tcW w:w="1400" w:type="dxa"/>
            <w:vAlign w:val="bottom"/>
          </w:tcPr>
          <w:p>
            <w:pPr>
              <w:jc w:val="center"/>
              <w:spacing w:after="0" w:line="186" w:lineRule="exact"/>
              <w:rPr>
                <w:sz w:val="20"/>
                <w:szCs w:val="20"/>
                <w:color w:val="auto"/>
              </w:rPr>
            </w:pPr>
            <w:r>
              <w:rPr>
                <w:rFonts w:ascii="Arial" w:cs="Arial" w:eastAsia="Arial" w:hAnsi="Arial"/>
                <w:sz w:val="18"/>
                <w:szCs w:val="18"/>
                <w:color w:val="auto"/>
                <w:w w:val="90"/>
              </w:rPr>
              <w:t>$2,332</w:t>
            </w:r>
          </w:p>
        </w:tc>
      </w:tr>
      <w:tr>
        <w:trPr>
          <w:trHeight w:val="203"/>
        </w:trPr>
        <w:tc>
          <w:tcPr>
            <w:tcW w:w="100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value per share, reserved for</w:t>
            </w: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457(h)</w:t>
            </w:r>
          </w:p>
        </w:tc>
        <w:tc>
          <w:tcPr>
            <w:tcW w:w="14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00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issuance pursuant to the</w:t>
            </w:r>
          </w:p>
        </w:tc>
        <w:tc>
          <w:tcPr>
            <w:tcW w:w="13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00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Amended and Restated 2020</w:t>
            </w:r>
          </w:p>
        </w:tc>
        <w:tc>
          <w:tcPr>
            <w:tcW w:w="13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100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Equity Incentive Plan</w:t>
            </w:r>
          </w:p>
        </w:tc>
        <w:tc>
          <w:tcPr>
            <w:tcW w:w="13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100"/>
        </w:trPr>
        <w:tc>
          <w:tcPr>
            <w:tcW w:w="1000" w:type="dxa"/>
            <w:vAlign w:val="bottom"/>
            <w:tcBorders>
              <w:bottom w:val="single" w:sz="8" w:color="auto"/>
              <w:right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r>
      <w:tr>
        <w:trPr>
          <w:trHeight w:val="186"/>
        </w:trPr>
        <w:tc>
          <w:tcPr>
            <w:tcW w:w="10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8"/>
                <w:szCs w:val="18"/>
                <w:color w:val="auto"/>
                <w:w w:val="95"/>
              </w:rPr>
              <w:t>Equity</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Common Stock, $0.001 par</w:t>
            </w:r>
          </w:p>
        </w:tc>
        <w:tc>
          <w:tcPr>
            <w:tcW w:w="130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8"/>
                <w:szCs w:val="18"/>
                <w:color w:val="auto"/>
                <w:w w:val="90"/>
              </w:rPr>
              <w:t>457(c) and</w:t>
            </w:r>
          </w:p>
        </w:tc>
        <w:tc>
          <w:tcPr>
            <w:tcW w:w="1480" w:type="dxa"/>
            <w:vAlign w:val="bottom"/>
            <w:tcBorders>
              <w:right w:val="single" w:sz="8" w:color="auto"/>
            </w:tcBorders>
          </w:tcPr>
          <w:p>
            <w:pPr>
              <w:jc w:val="right"/>
              <w:ind w:right="230"/>
              <w:spacing w:after="0" w:line="186" w:lineRule="exact"/>
              <w:rPr>
                <w:sz w:val="20"/>
                <w:szCs w:val="20"/>
                <w:color w:val="auto"/>
              </w:rPr>
            </w:pPr>
            <w:r>
              <w:rPr>
                <w:rFonts w:ascii="Arial" w:cs="Arial" w:eastAsia="Arial" w:hAnsi="Arial"/>
                <w:sz w:val="18"/>
                <w:szCs w:val="18"/>
                <w:color w:val="auto"/>
              </w:rPr>
              <w:t>405,871 (4)</w:t>
            </w: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8"/>
                <w:szCs w:val="18"/>
                <w:color w:val="auto"/>
                <w:w w:val="92"/>
              </w:rPr>
              <w:t>$13.17 (5)</w:t>
            </w:r>
          </w:p>
        </w:tc>
        <w:tc>
          <w:tcPr>
            <w:tcW w:w="148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8"/>
                <w:szCs w:val="18"/>
                <w:color w:val="auto"/>
                <w:w w:val="90"/>
              </w:rPr>
              <w:t>$5,345,322</w:t>
            </w:r>
          </w:p>
        </w:tc>
        <w:tc>
          <w:tcPr>
            <w:tcW w:w="12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18"/>
                <w:szCs w:val="18"/>
                <w:color w:val="auto"/>
                <w:w w:val="89"/>
              </w:rPr>
              <w:t>0.0000927</w:t>
            </w:r>
          </w:p>
        </w:tc>
        <w:tc>
          <w:tcPr>
            <w:tcW w:w="1400" w:type="dxa"/>
            <w:vAlign w:val="bottom"/>
          </w:tcPr>
          <w:p>
            <w:pPr>
              <w:jc w:val="center"/>
              <w:spacing w:after="0" w:line="186" w:lineRule="exact"/>
              <w:rPr>
                <w:sz w:val="20"/>
                <w:szCs w:val="20"/>
                <w:color w:val="auto"/>
              </w:rPr>
            </w:pPr>
            <w:r>
              <w:rPr>
                <w:rFonts w:ascii="Arial" w:cs="Arial" w:eastAsia="Arial" w:hAnsi="Arial"/>
                <w:sz w:val="18"/>
                <w:szCs w:val="18"/>
                <w:color w:val="auto"/>
                <w:w w:val="89"/>
              </w:rPr>
              <w:t>$496</w:t>
            </w:r>
          </w:p>
        </w:tc>
      </w:tr>
      <w:tr>
        <w:trPr>
          <w:trHeight w:val="203"/>
        </w:trPr>
        <w:tc>
          <w:tcPr>
            <w:tcW w:w="100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value per share, reserved for</w:t>
            </w:r>
          </w:p>
        </w:tc>
        <w:tc>
          <w:tcPr>
            <w:tcW w:w="13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457(h)</w:t>
            </w:r>
          </w:p>
        </w:tc>
        <w:tc>
          <w:tcPr>
            <w:tcW w:w="14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100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issuance pursuant to the 2020</w:t>
            </w:r>
          </w:p>
        </w:tc>
        <w:tc>
          <w:tcPr>
            <w:tcW w:w="13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100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Employee Stock Purchase Plan</w:t>
            </w:r>
          </w:p>
        </w:tc>
        <w:tc>
          <w:tcPr>
            <w:tcW w:w="13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303"/>
        </w:trPr>
        <w:tc>
          <w:tcPr>
            <w:tcW w:w="100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32"/>
        </w:trPr>
        <w:tc>
          <w:tcPr>
            <w:tcW w:w="3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Offering Amounts</w:t>
            </w:r>
          </w:p>
        </w:tc>
        <w:tc>
          <w:tcPr>
            <w:tcW w:w="130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$30,493,074</w:t>
            </w:r>
          </w:p>
        </w:tc>
        <w:tc>
          <w:tcPr>
            <w:tcW w:w="12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$2,828</w:t>
            </w:r>
          </w:p>
        </w:tc>
      </w:tr>
      <w:tr>
        <w:trPr>
          <w:trHeight w:val="237"/>
        </w:trPr>
        <w:tc>
          <w:tcPr>
            <w:tcW w:w="3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Fee Offsets</w:t>
            </w:r>
          </w:p>
        </w:tc>
        <w:tc>
          <w:tcPr>
            <w:tcW w:w="130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6"/>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Net Fee Due</w:t>
            </w:r>
          </w:p>
        </w:tc>
        <w:tc>
          <w:tcPr>
            <w:tcW w:w="2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$2,828</w:t>
            </w:r>
          </w:p>
        </w:tc>
      </w:tr>
    </w:tbl>
    <w:p>
      <w:pPr>
        <w:spacing w:after="0" w:line="215" w:lineRule="exact"/>
        <w:rPr>
          <w:sz w:val="20"/>
          <w:szCs w:val="20"/>
          <w:color w:val="auto"/>
        </w:rPr>
      </w:pPr>
    </w:p>
    <w:p>
      <w:pPr>
        <w:ind w:left="520" w:right="1000" w:hanging="512"/>
        <w:spacing w:after="0" w:line="206"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8"/>
          <w:szCs w:val="18"/>
          <w:color w:val="auto"/>
        </w:rPr>
        <w:t>Represents shares of common stock, par value $0.001 per share (“Common Stock”) of ALX Oncology Holdings Inc. (the “Registrant”) available for issuance pursuant to awards granted pursuant to the Registrant’s Amended and Restated 2020 Equity Incentive Plan (the “2020 Plan”) and 2020 Employee Stock Purchase Plan (the “2020 ESPP”). In addition, pursuant to Rule 416(a) of the Securities Act of 1933, as amended (the “Securities Act”), this Registration Statement shall also cover any additional shares of the Registrant's Common Stock that become issuable under the 2020 Plan and the 2020 ESPP by reason of any stock dividend, stock split, recapitalization or other similar transaction effected without the Registrant's receipt of consideration that results in an increase in the number of the outstanding shares of common stock.</w:t>
      </w:r>
    </w:p>
    <w:p>
      <w:pPr>
        <w:ind w:left="540" w:right="240" w:hanging="532"/>
        <w:spacing w:after="0" w:line="203"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8"/>
          <w:szCs w:val="18"/>
          <w:color w:val="auto"/>
        </w:rPr>
        <w:t>Reflects an automatic increase on January 1, 2022 to the number of shares of Common Stock reserved for issuance pursuant to future awards under the 2020 Plan, which annual increase is provided for in the 2020 Plan.</w:t>
      </w:r>
    </w:p>
    <w:p>
      <w:pPr>
        <w:ind w:left="540" w:right="260" w:hanging="532"/>
        <w:spacing w:after="0" w:line="203"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8"/>
          <w:szCs w:val="18"/>
          <w:color w:val="auto"/>
        </w:rPr>
        <w:t>Estimated in accordance with paragraphs (c) and (h) of Rule 457 of the Securities Act solely for the purpose of calculating the registration fee on the basis of $15.49 per share, which is the average of the high and low prices of the Registrant’s Common Stock, as reported on the Nasdaq Global Select Market, on February 24, 2022.</w:t>
      </w:r>
    </w:p>
    <w:p>
      <w:pPr>
        <w:spacing w:after="0" w:line="1" w:lineRule="exact"/>
        <w:rPr>
          <w:rFonts w:ascii="Arial" w:cs="Arial" w:eastAsia="Arial" w:hAnsi="Arial"/>
          <w:sz w:val="16"/>
          <w:szCs w:val="16"/>
          <w:color w:val="auto"/>
        </w:rPr>
      </w:pPr>
    </w:p>
    <w:p>
      <w:pPr>
        <w:ind w:left="540" w:right="480" w:hanging="532"/>
        <w:spacing w:after="0" w:line="203"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8"/>
          <w:szCs w:val="18"/>
          <w:color w:val="auto"/>
        </w:rPr>
        <w:t>Reflects an automatic increase on January 1, 2022 to the number of shares of Common Stock reserved for issuance under the 2020 ESPP, which annual increase is provided for in the 2020 ESPP.</w:t>
      </w:r>
    </w:p>
    <w:p>
      <w:pPr>
        <w:ind w:left="540" w:right="400" w:hanging="532"/>
        <w:spacing w:after="0" w:line="263" w:lineRule="auto"/>
        <w:tabs>
          <w:tab w:leader="none" w:pos="540" w:val="left"/>
        </w:tabs>
        <w:numPr>
          <w:ilvl w:val="0"/>
          <w:numId w:val="8"/>
        </w:numPr>
        <w:rPr>
          <w:rFonts w:ascii="Arial" w:cs="Arial" w:eastAsia="Arial" w:hAnsi="Arial"/>
          <w:sz w:val="13"/>
          <w:szCs w:val="13"/>
          <w:color w:val="auto"/>
        </w:rPr>
      </w:pPr>
      <w:r>
        <w:rPr>
          <w:rFonts w:ascii="Arial" w:cs="Arial" w:eastAsia="Arial" w:hAnsi="Arial"/>
          <w:sz w:val="15"/>
          <w:szCs w:val="15"/>
          <w:color w:val="auto"/>
        </w:rPr>
        <w:t>Estimated in accordance with Rules 457(h) solely for the purpose of calculating the registration fee on the basis of 85% of $15.49 per share, which is the average of the high and low prices of the Registrant’s Common Stock, as reported on the Nasdaq Global Select Market, on February 24, 2022. Pursuant to the 2020 ESPP, the purchase price of the shares of Common Stock reserved for issuance thereunder will be at least 85% of the lower of the fair market value of Common Stock on the Enrollment Date or the Exercise Date (as such terms are defined in the 2020 ESPP).</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
    <w:nsid w:val="41B71EFB"/>
    <w:multiLevelType w:val="hybridMultilevel"/>
    <w:lvl w:ilvl="0">
      <w:lvlJc w:val="left"/>
      <w:lvlText w:val="%1"/>
      <w:numFmt w:val="upperLetter"/>
      <w:start w:val="1"/>
    </w:lvl>
    <w:lvl w:ilvl="1">
      <w:lvlJc w:val="left"/>
      <w:lvlText w:val="(%2)"/>
      <w:numFmt w:val="decimal"/>
      <w:start w:val="2"/>
    </w:lvl>
  </w:abstractNum>
  <w:abstractNum w:abstractNumId="6">
    <w:nsid w:val="79E2A9E3"/>
    <w:multiLevelType w:val="hybridMultilevel"/>
    <w:lvl w:ilvl="0">
      <w:lvlJc w:val="left"/>
      <w:lvlText w:val="%1."/>
      <w:numFmt w:val="upperLetter"/>
      <w:start w:val="2"/>
    </w:lvl>
    <w:lvl w:ilvl="1">
      <w:lvlJc w:val="left"/>
      <w:lvlText w:val="%2"/>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jpeg"/><Relationship Id="rId29" Type="http://schemas.openxmlformats.org/officeDocument/2006/relationships/image" Target="media/image17.png"/><Relationship Id="rId17" Type="http://schemas.openxmlformats.org/officeDocument/2006/relationships/hyperlink" Target="https://www.sec.gov/ix?doc=/Archives/edgar/data/1810182/000156459022007364/alxo-10k_20211231.htm" TargetMode="External"/><Relationship Id="rId18" Type="http://schemas.openxmlformats.org/officeDocument/2006/relationships/hyperlink" Target="http://www.sec.gov/Archives/edgar/data/1810182/000119312520191878/d936945d8a12b.htm" TargetMode="External"/><Relationship Id="rId21" Type="http://schemas.openxmlformats.org/officeDocument/2006/relationships/hyperlink" Target="http://www.sec.gov/Archives/edgar/data/1810182/000119312520181021/d913838dex42.htm" TargetMode="External"/><Relationship Id="rId22" Type="http://schemas.openxmlformats.org/officeDocument/2006/relationships/hyperlink" Target="http://www.sec.gov/Archives/edgar/data/1810182/000119312520191500/d913838dex102.htm" TargetMode="External"/><Relationship Id="rId23" Type="http://schemas.openxmlformats.org/officeDocument/2006/relationships/hyperlink" Target="http://www.sec.gov/Archives/edgar/data/1810182/000119312520191500/d913838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2022-02-28T19:14:35Z</dcterms:created>
  <dcterms:modified xsi:type="dcterms:W3CDTF">2022-02-28T19:14:35Z</dcterms:modified>
</cp:coreProperties>
</file>