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5158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497205"/>
                    </a:xfrm>
                    <a:prstGeom prst="rect">
                      <a:avLst/>
                    </a:prstGeom>
                    <a:noFill/>
                  </pic:spPr>
                </pic:pic>
              </a:graphicData>
            </a:graphic>
          </wp:anchor>
        </w:drawing>
      </w:r>
    </w:p>
    <w:p>
      <w:pPr>
        <w:spacing w:after="0" w:line="3"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650 Page Mill Road</w:t>
      </w:r>
    </w:p>
    <w:p>
      <w:pPr>
        <w:spacing w:after="0" w:line="23"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Palo Alto, California 94304-1050</w:t>
      </w:r>
    </w:p>
    <w:p>
      <w:pPr>
        <w:spacing w:after="0" w:line="116" w:lineRule="exact"/>
        <w:rPr>
          <w:sz w:val="24"/>
          <w:szCs w:val="24"/>
          <w:color w:val="auto"/>
        </w:rPr>
      </w:pPr>
    </w:p>
    <w:p>
      <w:pPr>
        <w:ind w:left="7480"/>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35" w:lineRule="exact"/>
        <w:rPr>
          <w:sz w:val="24"/>
          <w:szCs w:val="24"/>
          <w:color w:val="auto"/>
        </w:rPr>
      </w:pPr>
    </w:p>
    <w:p>
      <w:pPr>
        <w:ind w:left="7480"/>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September 7,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Joshua Gorsky</w:t>
      </w:r>
    </w:p>
    <w:p>
      <w:pPr>
        <w:spacing w:after="0" w:line="248" w:lineRule="exact"/>
        <w:rPr>
          <w:sz w:val="24"/>
          <w:szCs w:val="24"/>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ALX Oncology Holdings Inc.</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September 1, 2023</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 No. 333-274314</w:t>
      </w:r>
    </w:p>
    <w:p>
      <w:pPr>
        <w:spacing w:after="0" w:line="9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6"/>
          <w:szCs w:val="16"/>
          <w:b w:val="1"/>
          <w:bCs w:val="1"/>
          <w:color w:val="auto"/>
        </w:rPr>
        <w:t>September 8, 2023</w:t>
      </w:r>
    </w:p>
    <w:p>
      <w:pPr>
        <w:spacing w:after="0" w:line="9" w:lineRule="exact"/>
        <w:rPr>
          <w:sz w:val="24"/>
          <w:szCs w:val="24"/>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4:05 p.m. Eastern Time,</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or as soon thereafter as practicable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40"/>
        <w:spacing w:after="0" w:line="281" w:lineRule="auto"/>
        <w:rPr>
          <w:sz w:val="20"/>
          <w:szCs w:val="20"/>
          <w:color w:val="auto"/>
        </w:rPr>
      </w:pPr>
      <w:r>
        <w:rPr>
          <w:rFonts w:ascii="Arial" w:cs="Arial" w:eastAsia="Arial" w:hAnsi="Arial"/>
          <w:sz w:val="17"/>
          <w:szCs w:val="17"/>
          <w:color w:val="auto"/>
        </w:rPr>
        <w:t>Pursuant to Rule 461 under the Securities Act of 1933, as amended,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hereby respectfully requests that the above-referenced Registration Statement on Form S-3 (File No. 333-274314)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w:t>
      </w:r>
    </w:p>
    <w:p>
      <w:pPr>
        <w:spacing w:after="0" w:line="169" w:lineRule="exact"/>
        <w:rPr>
          <w:sz w:val="24"/>
          <w:szCs w:val="24"/>
          <w:color w:val="auto"/>
        </w:rPr>
      </w:pPr>
    </w:p>
    <w:p>
      <w:pPr>
        <w:ind w:right="440" w:firstLine="44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our counsel, Wilson Sonsini Goodrich &amp; Rosati, Professional Corporation, by calling Michael E. Coke at (650) 565-3596.</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Please direct any questions or comments regarding this acceleration request to Michael E. Coke at (650) 565-3596.</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0" w:lineRule="exact"/>
        <w:rPr>
          <w:sz w:val="24"/>
          <w:szCs w:val="24"/>
          <w:color w:val="auto"/>
        </w:rPr>
      </w:pPr>
    </w:p>
    <w:p>
      <w:pPr>
        <w:jc w:val="center"/>
        <w:ind w:right="-99"/>
        <w:spacing w:after="0"/>
        <w:tabs>
          <w:tab w:leader="none" w:pos="120" w:val="left"/>
          <w:tab w:leader="none" w:pos="140" w:val="left"/>
          <w:tab w:leader="none" w:pos="120" w:val="left"/>
          <w:tab w:leader="none" w:pos="140" w:val="left"/>
          <w:tab w:leader="none" w:pos="160" w:val="left"/>
          <w:tab w:leader="none" w:pos="120" w:val="left"/>
          <w:tab w:leader="none" w:pos="120" w:val="left"/>
          <w:tab w:leader="none" w:pos="140" w:val="left"/>
          <w:tab w:leader="none" w:pos="120" w:val="left"/>
        </w:tabs>
        <w:rPr>
          <w:sz w:val="20"/>
          <w:szCs w:val="20"/>
          <w:color w:val="auto"/>
        </w:rPr>
      </w:pPr>
      <w:r>
        <w:rPr>
          <w:rFonts w:ascii="Arial" w:cs="Arial" w:eastAsia="Arial" w:hAnsi="Arial"/>
          <w:sz w:val="14"/>
          <w:szCs w:val="14"/>
          <w:color w:val="auto"/>
        </w:rPr>
        <w:t>AUSTIN</w:t>
        <w:tab/>
        <w:t>BEIJING</w:t>
        <w:tab/>
        <w:t>BOSTON</w:t>
        <w:tab/>
        <w:t>BOULDER</w:t>
        <w:tab/>
        <w:t>BRUSSELS</w:t>
        <w:tab/>
        <w:t>HONG KONG</w:t>
        <w:tab/>
        <w:t>LONDON</w:t>
        <w:tab/>
        <w:t>LOS ANGELES</w:t>
        <w:tab/>
        <w:t>NEW YORK</w:t>
        <w:tab/>
        <w:t>PALO ALTO</w:t>
      </w:r>
    </w:p>
    <w:p>
      <w:pPr>
        <w:jc w:val="center"/>
        <w:ind w:right="-99"/>
        <w:spacing w:after="0"/>
        <w:tabs>
          <w:tab w:leader="none" w:pos="120" w:val="left"/>
          <w:tab w:leader="none" w:pos="120" w:val="left"/>
          <w:tab w:leader="none" w:pos="120" w:val="left"/>
          <w:tab w:leader="none" w:pos="120" w:val="left"/>
          <w:tab w:leader="none" w:pos="140" w:val="left"/>
          <w:tab w:leader="none" w:pos="120" w:val="left"/>
        </w:tabs>
        <w:rPr>
          <w:sz w:val="20"/>
          <w:szCs w:val="20"/>
          <w:color w:val="auto"/>
        </w:rPr>
      </w:pPr>
      <w:r>
        <w:rPr>
          <w:rFonts w:ascii="Arial" w:cs="Arial" w:eastAsia="Arial" w:hAnsi="Arial"/>
          <w:sz w:val="14"/>
          <w:szCs w:val="14"/>
          <w:color w:val="auto"/>
        </w:rPr>
        <w:t>SALT LAKE CITY</w:t>
        <w:tab/>
        <w:t>SAN DIEGO</w:t>
        <w:tab/>
        <w:t>SAN FRANCISCO</w:t>
        <w:tab/>
        <w:t>SEATTLE</w:t>
        <w:tab/>
        <w:t>SHANGHAI</w:t>
        <w:tab/>
        <w:t>WASHINGTON, DC</w:t>
        <w:tab/>
        <w:t>WILMINGTON, DE</w:t>
      </w:r>
    </w:p>
    <w:p>
      <w:pPr>
        <w:sectPr>
          <w:pgSz w:w="11900" w:h="16838" w:orient="portrait"/>
          <w:cols w:equalWidth="0" w:num="1">
            <w:col w:w="10920"/>
          </w:cols>
          <w:pgMar w:left="440" w:top="233" w:right="5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5689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56895" cy="20574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7,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6"/>
          <w:szCs w:val="16"/>
          <w:b w:val="1"/>
          <w:bCs w:val="1"/>
          <w:color w:val="auto"/>
        </w:rPr>
        <w:t>ALX Oncology Holdings, Inc.</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Peter Garcia</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ind w:left="444" w:right="3619" w:hanging="444"/>
        <w:spacing w:after="0" w:line="342"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Michael E. Coke, Wilson Sonsini Goodrich &amp; Rosati, Professional Corporation Christina L. Poulsen, Wilson Sonsini Goodrich &amp; Rosati, Professional Corporation</w:t>
      </w:r>
    </w:p>
    <w:sectPr>
      <w:pgSz w:w="11900" w:h="16838" w:orient="portrait"/>
      <w:cols w:equalWidth="0" w:num="1">
        <w:col w:w="10023"/>
      </w:cols>
      <w:pgMar w:left="436"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2023-10-09T00:27:38Z</dcterms:created>
  <dcterms:modified xsi:type="dcterms:W3CDTF">2023-10-09T00:27:38Z</dcterms:modified>
</cp:coreProperties>
</file>