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October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jc w:val="both"/>
        <w:ind w:right="9460" w:firstLine="8"/>
        <w:spacing w:after="0" w:line="623" w:lineRule="auto"/>
        <w:tabs>
          <w:tab w:leader="none" w:pos="487"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4"/>
          <w:szCs w:val="24"/>
          <w:color w:val="auto"/>
        </w:rPr>
      </w:pPr>
    </w:p>
    <w:p>
      <w:pPr>
        <w:ind w:right="380" w:firstLine="656"/>
        <w:spacing w:after="0" w:line="323" w:lineRule="auto"/>
        <w:tabs>
          <w:tab w:leader="none" w:pos="82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0" w:lineRule="exact"/>
        <w:rPr>
          <w:sz w:val="24"/>
          <w:szCs w:val="24"/>
          <w:color w:val="auto"/>
        </w:rPr>
      </w:pPr>
    </w:p>
    <w:p>
      <w:pPr>
        <w:ind w:firstLine="81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772" w:hanging="772"/>
        <w:spacing w:after="0"/>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772"/>
        <w:spacing w:after="0"/>
        <w:rPr>
          <w:rFonts w:ascii="Arial" w:cs="Arial" w:eastAsia="Arial" w:hAnsi="Arial"/>
          <w:sz w:val="18"/>
          <w:szCs w:val="18"/>
          <w:color w:val="auto"/>
        </w:rPr>
      </w:pPr>
      <w:r>
        <w:rPr>
          <w:rFonts w:ascii="Arial" w:cs="Arial" w:eastAsia="Arial" w:hAnsi="Arial"/>
          <w:sz w:val="18"/>
          <w:szCs w:val="18"/>
          <w:color w:val="auto"/>
        </w:rPr>
        <w:t>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772" w:hanging="772"/>
        <w:spacing w:after="0"/>
        <w:tabs>
          <w:tab w:leader="none" w:pos="772"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16"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2,630,000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2,630,000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38" w:lineRule="exact"/>
        <w:rPr>
          <w:sz w:val="20"/>
          <w:szCs w:val="20"/>
          <w:color w:val="auto"/>
        </w:rPr>
      </w:pPr>
    </w:p>
    <w:p>
      <w:pPr>
        <w:ind w:left="752" w:right="4579" w:hanging="752"/>
        <w:spacing w:after="0" w:line="500"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2,630,000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5.28%</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3" w:name="page4"/>
    <w:bookmarkEnd w:id="3"/>
    <w:p>
      <w:pPr>
        <w:ind w:left="772" w:right="6539" w:hanging="772"/>
        <w:spacing w:after="0" w:line="572" w:lineRule="auto"/>
        <w:tabs>
          <w:tab w:leader="none" w:pos="772"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-555625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16" w:lineRule="auto"/>
        <w:tabs>
          <w:tab w:leader="none" w:pos="7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2,630,000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2,630,000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38" w:lineRule="exact"/>
        <w:rPr>
          <w:sz w:val="20"/>
          <w:szCs w:val="20"/>
          <w:color w:val="auto"/>
        </w:rPr>
      </w:pPr>
    </w:p>
    <w:p>
      <w:pPr>
        <w:ind w:left="752" w:right="4579" w:hanging="752"/>
        <w:spacing w:after="0" w:line="500" w:lineRule="auto"/>
        <w:tabs>
          <w:tab w:leader="none" w:pos="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2,630,000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5.28%</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622" w:lineRule="auto"/>
        <w:tabs>
          <w:tab w:leader="none" w:pos="7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098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-605155</wp:posOffset>
            </wp:positionV>
            <wp:extent cx="7098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-1162050</wp:posOffset>
            </wp:positionV>
            <wp:extent cx="7098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4" w:name="page5"/>
    <w:bookmarkEnd w:id="4"/>
    <w:p>
      <w:pPr>
        <w:ind w:left="772" w:hanging="772"/>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772"/>
        <w:spacing w:after="0"/>
        <w:rPr>
          <w:rFonts w:ascii="Arial" w:cs="Arial" w:eastAsia="Arial" w:hAnsi="Arial"/>
          <w:sz w:val="18"/>
          <w:szCs w:val="18"/>
          <w:color w:val="auto"/>
        </w:rPr>
      </w:pPr>
      <w:r>
        <w:rPr>
          <w:rFonts w:ascii="Arial" w:cs="Arial" w:eastAsia="Arial" w:hAnsi="Arial"/>
          <w:sz w:val="18"/>
          <w:szCs w:val="18"/>
          <w:color w:val="auto"/>
        </w:rPr>
        <w:t>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772" w:hanging="772"/>
        <w:spacing w:after="0"/>
        <w:tabs>
          <w:tab w:leader="none" w:pos="7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16"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512,079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512,079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38" w:lineRule="exact"/>
        <w:rPr>
          <w:sz w:val="20"/>
          <w:szCs w:val="20"/>
          <w:color w:val="auto"/>
        </w:rPr>
      </w:pPr>
    </w:p>
    <w:p>
      <w:pPr>
        <w:ind w:left="752" w:right="4579" w:hanging="752"/>
        <w:spacing w:after="0" w:line="500"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512,079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1.03%</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5" w:name="page6"/>
    <w:bookmarkEnd w:id="5"/>
    <w:p>
      <w:pPr>
        <w:ind w:left="772" w:hanging="772"/>
        <w:spacing w:after="0"/>
        <w:tabs>
          <w:tab w:leader="none" w:pos="7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772"/>
        <w:spacing w:after="0"/>
        <w:rPr>
          <w:rFonts w:ascii="Arial" w:cs="Arial" w:eastAsia="Arial" w:hAnsi="Arial"/>
          <w:sz w:val="18"/>
          <w:szCs w:val="18"/>
          <w:color w:val="auto"/>
        </w:rPr>
      </w:pPr>
      <w:r>
        <w:rPr>
          <w:rFonts w:ascii="Arial" w:cs="Arial" w:eastAsia="Arial" w:hAnsi="Arial"/>
          <w:sz w:val="18"/>
          <w:szCs w:val="18"/>
          <w:color w:val="auto"/>
        </w:rPr>
        <w:t>Cormorant Global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772" w:hanging="772"/>
        <w:spacing w:after="0"/>
        <w:tabs>
          <w:tab w:leader="none" w:pos="7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16" w:lineRule="auto"/>
        <w:tabs>
          <w:tab w:leader="none" w:pos="7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512,079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512,079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38" w:lineRule="exact"/>
        <w:rPr>
          <w:sz w:val="20"/>
          <w:szCs w:val="20"/>
          <w:color w:val="auto"/>
        </w:rPr>
      </w:pPr>
    </w:p>
    <w:p>
      <w:pPr>
        <w:ind w:left="752" w:right="4579" w:hanging="752"/>
        <w:spacing w:after="0" w:line="500" w:lineRule="auto"/>
        <w:tabs>
          <w:tab w:leader="none" w:pos="7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512,079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1.03%</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622" w:lineRule="auto"/>
        <w:tabs>
          <w:tab w:leader="none" w:pos="7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098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-605155</wp:posOffset>
            </wp:positionV>
            <wp:extent cx="7098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-1162050</wp:posOffset>
            </wp:positionV>
            <wp:extent cx="7098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6" w:name="page7"/>
    <w:bookmarkEnd w:id="6"/>
    <w:p>
      <w:pPr>
        <w:ind w:left="880" w:right="7860" w:hanging="872"/>
        <w:spacing w:after="0" w:line="57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Names of Reporting Persons.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80" w:hanging="87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40" w:hanging="468"/>
        <w:spacing w:after="0"/>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360" w:hanging="488"/>
        <w:spacing w:after="0"/>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80" w:hanging="87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 Sole Voting Power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03"/>
        </w:trPr>
        <w:tc>
          <w:tcPr>
            <w:tcW w:w="90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102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5"/>
                <w:szCs w:val="15"/>
                <w:color w:val="auto"/>
              </w:rPr>
            </w:pPr>
          </w:p>
        </w:tc>
        <w:tc>
          <w:tcPr>
            <w:tcW w:w="10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40" w:type="dxa"/>
            <w:vAlign w:val="bottom"/>
            <w:gridSpan w:val="3"/>
          </w:tcPr>
          <w:p>
            <w:pPr>
              <w:ind w:left="20"/>
              <w:spacing w:after="0" w:line="216" w:lineRule="exact"/>
              <w:rPr>
                <w:sz w:val="20"/>
                <w:szCs w:val="20"/>
                <w:color w:val="auto"/>
              </w:rPr>
            </w:pPr>
            <w:r>
              <w:rPr>
                <w:rFonts w:ascii="Arial" w:cs="Arial" w:eastAsia="Arial" w:hAnsi="Arial"/>
                <w:sz w:val="25"/>
                <w:szCs w:val="25"/>
                <w:color w:val="auto"/>
                <w:vertAlign w:val="subscript"/>
              </w:rPr>
              <w:t>Beneficially</w:t>
            </w:r>
            <w:r>
              <w:rPr>
                <w:rFonts w:ascii="Arial" w:cs="Arial" w:eastAsia="Arial" w:hAnsi="Arial"/>
                <w:sz w:val="14"/>
                <w:szCs w:val="14"/>
                <w:color w:val="auto"/>
              </w:rPr>
              <w:t>3,142,079 shares</w:t>
            </w:r>
          </w:p>
        </w:tc>
        <w:tc>
          <w:tcPr>
            <w:tcW w:w="0" w:type="dxa"/>
            <w:vAlign w:val="bottom"/>
          </w:tcPr>
          <w:p>
            <w:pPr>
              <w:spacing w:after="0"/>
              <w:rPr>
                <w:sz w:val="1"/>
                <w:szCs w:val="1"/>
                <w:color w:val="auto"/>
              </w:rPr>
            </w:pPr>
          </w:p>
        </w:tc>
      </w:tr>
      <w:tr>
        <w:trPr>
          <w:trHeight w:val="162"/>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120" w:type="dxa"/>
            <w:vAlign w:val="bottom"/>
            <w:tcBorders>
              <w:bottom w:val="single" w:sz="8" w:color="auto"/>
            </w:tcBorders>
          </w:tcPr>
          <w:p>
            <w:pPr>
              <w:spacing w:after="0"/>
              <w:rPr>
                <w:sz w:val="14"/>
                <w:szCs w:val="14"/>
                <w:color w:val="auto"/>
              </w:rPr>
            </w:pPr>
          </w:p>
        </w:tc>
        <w:tc>
          <w:tcPr>
            <w:tcW w:w="1022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120" w:type="dxa"/>
            <w:vAlign w:val="bottom"/>
          </w:tcPr>
          <w:p>
            <w:pPr>
              <w:spacing w:after="0" w:line="156" w:lineRule="exact"/>
              <w:rPr>
                <w:sz w:val="20"/>
                <w:szCs w:val="20"/>
                <w:color w:val="auto"/>
              </w:rPr>
            </w:pPr>
            <w:r>
              <w:rPr>
                <w:rFonts w:ascii="Arial" w:cs="Arial" w:eastAsia="Arial" w:hAnsi="Arial"/>
                <w:sz w:val="18"/>
                <w:szCs w:val="18"/>
                <w:color w:val="auto"/>
                <w:w w:val="99"/>
              </w:rPr>
              <w:t>7</w:t>
            </w:r>
          </w:p>
        </w:tc>
        <w:tc>
          <w:tcPr>
            <w:tcW w:w="10220" w:type="dxa"/>
            <w:vAlign w:val="bottom"/>
          </w:tcPr>
          <w:p>
            <w:pPr>
              <w:ind w:left="20"/>
              <w:spacing w:after="0" w:line="15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4"/>
        </w:trPr>
        <w:tc>
          <w:tcPr>
            <w:tcW w:w="900" w:type="dxa"/>
            <w:vAlign w:val="bottom"/>
          </w:tcPr>
          <w:p>
            <w:pPr>
              <w:jc w:val="center"/>
              <w:spacing w:after="0" w:line="134" w:lineRule="exact"/>
              <w:rPr>
                <w:sz w:val="20"/>
                <w:szCs w:val="20"/>
                <w:color w:val="auto"/>
              </w:rPr>
            </w:pPr>
            <w:r>
              <w:rPr>
                <w:rFonts w:ascii="Arial" w:cs="Arial" w:eastAsia="Arial" w:hAnsi="Arial"/>
                <w:sz w:val="15"/>
                <w:szCs w:val="15"/>
                <w:color w:val="auto"/>
              </w:rPr>
              <w:t>Each</w:t>
            </w:r>
          </w:p>
        </w:tc>
        <w:tc>
          <w:tcPr>
            <w:tcW w:w="120" w:type="dxa"/>
            <w:vAlign w:val="bottom"/>
          </w:tcPr>
          <w:p>
            <w:pPr>
              <w:spacing w:after="0"/>
              <w:rPr>
                <w:sz w:val="11"/>
                <w:szCs w:val="11"/>
                <w:color w:val="auto"/>
              </w:rPr>
            </w:pPr>
          </w:p>
        </w:tc>
        <w:tc>
          <w:tcPr>
            <w:tcW w:w="10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10340" w:type="dxa"/>
            <w:vAlign w:val="bottom"/>
            <w:gridSpan w:val="2"/>
            <w:vMerge w:val="restart"/>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41"/>
        </w:trPr>
        <w:tc>
          <w:tcPr>
            <w:tcW w:w="9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Person With</w:t>
            </w:r>
          </w:p>
        </w:tc>
        <w:tc>
          <w:tcPr>
            <w:tcW w:w="103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10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02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3,142,079 shares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80" w:right="5560" w:hanging="872"/>
        <w:spacing w:after="0" w:line="500"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3,142,079 shares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119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 w:lineRule="exact"/>
        <w:rPr>
          <w:sz w:val="20"/>
          <w:szCs w:val="20"/>
          <w:color w:val="auto"/>
        </w:rPr>
      </w:pPr>
    </w:p>
    <w:p>
      <w:pPr>
        <w:ind w:left="1060" w:right="4120" w:hanging="1052"/>
        <w:spacing w:after="0" w:line="25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880" w:hanging="872"/>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6.31%</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11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67119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ind w:left="880" w:right="8260" w:hanging="872"/>
        <w:spacing w:after="0" w:line="508"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80" w:hanging="872"/>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40" w:hanging="468"/>
        <w:spacing w:after="0"/>
        <w:tabs>
          <w:tab w:leader="none" w:pos="1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360" w:hanging="488"/>
        <w:spacing w:after="0"/>
        <w:tabs>
          <w:tab w:leader="none" w:pos="1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80" w:hanging="872"/>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 Sole Voting Power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03"/>
        </w:trPr>
        <w:tc>
          <w:tcPr>
            <w:tcW w:w="90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102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5"/>
                <w:szCs w:val="15"/>
                <w:color w:val="auto"/>
              </w:rPr>
            </w:pPr>
          </w:p>
        </w:tc>
        <w:tc>
          <w:tcPr>
            <w:tcW w:w="10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40" w:type="dxa"/>
            <w:vAlign w:val="bottom"/>
            <w:gridSpan w:val="3"/>
          </w:tcPr>
          <w:p>
            <w:pPr>
              <w:ind w:left="20"/>
              <w:spacing w:after="0" w:line="216" w:lineRule="exact"/>
              <w:rPr>
                <w:sz w:val="20"/>
                <w:szCs w:val="20"/>
                <w:color w:val="auto"/>
              </w:rPr>
            </w:pPr>
            <w:r>
              <w:rPr>
                <w:rFonts w:ascii="Arial" w:cs="Arial" w:eastAsia="Arial" w:hAnsi="Arial"/>
                <w:sz w:val="25"/>
                <w:szCs w:val="25"/>
                <w:color w:val="auto"/>
                <w:vertAlign w:val="subscript"/>
              </w:rPr>
              <w:t>Beneficially</w:t>
            </w:r>
            <w:r>
              <w:rPr>
                <w:rFonts w:ascii="Arial" w:cs="Arial" w:eastAsia="Arial" w:hAnsi="Arial"/>
                <w:sz w:val="14"/>
                <w:szCs w:val="14"/>
                <w:color w:val="auto"/>
              </w:rPr>
              <w:t>3,142,079 shares</w:t>
            </w:r>
          </w:p>
        </w:tc>
        <w:tc>
          <w:tcPr>
            <w:tcW w:w="0" w:type="dxa"/>
            <w:vAlign w:val="bottom"/>
          </w:tcPr>
          <w:p>
            <w:pPr>
              <w:spacing w:after="0"/>
              <w:rPr>
                <w:sz w:val="1"/>
                <w:szCs w:val="1"/>
                <w:color w:val="auto"/>
              </w:rPr>
            </w:pPr>
          </w:p>
        </w:tc>
      </w:tr>
      <w:tr>
        <w:trPr>
          <w:trHeight w:val="162"/>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120" w:type="dxa"/>
            <w:vAlign w:val="bottom"/>
            <w:tcBorders>
              <w:bottom w:val="single" w:sz="8" w:color="auto"/>
            </w:tcBorders>
          </w:tcPr>
          <w:p>
            <w:pPr>
              <w:spacing w:after="0"/>
              <w:rPr>
                <w:sz w:val="14"/>
                <w:szCs w:val="14"/>
                <w:color w:val="auto"/>
              </w:rPr>
            </w:pPr>
          </w:p>
        </w:tc>
        <w:tc>
          <w:tcPr>
            <w:tcW w:w="1022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120" w:type="dxa"/>
            <w:vAlign w:val="bottom"/>
          </w:tcPr>
          <w:p>
            <w:pPr>
              <w:spacing w:after="0" w:line="156" w:lineRule="exact"/>
              <w:rPr>
                <w:sz w:val="20"/>
                <w:szCs w:val="20"/>
                <w:color w:val="auto"/>
              </w:rPr>
            </w:pPr>
            <w:r>
              <w:rPr>
                <w:rFonts w:ascii="Arial" w:cs="Arial" w:eastAsia="Arial" w:hAnsi="Arial"/>
                <w:sz w:val="18"/>
                <w:szCs w:val="18"/>
                <w:color w:val="auto"/>
                <w:w w:val="99"/>
              </w:rPr>
              <w:t>7</w:t>
            </w:r>
          </w:p>
        </w:tc>
        <w:tc>
          <w:tcPr>
            <w:tcW w:w="10220" w:type="dxa"/>
            <w:vAlign w:val="bottom"/>
          </w:tcPr>
          <w:p>
            <w:pPr>
              <w:ind w:left="20"/>
              <w:spacing w:after="0" w:line="15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4"/>
        </w:trPr>
        <w:tc>
          <w:tcPr>
            <w:tcW w:w="900" w:type="dxa"/>
            <w:vAlign w:val="bottom"/>
          </w:tcPr>
          <w:p>
            <w:pPr>
              <w:jc w:val="center"/>
              <w:spacing w:after="0" w:line="134" w:lineRule="exact"/>
              <w:rPr>
                <w:sz w:val="20"/>
                <w:szCs w:val="20"/>
                <w:color w:val="auto"/>
              </w:rPr>
            </w:pPr>
            <w:r>
              <w:rPr>
                <w:rFonts w:ascii="Arial" w:cs="Arial" w:eastAsia="Arial" w:hAnsi="Arial"/>
                <w:sz w:val="15"/>
                <w:szCs w:val="15"/>
                <w:color w:val="auto"/>
              </w:rPr>
              <w:t>Each</w:t>
            </w:r>
          </w:p>
        </w:tc>
        <w:tc>
          <w:tcPr>
            <w:tcW w:w="120" w:type="dxa"/>
            <w:vAlign w:val="bottom"/>
          </w:tcPr>
          <w:p>
            <w:pPr>
              <w:spacing w:after="0"/>
              <w:rPr>
                <w:sz w:val="11"/>
                <w:szCs w:val="11"/>
                <w:color w:val="auto"/>
              </w:rPr>
            </w:pPr>
          </w:p>
        </w:tc>
        <w:tc>
          <w:tcPr>
            <w:tcW w:w="10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10340" w:type="dxa"/>
            <w:vAlign w:val="bottom"/>
            <w:gridSpan w:val="2"/>
            <w:vMerge w:val="restart"/>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41"/>
        </w:trPr>
        <w:tc>
          <w:tcPr>
            <w:tcW w:w="9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Person With</w:t>
            </w:r>
          </w:p>
        </w:tc>
        <w:tc>
          <w:tcPr>
            <w:tcW w:w="103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10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02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3,142,079 shares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80" w:right="5560" w:hanging="872"/>
        <w:spacing w:after="0" w:line="500"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3,142,079 shares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119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 w:lineRule="exact"/>
        <w:rPr>
          <w:sz w:val="20"/>
          <w:szCs w:val="20"/>
          <w:color w:val="auto"/>
        </w:rPr>
      </w:pPr>
    </w:p>
    <w:p>
      <w:pPr>
        <w:ind w:left="1060" w:right="4120" w:hanging="1052"/>
        <w:spacing w:after="0" w:line="258"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880" w:hanging="87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6.31%</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880" w:right="7200" w:hanging="872"/>
        <w:spacing w:after="0" w:line="52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711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6711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-1134110</wp:posOffset>
            </wp:positionV>
            <wp:extent cx="6711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820" w:hanging="812"/>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ALX Oncology Holdings Inc.</w:t>
      </w:r>
    </w:p>
    <w:p>
      <w:pPr>
        <w:spacing w:after="0" w:line="210" w:lineRule="exact"/>
        <w:rPr>
          <w:rFonts w:ascii="Arial" w:cs="Arial" w:eastAsia="Arial" w:hAnsi="Arial"/>
          <w:sz w:val="18"/>
          <w:szCs w:val="18"/>
          <w:color w:val="auto"/>
        </w:rPr>
      </w:pPr>
    </w:p>
    <w:p>
      <w:pPr>
        <w:ind w:left="820" w:hanging="812"/>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7"/>
          <w:szCs w:val="17"/>
          <w:color w:val="auto"/>
        </w:rPr>
        <w:t>323 Allerton Avenue, South San Francisco, California 94080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800" w:right="5939"/>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II, LP Cormorant Private Healthcare GP II, LLC Cormorant Asset Management, LP</w:t>
      </w:r>
    </w:p>
    <w:p>
      <w:pPr>
        <w:spacing w:after="0" w:line="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w:t>
      </w:r>
    </w:p>
    <w:p>
      <w:pPr>
        <w:spacing w:after="0" w:line="236" w:lineRule="exact"/>
        <w:rPr>
          <w:rFonts w:ascii="Arial" w:cs="Arial" w:eastAsia="Arial" w:hAnsi="Arial"/>
          <w:sz w:val="17"/>
          <w:szCs w:val="17"/>
          <w:color w:val="auto"/>
        </w:rPr>
      </w:pPr>
    </w:p>
    <w:p>
      <w:pPr>
        <w:ind w:left="800" w:right="6919"/>
        <w:spacing w:after="0" w:line="277" w:lineRule="auto"/>
        <w:rPr>
          <w:rFonts w:ascii="Arial" w:cs="Arial" w:eastAsia="Arial" w:hAnsi="Arial"/>
          <w:sz w:val="17"/>
          <w:szCs w:val="17"/>
          <w:color w:val="auto"/>
        </w:rPr>
      </w:pPr>
      <w:r>
        <w:rPr>
          <w:rFonts w:ascii="Arial" w:cs="Arial" w:eastAsia="Arial" w:hAnsi="Arial"/>
          <w:sz w:val="18"/>
          <w:szCs w:val="18"/>
          <w:color w:val="auto"/>
        </w:rPr>
        <w:t>200 Clarendon Street, 52nd Floor Boston, MA 02116</w:t>
      </w:r>
    </w:p>
    <w:p>
      <w:pPr>
        <w:spacing w:after="0" w:line="170" w:lineRule="exact"/>
        <w:rPr>
          <w:rFonts w:ascii="Arial" w:cs="Arial" w:eastAsia="Arial" w:hAnsi="Arial"/>
          <w:sz w:val="17"/>
          <w:szCs w:val="17"/>
          <w:color w:val="auto"/>
        </w:rPr>
      </w:pPr>
    </w:p>
    <w:p>
      <w:pPr>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4639"/>
        <w:spacing w:after="0" w:line="253"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II, LP - Delaware Cormorant Private Healthcare GP II, LLC - Delaware Cormorant Asset Management, LP - Delaware</w:t>
      </w:r>
    </w:p>
    <w:p>
      <w:pPr>
        <w:spacing w:after="0" w:line="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00" w:right="7419" w:hanging="792"/>
        <w:spacing w:after="0" w:line="342"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8199" w:hanging="792"/>
        <w:spacing w:after="0" w:line="342"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CUSIP Number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8660" w:type="dxa"/>
            <w:vAlign w:val="bottom"/>
          </w:tcPr>
          <w:p>
            <w:pPr>
              <w:ind w:left="4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8660" w:type="dxa"/>
            <w:vAlign w:val="bottom"/>
          </w:tcPr>
          <w:p>
            <w:pPr>
              <w:ind w:left="420"/>
              <w:spacing w:after="0"/>
              <w:rPr>
                <w:sz w:val="20"/>
                <w:szCs w:val="20"/>
                <w:color w:val="auto"/>
              </w:rPr>
            </w:pPr>
            <w:r>
              <w:rPr>
                <w:rFonts w:ascii="Arial" w:cs="Arial" w:eastAsia="Arial" w:hAnsi="Arial"/>
                <w:sz w:val="18"/>
                <w:szCs w:val="18"/>
                <w:color w:val="auto"/>
              </w:rPr>
              <w:t>Bank as defined in section 3(a)(6) of the Act (15 U.S.C. 78c).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8660" w:type="dxa"/>
            <w:vAlign w:val="bottom"/>
          </w:tcPr>
          <w:p>
            <w:pPr>
              <w:ind w:left="420"/>
              <w:spacing w:after="0"/>
              <w:rPr>
                <w:sz w:val="20"/>
                <w:szCs w:val="20"/>
                <w:color w:val="auto"/>
              </w:rPr>
            </w:pPr>
            <w:r>
              <w:rPr>
                <w:rFonts w:ascii="Arial" w:cs="Arial" w:eastAsia="Arial" w:hAnsi="Arial"/>
                <w:sz w:val="18"/>
                <w:szCs w:val="18"/>
                <w:color w:val="auto"/>
              </w:rPr>
              <w:t>Insurance company as defined in Section 3(a)(19) of the Act (15 U.S.C. 78c).</w:t>
            </w:r>
          </w:p>
        </w:tc>
      </w:tr>
    </w:tbl>
    <w:p>
      <w:pPr>
        <w:ind w:left="780" w:hanging="77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of 1940 (15 U.S.C. 80a-3);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A non-U.S. institution in accordance with §240.13d–1(b)(1)(ii)(J);</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0120" w:type="dxa"/>
            <w:vAlign w:val="bottom"/>
          </w:tcPr>
          <w:p>
            <w:pPr>
              <w:ind w:left="420"/>
              <w:spacing w:after="0"/>
              <w:rPr>
                <w:sz w:val="20"/>
                <w:szCs w:val="20"/>
                <w:color w:val="auto"/>
              </w:rPr>
            </w:pPr>
            <w:r>
              <w:rPr>
                <w:rFonts w:ascii="Arial" w:cs="Arial" w:eastAsia="Arial" w:hAnsi="Arial"/>
                <w:sz w:val="18"/>
                <w:szCs w:val="18"/>
                <w:color w:val="auto"/>
              </w:rPr>
              <w:t>Group, in accordance with §240.13d-1(b)(1)(ii)(K).</w:t>
            </w: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0" w:type="dxa"/>
            <w:vAlign w:val="bottom"/>
          </w:tcPr>
          <w:p>
            <w:pPr>
              <w:spacing w:after="0"/>
              <w:rPr>
                <w:sz w:val="24"/>
                <w:szCs w:val="24"/>
                <w:color w:val="auto"/>
              </w:rPr>
            </w:pPr>
          </w:p>
        </w:tc>
        <w:tc>
          <w:tcPr>
            <w:tcW w:w="10120" w:type="dxa"/>
            <w:vAlign w:val="bottom"/>
          </w:tcPr>
          <w:p>
            <w:pPr>
              <w:ind w:left="180"/>
              <w:spacing w:after="0"/>
              <w:rPr>
                <w:sz w:val="20"/>
                <w:szCs w:val="20"/>
                <w:color w:val="auto"/>
              </w:rPr>
            </w:pPr>
            <w:r>
              <w:rPr>
                <w:rFonts w:ascii="Arial" w:cs="Arial" w:eastAsia="Arial" w:hAnsi="Arial"/>
                <w:sz w:val="18"/>
                <w:szCs w:val="18"/>
                <w:b w:val="1"/>
                <w:bCs w:val="1"/>
                <w:color w:val="auto"/>
              </w:rPr>
              <w:t>Ownership***</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180" w:hanging="42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The information set forth in Row 9 on the cover page for each Reporting Person is hereby incorporated by reference into this Item 4(a) for each such Reporting Person.</w:t>
      </w:r>
    </w:p>
    <w:p>
      <w:pPr>
        <w:spacing w:after="0" w:line="170" w:lineRule="exact"/>
        <w:rPr>
          <w:sz w:val="20"/>
          <w:szCs w:val="20"/>
          <w:color w:val="auto"/>
        </w:rPr>
      </w:pPr>
    </w:p>
    <w:p>
      <w:pPr>
        <w:ind w:left="1180" w:hanging="42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The information set forth in Row 11 on the cover page for each Reporting Person is hereby incorporated by reference into this Item 4(b) for each such Reporting Person.</w:t>
      </w:r>
    </w:p>
    <w:p>
      <w:pPr>
        <w:spacing w:after="0" w:line="170" w:lineRule="exact"/>
        <w:rPr>
          <w:sz w:val="20"/>
          <w:szCs w:val="20"/>
          <w:color w:val="auto"/>
        </w:rPr>
      </w:pPr>
    </w:p>
    <w:p>
      <w:pPr>
        <w:ind w:left="1180" w:hanging="443"/>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shares as to which such person has: ***</w:t>
      </w:r>
    </w:p>
    <w:p>
      <w:pPr>
        <w:spacing w:after="0" w:line="225" w:lineRule="exact"/>
        <w:rPr>
          <w:rFonts w:ascii="Arial" w:cs="Arial" w:eastAsia="Arial" w:hAnsi="Arial"/>
          <w:sz w:val="18"/>
          <w:szCs w:val="18"/>
          <w:color w:val="auto"/>
        </w:rPr>
      </w:pPr>
    </w:p>
    <w:p>
      <w:pPr>
        <w:ind w:left="1680" w:hanging="387"/>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740" w:hanging="447"/>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780" w:hanging="487"/>
        <w:spacing w:after="0"/>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780" w:hanging="487"/>
        <w:spacing w:after="0"/>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The information set forth in Rows 5 through 8 on the cover page for each Reporting Person is hereby incorporated by reference into this Item 4(c) for each such Reporting Person.</w:t>
      </w:r>
    </w:p>
    <w:p>
      <w:pPr>
        <w:spacing w:after="0" w:line="265" w:lineRule="exact"/>
        <w:rPr>
          <w:sz w:val="20"/>
          <w:szCs w:val="20"/>
          <w:color w:val="auto"/>
        </w:rPr>
      </w:pPr>
    </w:p>
    <w:p>
      <w:pPr>
        <w:jc w:val="both"/>
        <w:ind w:left="660" w:hanging="4"/>
        <w:spacing w:after="0" w:line="254" w:lineRule="auto"/>
        <w:tabs>
          <w:tab w:leader="none" w:pos="9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reported herein for Cormorant Asset Management, LP represent shares which are beneficially owned by Cormorant Global Healthcare Master Fund, LP (the “Master Fund”) and Cormorant Private Healthcare Fund II, LP (“Fund II”), as reported herein. Cormorant Global Healthcare GP, LLC and Cormorant Private Healthcare GP II, LLC serve as the general partners of the Master Fund and Fund II, respectively. Cormorant Asset Management, LP serves as the investment manager to the Master Fund and Fund II. Bihua Chen serves as the managing member of Cormorant Global Healthcare GP, LLC and Cormorant Private Healthcare GP II, LLC and the general partner of Cormorant Asset Management, LP. Each of the Reporting Persons disclaims beneficial ownership of the shares reported herein except to the extent of its or her pecuniary interest therein.</w:t>
      </w:r>
    </w:p>
    <w:p>
      <w:pPr>
        <w:spacing w:after="0" w:line="19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percentages reported herein with respect to the Reporting Persons’ holdings are calculated based upon: (i) a statement in the Issuer’s Quarterly Report on Form 10-Q for the quarter ended June 30, 2023, as filed with the Securities and Exchange Commission on August 10, 2023, that there were 41,151,819 shares of Common Stock of the Issuer outstanding as of August 3, 2023; (ii) a statement in a prospectus supplement dated October 4, 2023, as filed by the Issuer with the Securities and Exchange Commission on October 6, 2023, relating to the offer by the Issuer of 8,663,793 shares of Common Stock (including shares issuable pursuant to an option granted to the underwriters of such offering); and (iii) a statement in a press release of the Issuer, dated October 10, 2023, stating that all of such offered shares had been issued.</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ectPr>
          <w:pgSz w:w="11900" w:h="16838" w:orient="portrait"/>
          <w:cols w:equalWidth="0" w:num="1">
            <w:col w:w="11240"/>
          </w:cols>
          <w:pgMar w:left="320" w:top="121" w:right="339" w:bottom="0" w:gutter="0" w:footer="0" w:header="0"/>
        </w:sectPr>
      </w:pPr>
    </w:p>
    <w:bookmarkStart w:id="10" w:name="page11"/>
    <w:bookmarkEnd w:id="10"/>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color w:val="auto"/>
        </w:rPr>
        <w:t>Exhibit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Joint Filing Agreement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13, 2023</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MASTER</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FUND, LP</w:t>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Cormorant Global Healthcare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040" w:space="300"/>
            <w:col w:w="5900"/>
          </w:cols>
          <w:pgMar w:left="320" w:top="121" w:right="339" w:bottom="1440" w:gutter="0" w:footer="0" w:header="0"/>
          <w:type w:val="continuous"/>
        </w:sectPr>
      </w:pPr>
    </w:p>
    <w:p>
      <w:pPr>
        <w:spacing w:after="0" w:line="11" w:lineRule="exact"/>
        <w:rPr>
          <w:sz w:val="20"/>
          <w:szCs w:val="20"/>
          <w:color w:val="auto"/>
        </w:rPr>
      </w:pPr>
    </w:p>
    <w:p>
      <w:pPr>
        <w:jc w:val="center"/>
        <w:ind w:right="4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CORMORANT PRIVATE HEALTHCARE FUND II, LP</w:t>
      </w:r>
    </w:p>
    <w:p>
      <w:pPr>
        <w:spacing w:after="0" w:line="3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Cormorant Private Healthcare GP II, LLC</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GP II, LLC</w:t>
      </w:r>
    </w:p>
    <w:p>
      <w:pPr>
        <w:spacing w:after="0" w:line="22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ASSET MANAGEMENT, LP</w:t>
      </w:r>
    </w:p>
    <w:p>
      <w:pPr>
        <w:spacing w:after="0" w:line="23"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Cormorant Asset Management GP, LLC</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41059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w:t>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This Joint Filing Agreement, dated as of October 13, 2023, is by and among Cormorant Global Healthcare Master Fund, LP, Cormorant Global Healthcare GP, LLC, Cormorant Private Healthcare Fund II, LP, Cormorant Private Healthcare GP II, LLC Cormorant Asset Management, LP and Bihua Chen (collectively, the “Filers”).</w:t>
      </w:r>
    </w:p>
    <w:p>
      <w:pPr>
        <w:spacing w:after="0" w:line="18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and/or 13G with respect to Common Stock of ALX Oncology Holdings Inc. beneficially owned by them from time to time.</w:t>
      </w:r>
    </w:p>
    <w:p>
      <w:pPr>
        <w:spacing w:after="0" w:line="170"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8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written notice or such lesser period of notice as the Filers may mutually agree.</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MASTER</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FUND, LP</w:t>
      </w:r>
    </w:p>
    <w:p>
      <w:pPr>
        <w:sectPr>
          <w:pgSz w:w="11900" w:h="16838" w:orient="portrait"/>
          <w:cols w:equalWidth="0" w:num="1">
            <w:col w:w="11240"/>
          </w:cols>
          <w:pgMar w:left="320" w:top="337" w:right="339" w:bottom="1440" w:gutter="0" w:footer="0" w:header="0"/>
        </w:sect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Cormorant Global Healthcare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040" w:space="300"/>
            <w:col w:w="5900"/>
          </w:cols>
          <w:pgMar w:left="320" w:top="337" w:right="339" w:bottom="1440" w:gutter="0" w:footer="0" w:header="0"/>
          <w:type w:val="continuous"/>
        </w:sectPr>
      </w:pPr>
    </w:p>
    <w:p>
      <w:pPr>
        <w:spacing w:after="0" w:line="11" w:lineRule="exact"/>
        <w:rPr>
          <w:sz w:val="20"/>
          <w:szCs w:val="20"/>
          <w:color w:val="auto"/>
        </w:rPr>
      </w:pPr>
    </w:p>
    <w:p>
      <w:pPr>
        <w:jc w:val="center"/>
        <w:ind w:right="4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CORMORANT PRIVATE HEALTHCARE FUND II, LP</w:t>
      </w:r>
    </w:p>
    <w:p>
      <w:pPr>
        <w:spacing w:after="0" w:line="3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Cormorant Private Healthcare GP II, LLC</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GLOBAL HEALTHCARE GP II, LLC</w:t>
      </w:r>
    </w:p>
    <w:p>
      <w:pPr>
        <w:spacing w:after="0" w:line="22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CORMORANT ASSET MANAGEMENT, LP</w:t>
      </w:r>
    </w:p>
    <w:p>
      <w:pPr>
        <w:spacing w:after="0" w:line="23"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Cormorant Asset Management GP, LLC</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745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Bihua Chen</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-130810</wp:posOffset>
            </wp:positionV>
            <wp:extent cx="41059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Roman"/>
      <w:start w:val="10"/>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bullet"/>
      <w:start w:val="1"/>
    </w:lvl>
  </w:abstractNum>
  <w:abstractNum w:abstractNumId="3">
    <w:nsid w:val="8EDBDAB"/>
    <w:multiLevelType w:val="hybridMultilevel"/>
    <w:lvl w:ilvl="0">
      <w:lvlJc w:val="left"/>
      <w:lvlText w:val="2"/>
      <w:numFmt w:val="bullet"/>
      <w:start w:val="1"/>
    </w:lvl>
    <w:lvl w:ilvl="1">
      <w:lvlJc w:val="left"/>
      <w:lvlText w:val="(%2)"/>
      <w:numFmt w:val="lowerLetter"/>
      <w:start w:val="1"/>
    </w:lvl>
  </w:abstractNum>
  <w:abstractNum w:abstractNumId="4">
    <w:nsid w:val="79838CB2"/>
    <w:multiLevelType w:val="hybridMultilevel"/>
    <w:lvl w:ilvl="0">
      <w:lvlJc w:val="left"/>
      <w:lvlText w:val="3"/>
      <w:numFmt w:val="bullet"/>
      <w:start w:val="1"/>
    </w:lvl>
  </w:abstractNum>
  <w:abstractNum w:abstractNumId="5">
    <w:nsid w:val="4353D0CD"/>
    <w:multiLevelType w:val="hybridMultilevel"/>
    <w:lvl w:ilvl="0">
      <w:lvlJc w:val="left"/>
      <w:lvlText w:val="4"/>
      <w:numFmt w:val="bullet"/>
      <w:start w:val="1"/>
    </w:lvl>
  </w:abstractNum>
  <w:abstractNum w:abstractNumId="6">
    <w:nsid w:val="B03E0C6"/>
    <w:multiLevelType w:val="hybridMultilevel"/>
    <w:lvl w:ilvl="0">
      <w:lvlJc w:val="left"/>
      <w:lvlText w:val="9"/>
      <w:numFmt w:val="bullet"/>
      <w:start w:val="1"/>
    </w:lvl>
  </w:abstractNum>
  <w:abstractNum w:abstractNumId="7">
    <w:nsid w:val="189A769B"/>
    <w:multiLevelType w:val="hybridMultilevel"/>
    <w:lvl w:ilvl="0">
      <w:lvlJc w:val="left"/>
      <w:lvlText w:val="%1"/>
      <w:numFmt w:val="decimal"/>
      <w:start w:val="10"/>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2"/>
      <w:numFmt w:val="bullet"/>
      <w:start w:val="1"/>
    </w:lvl>
    <w:lvl w:ilvl="1">
      <w:lvlJc w:val="left"/>
      <w:lvlText w:val="(%2)"/>
      <w:numFmt w:val="lowerLetter"/>
      <w:start w:val="1"/>
    </w:lvl>
  </w:abstractNum>
  <w:abstractNum w:abstractNumId="10">
    <w:nsid w:val="2CA88611"/>
    <w:multiLevelType w:val="hybridMultilevel"/>
    <w:lvl w:ilvl="0">
      <w:lvlJc w:val="left"/>
      <w:lvlText w:val="3"/>
      <w:numFmt w:val="bullet"/>
      <w:start w:val="1"/>
    </w:lvl>
  </w:abstractNum>
  <w:abstractNum w:abstractNumId="11">
    <w:nsid w:val="836C40E"/>
    <w:multiLevelType w:val="hybridMultilevel"/>
    <w:lvl w:ilvl="0">
      <w:lvlJc w:val="left"/>
      <w:lvlText w:val="4"/>
      <w:numFmt w:val="bullet"/>
      <w:start w:val="1"/>
    </w:lvl>
  </w:abstractNum>
  <w:abstractNum w:abstractNumId="12">
    <w:nsid w:val="2901D82"/>
    <w:multiLevelType w:val="hybridMultilevel"/>
    <w:lvl w:ilvl="0">
      <w:lvlJc w:val="left"/>
      <w:lvlText w:val="9"/>
      <w:numFmt w:val="bullet"/>
      <w:start w:val="1"/>
    </w:lvl>
  </w:abstractNum>
  <w:abstractNum w:abstractNumId="13">
    <w:nsid w:val="3A95F874"/>
    <w:multiLevelType w:val="hybridMultilevel"/>
    <w:lvl w:ilvl="0">
      <w:lvlJc w:val="left"/>
      <w:lvlText w:val="%1"/>
      <w:numFmt w:val="decimal"/>
      <w:start w:val="10"/>
    </w:lvl>
  </w:abstractNum>
  <w:abstractNum w:abstractNumId="14">
    <w:nsid w:val="8138641"/>
    <w:multiLevelType w:val="hybridMultilevel"/>
    <w:lvl w:ilvl="0">
      <w:lvlJc w:val="left"/>
      <w:lvlText w:val="1"/>
      <w:numFmt w:val="bullet"/>
      <w:start w:val="1"/>
    </w:lvl>
  </w:abstractNum>
  <w:abstractNum w:abstractNumId="15">
    <w:nsid w:val="1E7FF521"/>
    <w:multiLevelType w:val="hybridMultilevel"/>
    <w:lvl w:ilvl="0">
      <w:lvlJc w:val="left"/>
      <w:lvlText w:val="2"/>
      <w:numFmt w:val="bullet"/>
      <w:start w:val="1"/>
    </w:lvl>
    <w:lvl w:ilvl="1">
      <w:lvlJc w:val="left"/>
      <w:lvlText w:val="(%2)"/>
      <w:numFmt w:val="lowerLetter"/>
      <w:start w:val="1"/>
    </w:lvl>
  </w:abstractNum>
  <w:abstractNum w:abstractNumId="16">
    <w:nsid w:val="7C3DBD3D"/>
    <w:multiLevelType w:val="hybridMultilevel"/>
    <w:lvl w:ilvl="0">
      <w:lvlJc w:val="left"/>
      <w:lvlText w:val="3"/>
      <w:numFmt w:val="bullet"/>
      <w:start w:val="1"/>
    </w:lvl>
  </w:abstractNum>
  <w:abstractNum w:abstractNumId="17">
    <w:nsid w:val="737B8DDC"/>
    <w:multiLevelType w:val="hybridMultilevel"/>
    <w:lvl w:ilvl="0">
      <w:lvlJc w:val="left"/>
      <w:lvlText w:val="4"/>
      <w:numFmt w:val="bullet"/>
      <w:start w:val="1"/>
    </w:lvl>
  </w:abstractNum>
  <w:abstractNum w:abstractNumId="18">
    <w:nsid w:val="6CEAF087"/>
    <w:multiLevelType w:val="hybridMultilevel"/>
    <w:lvl w:ilvl="0">
      <w:lvlJc w:val="left"/>
      <w:lvlText w:val="9"/>
      <w:numFmt w:val="bullet"/>
      <w:start w:val="1"/>
    </w:lvl>
  </w:abstractNum>
  <w:abstractNum w:abstractNumId="19">
    <w:nsid w:val="22221A70"/>
    <w:multiLevelType w:val="hybridMultilevel"/>
    <w:lvl w:ilvl="0">
      <w:lvlJc w:val="left"/>
      <w:lvlText w:val="%1"/>
      <w:numFmt w:val="decimal"/>
      <w:start w:val="10"/>
    </w:lvl>
  </w:abstractNum>
  <w:abstractNum w:abstractNumId="20">
    <w:nsid w:val="4516DDE9"/>
    <w:multiLevelType w:val="hybridMultilevel"/>
    <w:lvl w:ilvl="0">
      <w:lvlJc w:val="left"/>
      <w:lvlText w:val="1"/>
      <w:numFmt w:val="bullet"/>
      <w:start w:val="1"/>
    </w:lvl>
  </w:abstractNum>
  <w:abstractNum w:abstractNumId="21">
    <w:nsid w:val="3006C83E"/>
    <w:multiLevelType w:val="hybridMultilevel"/>
    <w:lvl w:ilvl="0">
      <w:lvlJc w:val="left"/>
      <w:lvlText w:val="2"/>
      <w:numFmt w:val="bullet"/>
      <w:start w:val="1"/>
    </w:lvl>
    <w:lvl w:ilvl="1">
      <w:lvlJc w:val="left"/>
      <w:lvlText w:val="(%2)"/>
      <w:numFmt w:val="lowerLetter"/>
      <w:start w:val="1"/>
    </w:lvl>
  </w:abstractNum>
  <w:abstractNum w:abstractNumId="22">
    <w:nsid w:val="614FD4A1"/>
    <w:multiLevelType w:val="hybridMultilevel"/>
    <w:lvl w:ilvl="0">
      <w:lvlJc w:val="left"/>
      <w:lvlText w:val="3"/>
      <w:numFmt w:val="bullet"/>
      <w:start w:val="1"/>
    </w:lvl>
  </w:abstractNum>
  <w:abstractNum w:abstractNumId="23">
    <w:nsid w:val="419AC241"/>
    <w:multiLevelType w:val="hybridMultilevel"/>
    <w:lvl w:ilvl="0">
      <w:lvlJc w:val="left"/>
      <w:lvlText w:val="4"/>
      <w:numFmt w:val="bullet"/>
      <w:start w:val="1"/>
    </w:lvl>
  </w:abstractNum>
  <w:abstractNum w:abstractNumId="24">
    <w:nsid w:val="5577F8E1"/>
    <w:multiLevelType w:val="hybridMultilevel"/>
    <w:lvl w:ilvl="0">
      <w:lvlJc w:val="left"/>
      <w:lvlText w:val="9"/>
      <w:numFmt w:val="bullet"/>
      <w:start w:val="1"/>
    </w:lvl>
  </w:abstractNum>
  <w:abstractNum w:abstractNumId="25">
    <w:nsid w:val="440BADFC"/>
    <w:multiLevelType w:val="hybridMultilevel"/>
    <w:lvl w:ilvl="0">
      <w:lvlJc w:val="left"/>
      <w:lvlText w:val="%1"/>
      <w:numFmt w:val="decimal"/>
      <w:start w:val="10"/>
    </w:lvl>
  </w:abstractNum>
  <w:abstractNum w:abstractNumId="26">
    <w:nsid w:val="5072367"/>
    <w:multiLevelType w:val="hybridMultilevel"/>
    <w:lvl w:ilvl="0">
      <w:lvlJc w:val="left"/>
      <w:lvlText w:val="1"/>
      <w:numFmt w:val="bullet"/>
      <w:start w:val="1"/>
    </w:lvl>
  </w:abstractNum>
  <w:abstractNum w:abstractNumId="27">
    <w:nsid w:val="3804823E"/>
    <w:multiLevelType w:val="hybridMultilevel"/>
    <w:lvl w:ilvl="0">
      <w:lvlJc w:val="left"/>
      <w:lvlText w:val="2"/>
      <w:numFmt w:val="bullet"/>
      <w:start w:val="1"/>
    </w:lvl>
    <w:lvl w:ilvl="1">
      <w:lvlJc w:val="left"/>
      <w:lvlText w:val="(%2)"/>
      <w:numFmt w:val="lowerLetter"/>
      <w:start w:val="1"/>
    </w:lvl>
  </w:abstractNum>
  <w:abstractNum w:abstractNumId="28">
    <w:nsid w:val="77465F01"/>
    <w:multiLevelType w:val="hybridMultilevel"/>
    <w:lvl w:ilvl="0">
      <w:lvlJc w:val="left"/>
      <w:lvlText w:val="3"/>
      <w:numFmt w:val="bullet"/>
      <w:start w:val="1"/>
    </w:lvl>
  </w:abstractNum>
  <w:abstractNum w:abstractNumId="29">
    <w:nsid w:val="7724C67E"/>
    <w:multiLevelType w:val="hybridMultilevel"/>
    <w:lvl w:ilvl="0">
      <w:lvlJc w:val="left"/>
      <w:lvlText w:val="4"/>
      <w:numFmt w:val="bullet"/>
      <w:start w:val="1"/>
    </w:lvl>
  </w:abstractNum>
  <w:abstractNum w:abstractNumId="30">
    <w:nsid w:val="5C482A97"/>
    <w:multiLevelType w:val="hybridMultilevel"/>
    <w:lvl w:ilvl="0">
      <w:lvlJc w:val="left"/>
      <w:lvlText w:val="9"/>
      <w:numFmt w:val="bullet"/>
      <w:start w:val="1"/>
    </w:lvl>
  </w:abstractNum>
  <w:abstractNum w:abstractNumId="31">
    <w:nsid w:val="2463B9EA"/>
    <w:multiLevelType w:val="hybridMultilevel"/>
    <w:lvl w:ilvl="0">
      <w:lvlJc w:val="left"/>
      <w:lvlText w:val="%1"/>
      <w:numFmt w:val="decimal"/>
      <w:start w:val="10"/>
    </w:lvl>
  </w:abstractNum>
  <w:abstractNum w:abstractNumId="32">
    <w:nsid w:val="5E884ADC"/>
    <w:multiLevelType w:val="hybridMultilevel"/>
    <w:lvl w:ilvl="0">
      <w:lvlJc w:val="left"/>
      <w:lvlText w:val="1"/>
      <w:numFmt w:val="bullet"/>
      <w:start w:val="1"/>
    </w:lvl>
  </w:abstractNum>
  <w:abstractNum w:abstractNumId="33">
    <w:nsid w:val="51EAD36B"/>
    <w:multiLevelType w:val="hybridMultilevel"/>
    <w:lvl w:ilvl="0">
      <w:lvlJc w:val="left"/>
      <w:lvlText w:val="2"/>
      <w:numFmt w:val="bullet"/>
      <w:start w:val="1"/>
    </w:lvl>
    <w:lvl w:ilvl="1">
      <w:lvlJc w:val="left"/>
      <w:lvlText w:val="(%2)"/>
      <w:numFmt w:val="lowerLetter"/>
      <w:start w:val="1"/>
    </w:lvl>
  </w:abstractNum>
  <w:abstractNum w:abstractNumId="34">
    <w:nsid w:val="2D517796"/>
    <w:multiLevelType w:val="hybridMultilevel"/>
    <w:lvl w:ilvl="0">
      <w:lvlJc w:val="left"/>
      <w:lvlText w:val="3"/>
      <w:numFmt w:val="bullet"/>
      <w:start w:val="1"/>
    </w:lvl>
  </w:abstractNum>
  <w:abstractNum w:abstractNumId="35">
    <w:nsid w:val="580BD78F"/>
    <w:multiLevelType w:val="hybridMultilevel"/>
    <w:lvl w:ilvl="0">
      <w:lvlJc w:val="left"/>
      <w:lvlText w:val="4"/>
      <w:numFmt w:val="bullet"/>
      <w:start w:val="1"/>
    </w:lvl>
  </w:abstractNum>
  <w:abstractNum w:abstractNumId="36">
    <w:nsid w:val="153EA438"/>
    <w:multiLevelType w:val="hybridMultilevel"/>
    <w:lvl w:ilvl="0">
      <w:lvlJc w:val="left"/>
      <w:lvlText w:val="9"/>
      <w:numFmt w:val="bullet"/>
      <w:start w:val="1"/>
    </w:lvl>
  </w:abstractNum>
  <w:abstractNum w:abstractNumId="37">
    <w:nsid w:val="3855585C"/>
    <w:multiLevelType w:val="hybridMultilevel"/>
    <w:lvl w:ilvl="0">
      <w:lvlJc w:val="left"/>
      <w:lvlText w:val="%1"/>
      <w:numFmt w:val="decimal"/>
      <w:start w:val="10"/>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lowerLetter"/>
      <w:start w:val="3"/>
    </w:lvl>
    <w:lvl w:ilvl="1">
      <w:lvlJc w:val="left"/>
      <w:lvlText w:val="(%2)"/>
      <w:numFmt w:val="lowerRoman"/>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2023-10-13T15:10:16Z</dcterms:created>
  <dcterms:modified xsi:type="dcterms:W3CDTF">2023-10-13T15:10:16Z</dcterms:modified>
</cp:coreProperties>
</file>