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Graham G. Walmsley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LOGOS GLOBAL MANAGEMENT, LP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LETTERMAN DRIVE, BLDG D, SUITE D3-</w:t>
      </w:r>
    </w:p>
    <w:p>
      <w:pPr>
        <w:spacing w:after="0" w:line="3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ALX ONCOLOGY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ALXO </w:t>
      </w:r>
      <w:r>
        <w:rPr>
          <w:rFonts w:ascii="Arial" w:cs="Arial" w:eastAsia="Arial" w:hAnsi="Arial"/>
          <w:sz w:val="21"/>
          <w:szCs w:val="21"/>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846" w:lineRule="exact"/>
        <w:rPr>
          <w:sz w:val="24"/>
          <w:szCs w:val="24"/>
          <w:color w:val="auto"/>
        </w:rPr>
      </w:pPr>
    </w:p>
    <w:p>
      <w:pPr>
        <w:sectPr>
          <w:pgSz w:w="11900" w:h="16838" w:orient="portrait"/>
          <w:cols w:equalWidth="0" w:num="3">
            <w:col w:w="3500" w:space="420"/>
            <w:col w:w="3360" w:space="455"/>
            <w:col w:w="3345"/>
          </w:cols>
          <w:pgMar w:left="460" w:top="225" w:right="359" w:bottom="1440" w:gutter="0" w:footer="0" w:header="0"/>
          <w:type w:val="continuous"/>
        </w:sectPr>
      </w:pPr>
    </w:p>
    <w:p>
      <w:pPr>
        <w:spacing w:after="0" w:line="24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94129 FRANCISCO</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spacing w:after="0" w:line="7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15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60" w:type="dxa"/>
            <w:vAlign w:val="bottom"/>
            <w:gridSpan w:val="2"/>
            <w:vMerge w:val="restart"/>
          </w:tcPr>
          <w:p>
            <w:pPr>
              <w:ind w:left="620"/>
              <w:spacing w:after="0"/>
              <w:rPr>
                <w:sz w:val="20"/>
                <w:szCs w:val="20"/>
                <w:color w:val="auto"/>
              </w:rPr>
            </w:pPr>
            <w:r>
              <w:rPr>
                <w:rFonts w:ascii="Arial" w:cs="Arial" w:eastAsia="Arial" w:hAnsi="Arial"/>
                <w:sz w:val="17"/>
                <w:szCs w:val="17"/>
                <w:color w:val="0000FF"/>
              </w:rPr>
              <w:t>12/14/2020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20" w:type="dxa"/>
            <w:vAlign w:val="bottom"/>
            <w:vMerge w:val="restart"/>
          </w:tcPr>
          <w:p>
            <w:pPr>
              <w:ind w:left="160"/>
              <w:spacing w:after="0"/>
              <w:rPr>
                <w:sz w:val="20"/>
                <w:szCs w:val="20"/>
                <w:color w:val="auto"/>
              </w:rPr>
            </w:pPr>
            <w:r>
              <w:rPr>
                <w:rFonts w:ascii="Arial" w:cs="Arial" w:eastAsia="Arial" w:hAnsi="Arial"/>
                <w:sz w:val="17"/>
                <w:szCs w:val="17"/>
                <w:color w:val="0000FF"/>
              </w:rPr>
              <w:t>20,000</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600" w:type="dxa"/>
            <w:vAlign w:val="bottom"/>
            <w:gridSpan w:val="2"/>
            <w:vMerge w:val="restart"/>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w:t>
            </w:r>
          </w:p>
        </w:tc>
        <w:tc>
          <w:tcPr>
            <w:tcW w:w="130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0000FF"/>
              </w:rPr>
              <w:t>995,000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right"/>
              <w:ind w:right="220"/>
              <w:spacing w:after="0"/>
              <w:rPr>
                <w:sz w:val="20"/>
                <w:szCs w:val="20"/>
                <w:color w:val="auto"/>
              </w:rPr>
            </w:pPr>
            <w:r>
              <w:rPr>
                <w:rFonts w:ascii="Arial" w:cs="Arial" w:eastAsia="Arial" w:hAnsi="Arial"/>
                <w:sz w:val="17"/>
                <w:szCs w:val="17"/>
                <w:color w:val="0000FF"/>
              </w:rPr>
              <w:t>2,161,981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Logos Global Master Fund, L.P. (LGMF LP). As a managing member of Logos GP LLC, the general partner of LGMF LP, the reporting person shares voting and dispositive power with respect to the shares held of record by LGMF LP but disclaims beneficial ownership of such shares except to the extent of his individual pecuniary interest therein.</w:t>
      </w:r>
    </w:p>
    <w:p>
      <w:pPr>
        <w:ind w:left="40" w:right="3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Logos Opportunities Fund I, L.P. (LOF I LP). As a managing member of Logos Opportunities GP, LLC, the general partner of LOF I LP, the reporting person shares voting and dispositive power with respect to the shares held of record by LOF I LP but disclaims beneficial ownership of such shares except to the extent of his individual pecuniary interest therein.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12/15/2020</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7517"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2020-12-15T18:08:41Z</dcterms:created>
  <dcterms:modified xsi:type="dcterms:W3CDTF">2020-12-15T18:08:41Z</dcterms:modified>
</cp:coreProperties>
</file>