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52"/>
        <w:spacing w:after="0" w:line="196" w:lineRule="auto"/>
        <w:tabs>
          <w:tab w:leader="none" w:pos="460" w:val="left"/>
        </w:tabs>
        <w:numPr>
          <w:ilvl w:val="0"/>
          <w:numId w:val="2"/>
        </w:numPr>
        <w:rPr>
          <w:rFonts w:ascii="MS PGothic" w:cs="MS PGothic" w:eastAsia="MS PGothic" w:hAnsi="MS PGothic"/>
          <w:sz w:val="29"/>
          <w:szCs w:val="29"/>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0"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438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0"/>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323 Allerton Avenue</w:t>
            </w:r>
          </w:p>
        </w:tc>
        <w:tc>
          <w:tcPr>
            <w:tcW w:w="3040" w:type="dxa"/>
            <w:vAlign w:val="bottom"/>
          </w:tcPr>
          <w:p>
            <w:pPr>
              <w:spacing w:after="0"/>
              <w:rPr>
                <w:sz w:val="20"/>
                <w:szCs w:val="20"/>
                <w:color w:val="auto"/>
              </w:rPr>
            </w:pPr>
          </w:p>
        </w:tc>
      </w:tr>
      <w:tr>
        <w:trPr>
          <w:trHeight w:val="218"/>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ALXO</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80" w:firstLine="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300" w:firstLine="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3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8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60" w:firstLine="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300" w:right="348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31, 2025, the registrant had 54,218,001 shares of common stock outstanding,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89" w:lineRule="exact"/>
        <w:rPr>
          <w:sz w:val="20"/>
          <w:szCs w:val="20"/>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260" w:right="6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our ability to grow a sales team;</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260" w:right="8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preclinical research activities, and for the manufacture of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mechanisms of action, safety profile,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260" w:right="2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including collaborations and investigator sponsored trials, to demonstrate the safety and efficacy of our product candidates, and other positive results;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17" w:lineRule="exact"/>
        <w:rPr>
          <w:rFonts w:ascii="Times New Roman" w:cs="Times New Roman" w:eastAsia="Times New Roman" w:hAnsi="Times New Roman"/>
          <w:sz w:val="18"/>
          <w:szCs w:val="18"/>
          <w:color w:val="auto"/>
        </w:rPr>
      </w:pPr>
    </w:p>
    <w:p>
      <w:pPr>
        <w:ind w:left="1260" w:right="1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that we may pursue;</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260" w:right="52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1260" w:right="68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1260" w:right="56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53" w:lineRule="exact"/>
        <w:rPr>
          <w:rFonts w:ascii="Times New Roman" w:cs="Times New Roman" w:eastAsia="Times New Roman" w:hAnsi="Times New Roman"/>
          <w:sz w:val="18"/>
          <w:szCs w:val="18"/>
          <w:color w:val="auto"/>
        </w:rPr>
      </w:pPr>
    </w:p>
    <w:p>
      <w:pPr>
        <w:ind w:left="1260" w:right="34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the impacts of any executive officer changes, and to identify, hire, and then retain additional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1260" w:right="20" w:hanging="368"/>
        <w:spacing w:after="0" w:line="261"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global economic environment, such as inflation, interest rate changes, trade and other global disputes and interruptions, including related to tariffs and trade protection measures, duration of the U.S. federal government shutdown, economic downturns, bank failures or instability in the financial services sector, or geopolitical risks, disasters, and medical or public health crises, such as the COVID-19 pandemic;</w:t>
      </w:r>
    </w:p>
    <w:p>
      <w:pPr>
        <w:spacing w:after="0" w:line="71" w:lineRule="exact"/>
        <w:rPr>
          <w:rFonts w:ascii="Times New Roman" w:cs="Times New Roman" w:eastAsia="Times New Roman" w:hAnsi="Times New Roman"/>
          <w:sz w:val="18"/>
          <w:szCs w:val="18"/>
          <w:color w:val="auto"/>
        </w:rPr>
      </w:pPr>
    </w:p>
    <w:p>
      <w:pPr>
        <w:ind w:left="1260" w:right="360" w:hanging="368"/>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and prospects of our acquisitions and other business development activities, and our ability to successfully capitalize on these opportunities;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and internal controls; and</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and cash equivalents, short-term and long-term investments, and the funds available from our term loan.</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gridSpan w:val="14"/>
            <w:vMerge w:val="restart"/>
          </w:tcPr>
          <w:p>
            <w:pPr>
              <w:jc w:val="center"/>
              <w:ind w:right="2980"/>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14"/>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17"/>
                <w:szCs w:val="17"/>
                <w:color w:val="auto"/>
              </w:rPr>
            </w:pPr>
          </w:p>
        </w:tc>
        <w:tc>
          <w:tcPr>
            <w:tcW w:w="1000" w:type="dxa"/>
            <w:vAlign w:val="bottom"/>
            <w:gridSpan w:val="3"/>
          </w:tcPr>
          <w:p>
            <w:pPr>
              <w:spacing w:after="0"/>
              <w:rPr>
                <w:sz w:val="17"/>
                <w:szCs w:val="17"/>
                <w:color w:val="auto"/>
              </w:rPr>
            </w:pPr>
          </w:p>
        </w:tc>
        <w:tc>
          <w:tcPr>
            <w:tcW w:w="2260" w:type="dxa"/>
            <w:vAlign w:val="bottom"/>
            <w:tcBorders>
              <w:top w:val="single" w:sz="8" w:color="0000FF"/>
            </w:tcBorders>
            <w:gridSpan w:val="11"/>
          </w:tcPr>
          <w:p>
            <w:pPr>
              <w:spacing w:after="0"/>
              <w:rPr>
                <w:sz w:val="17"/>
                <w:szCs w:val="17"/>
                <w:color w:val="auto"/>
              </w:rPr>
            </w:pPr>
          </w:p>
        </w:tc>
        <w:tc>
          <w:tcPr>
            <w:tcW w:w="34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620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6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0" w:type="dxa"/>
            <w:vAlign w:val="bottom"/>
            <w:tcBorders>
              <w:bottom w:val="single" w:sz="8" w:color="0000EE"/>
            </w:tcBorders>
          </w:tcPr>
          <w:p>
            <w:pPr>
              <w:spacing w:after="0"/>
              <w:rPr>
                <w:sz w:val="17"/>
                <w:szCs w:val="17"/>
                <w:color w:val="auto"/>
              </w:rPr>
            </w:pPr>
          </w:p>
        </w:tc>
        <w:tc>
          <w:tcPr>
            <w:tcW w:w="548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1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4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7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7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42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16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86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12"/>
          </w:tcPr>
          <w:p>
            <w:pPr>
              <w:jc w:val="center"/>
              <w:ind w:right="3640"/>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280" w:type="dxa"/>
            <w:vAlign w:val="bottom"/>
            <w:gridSpan w:val="9"/>
          </w:tcPr>
          <w:p>
            <w:pPr>
              <w:spacing w:after="0"/>
              <w:rPr>
                <w:sz w:val="17"/>
                <w:szCs w:val="17"/>
                <w:color w:val="auto"/>
              </w:rPr>
            </w:pPr>
          </w:p>
        </w:tc>
        <w:tc>
          <w:tcPr>
            <w:tcW w:w="1900" w:type="dxa"/>
            <w:vAlign w:val="bottom"/>
            <w:tcBorders>
              <w:top w:val="single" w:sz="8" w:color="0000FF"/>
            </w:tcBorders>
            <w:gridSpan w:val="9"/>
          </w:tcPr>
          <w:p>
            <w:pPr>
              <w:spacing w:after="0"/>
              <w:rPr>
                <w:sz w:val="17"/>
                <w:szCs w:val="17"/>
                <w:color w:val="auto"/>
              </w:rPr>
            </w:pPr>
          </w:p>
        </w:tc>
        <w:tc>
          <w:tcPr>
            <w:tcW w:w="36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1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60" w:type="dxa"/>
            <w:vAlign w:val="bottom"/>
            <w:tcBorders>
              <w:top w:val="single" w:sz="8" w:color="0000FF"/>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020" w:type="dxa"/>
            <w:vAlign w:val="bottom"/>
            <w:tcBorders>
              <w:top w:val="single" w:sz="8" w:color="0000FF"/>
            </w:tcBorders>
            <w:gridSpan w:val="13"/>
          </w:tcPr>
          <w:p>
            <w:pPr>
              <w:spacing w:after="0"/>
              <w:rPr>
                <w:sz w:val="17"/>
                <w:szCs w:val="17"/>
                <w:color w:val="auto"/>
              </w:rPr>
            </w:pPr>
          </w:p>
        </w:tc>
        <w:tc>
          <w:tcPr>
            <w:tcW w:w="47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7"/>
                <w:szCs w:val="17"/>
                <w:color w:val="auto"/>
              </w:rPr>
            </w:pPr>
          </w:p>
        </w:tc>
        <w:tc>
          <w:tcPr>
            <w:tcW w:w="7400" w:type="dxa"/>
            <w:vAlign w:val="bottom"/>
            <w:gridSpan w:val="2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20" w:type="dxa"/>
            <w:vAlign w:val="bottom"/>
            <w:tcBorders>
              <w:bottom w:val="single" w:sz="8" w:color="0000EE"/>
            </w:tcBorders>
          </w:tcPr>
          <w:p>
            <w:pPr>
              <w:spacing w:after="0"/>
              <w:rPr>
                <w:sz w:val="17"/>
                <w:szCs w:val="17"/>
                <w:color w:val="auto"/>
              </w:rPr>
            </w:pPr>
          </w:p>
        </w:tc>
        <w:tc>
          <w:tcPr>
            <w:tcW w:w="8540" w:type="dxa"/>
            <w:vAlign w:val="bottom"/>
            <w:gridSpan w:val="2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91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432"/>
        </w:trPr>
        <w:tc>
          <w:tcPr>
            <w:tcW w:w="1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30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30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ALX ONCOLOGY HOLDINGS INC.</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00" w:type="dxa"/>
            <w:vAlign w:val="bottom"/>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00" w:type="dxa"/>
            <w:vAlign w:val="bottom"/>
          </w:tcPr>
          <w:p>
            <w:pPr>
              <w:jc w:val="center"/>
              <w:ind w:left="385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40" w:type="dxa"/>
            <w:vAlign w:val="bottom"/>
            <w:gridSpan w:val="2"/>
          </w:tcPr>
          <w:p>
            <w:pPr>
              <w:jc w:val="center"/>
              <w:ind w:left="363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110,190</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134,352</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82,723</w:t>
            </w:r>
          </w:p>
        </w:tc>
        <w:tc>
          <w:tcPr>
            <w:tcW w:w="18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8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 and accrued liabilities due to related party</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current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of September 30, 2025 and December 31, 2024; 53,577,566 and</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53,052,912 shares issued and outstanding as of September 30, 2025</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734,412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(699,969)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(621,122)</w:t>
            </w:r>
          </w:p>
        </w:tc>
      </w:tr>
      <w:tr>
        <w:trPr>
          <w:trHeight w:val="209"/>
        </w:trPr>
        <w:tc>
          <w:tcPr>
            <w:tcW w:w="73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113,618</w:t>
            </w:r>
          </w:p>
        </w:tc>
        <w:tc>
          <w:tcPr>
            <w:tcW w:w="100" w:type="dxa"/>
            <w:vAlign w:val="bottom"/>
            <w:tcBorders>
              <w:top w:val="single" w:sz="8" w:color="CFF0FC"/>
            </w:tcBorders>
          </w:tcPr>
          <w:p>
            <w:pPr>
              <w:spacing w:after="0"/>
              <w:rPr>
                <w:sz w:val="18"/>
                <w:szCs w:val="18"/>
                <w:color w:val="auto"/>
              </w:rPr>
            </w:pPr>
          </w:p>
        </w:tc>
      </w:tr>
      <w:tr>
        <w:trPr>
          <w:trHeight w:val="250"/>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82,723</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-3813810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-3256915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-2125345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-1559560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-316230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6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59,351</w:t>
            </w:r>
          </w:p>
        </w:tc>
        <w:tc>
          <w:tcPr>
            <w:tcW w:w="160" w:type="dxa"/>
            <w:vAlign w:val="bottom"/>
          </w:tcPr>
          <w:p>
            <w:pPr>
              <w:spacing w:after="0"/>
              <w:rPr>
                <w:sz w:val="18"/>
                <w:szCs w:val="18"/>
                <w:color w:val="auto"/>
              </w:rPr>
            </w:pP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charge</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(111,854)</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580" w:type="dxa"/>
            <w:vAlign w:val="bottom"/>
            <w:gridSpan w:val="2"/>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00" w:type="dxa"/>
            <w:vAlign w:val="bottom"/>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580" w:type="dxa"/>
            <w:vAlign w:val="bottom"/>
            <w:gridSpan w:val="2"/>
            <w:shd w:val="clear" w:color="auto" w:fill="CFF0FC"/>
          </w:tcPr>
          <w:p>
            <w:pPr>
              <w:jc w:val="right"/>
              <w:ind w:right="2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78"/>
        </w:trPr>
        <w:tc>
          <w:tcPr>
            <w:tcW w:w="47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used to</w:t>
            </w: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53,577,066</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52,693,878</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53,452,319</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51,544,501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compute net loss per share, basic and diluted</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-1165225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-1165225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-1165225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-299720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-281940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-299720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-281940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-299720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-281940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9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(22,144)</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(30,707)</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(78,847)</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(105,687)</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18"/>
                <w:szCs w:val="18"/>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(22,137)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(30,071)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(79,079)</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(105,380)</w:t>
            </w:r>
          </w:p>
        </w:tc>
      </w:tr>
      <w:tr>
        <w:trPr>
          <w:trHeight w:val="20"/>
        </w:trPr>
        <w:tc>
          <w:tcPr>
            <w:tcW w:w="4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-170815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2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3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6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9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53,052,912</w:t>
            </w:r>
          </w:p>
        </w:tc>
        <w:tc>
          <w:tcPr>
            <w:tcW w:w="1040" w:type="dxa"/>
            <w:vAlign w:val="bottom"/>
            <w:gridSpan w:val="2"/>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734,412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(621,122)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incentive plans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125,920</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ATM offering,</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205,313</w:t>
            </w: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of commissions</w:t>
            </w:r>
          </w:p>
        </w:tc>
        <w:tc>
          <w:tcPr>
            <w:tcW w:w="9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(30,754)</w:t>
            </w: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(30,754)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53,384,145</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(651,876)</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Issuance of common stock under equity incentive plans</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84,099</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38,533</w:t>
            </w: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3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(25,949)</w:t>
            </w: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(25,949)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53,506,777</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742,150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(677,825)</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64,415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20" w:type="dxa"/>
            <w:vAlign w:val="bottom"/>
            <w:tcBorders>
              <w:top w:val="single" w:sz="8" w:color="CFF0FC"/>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Issuance of common stock under equity incentive plans</w:t>
            </w: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70,789</w:t>
            </w:r>
          </w:p>
        </w:tc>
        <w:tc>
          <w:tcPr>
            <w:tcW w:w="24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investments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(22,144)</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(22,144)</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53,577,566</w:t>
            </w:r>
          </w:p>
        </w:tc>
        <w:tc>
          <w:tcPr>
            <w:tcW w:w="240" w:type="dxa"/>
            <w:vAlign w:val="bottom"/>
          </w:tcPr>
          <w:p>
            <w:pPr>
              <w:spacing w:after="0"/>
              <w:rPr>
                <w:sz w:val="12"/>
                <w:szCs w:val="12"/>
                <w:color w:val="auto"/>
              </w:rPr>
            </w:pPr>
          </w:p>
        </w:tc>
        <w:tc>
          <w:tcPr>
            <w:tcW w:w="800" w:type="dxa"/>
            <w:vAlign w:val="bottom"/>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744,672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(699,969)</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-1207770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-1207770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-1207770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-1207770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-1207770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-530860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-513715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-530860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-513715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-530860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-513715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-530860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-513715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-530860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-513715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-128270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-128270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-128270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-128270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-128270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12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49,951,989</w:t>
            </w:r>
          </w:p>
        </w:tc>
        <w:tc>
          <w:tcPr>
            <w:tcW w:w="1120" w:type="dxa"/>
            <w:vAlign w:val="bottom"/>
            <w:gridSpan w:val="2"/>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3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675,678</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(486,272)</w:t>
            </w:r>
          </w:p>
        </w:tc>
        <w:tc>
          <w:tcPr>
            <w:tcW w:w="2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189,712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incentive plans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113,385</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ATM offering,</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211,819</w:t>
            </w:r>
          </w:p>
        </w:tc>
        <w:tc>
          <w:tcPr>
            <w:tcW w:w="2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of commissions of $0.1 million</w:t>
            </w:r>
          </w:p>
        </w:tc>
        <w:tc>
          <w:tcPr>
            <w:tcW w:w="10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49"/>
        </w:trPr>
        <w:tc>
          <w:tcPr>
            <w:tcW w:w="3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(35,581)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(35,581)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50,277,193</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685,970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(521,853)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164,195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Issuance of common stock under equity incentive plans</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321,753</w:t>
            </w:r>
          </w:p>
        </w:tc>
        <w:tc>
          <w:tcPr>
            <w:tcW w:w="28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861</w:t>
            </w:r>
          </w:p>
        </w:tc>
        <w:tc>
          <w:tcPr>
            <w:tcW w:w="2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59,712</w:t>
            </w:r>
          </w:p>
        </w:tc>
        <w:tc>
          <w:tcPr>
            <w:tcW w:w="2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ATM offering,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1,794,091</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26,201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commissions and offering costs of $0.8 million</w:t>
            </w: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(39,399)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(39,399)</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52,452,749</w:t>
            </w:r>
          </w:p>
        </w:tc>
        <w:tc>
          <w:tcPr>
            <w:tcW w:w="1120" w:type="dxa"/>
            <w:vAlign w:val="bottom"/>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720,590</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(561,252)</w:t>
            </w:r>
          </w:p>
        </w:tc>
        <w:tc>
          <w:tcPr>
            <w:tcW w:w="2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Issuance of common stock under equity incentive plans</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290,355</w:t>
            </w: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533</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ATM offering,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commissions and offering costs</w:t>
            </w: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investments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(30,707)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(30,707)</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52,743,104</w:t>
            </w:r>
          </w:p>
        </w:tc>
        <w:tc>
          <w:tcPr>
            <w:tcW w:w="1120" w:type="dxa"/>
            <w:vAlign w:val="bottom"/>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3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728,150</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563</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(591,959)</w:t>
            </w:r>
          </w:p>
        </w:tc>
        <w:tc>
          <w:tcPr>
            <w:tcW w:w="2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-1585595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-1585595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-1585595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-1585595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-1585595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-822325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-822325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-822325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-822325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-822325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-128270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-128270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-128270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-128270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6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(78,847)</w:t>
            </w:r>
          </w:p>
        </w:tc>
        <w:tc>
          <w:tcPr>
            <w:tcW w:w="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(105,687)</w:t>
            </w: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lease costs</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accretion of discounts on investments</w:t>
            </w:r>
          </w:p>
        </w:tc>
        <w:tc>
          <w:tcPr>
            <w:tcW w:w="10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(3,920)</w:t>
            </w:r>
          </w:p>
        </w:tc>
      </w:tr>
      <w:tr>
        <w:trPr>
          <w:trHeight w:val="149"/>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Accretion of term loan discount and issuance costs</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charge</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w:t>
            </w:r>
          </w:p>
        </w:tc>
        <w:tc>
          <w:tcPr>
            <w:tcW w:w="10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(1,418)</w:t>
            </w:r>
          </w:p>
        </w:tc>
      </w:tr>
      <w:tr>
        <w:trPr>
          <w:trHeight w:val="149"/>
        </w:trPr>
        <w:tc>
          <w:tcPr>
            <w:tcW w:w="762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(5,693)</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2,170</w:t>
            </w: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(637)</w:t>
            </w:r>
          </w:p>
        </w:tc>
      </w:tr>
      <w:tr>
        <w:trPr>
          <w:trHeight w:val="148"/>
        </w:trPr>
        <w:tc>
          <w:tcPr>
            <w:tcW w:w="762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Payable and accrued liabilities due to related party</w:t>
            </w:r>
          </w:p>
        </w:tc>
        <w:tc>
          <w:tcPr>
            <w:tcW w:w="10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(480)</w:t>
            </w:r>
          </w:p>
        </w:tc>
      </w:tr>
      <w:tr>
        <w:trPr>
          <w:trHeight w:val="148"/>
        </w:trPr>
        <w:tc>
          <w:tcPr>
            <w:tcW w:w="76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(1,730)</w:t>
            </w:r>
          </w:p>
        </w:tc>
      </w:tr>
      <w:tr>
        <w:trPr>
          <w:trHeight w:val="148"/>
        </w:trPr>
        <w:tc>
          <w:tcPr>
            <w:tcW w:w="762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(1,575)</w:t>
            </w:r>
          </w:p>
        </w:tc>
      </w:tr>
      <w:tr>
        <w:trPr>
          <w:trHeight w:val="20"/>
        </w:trPr>
        <w:tc>
          <w:tcPr>
            <w:tcW w:w="76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762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(65,162)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(89,866)</w:t>
            </w: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0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investments</w:t>
            </w:r>
          </w:p>
        </w:tc>
        <w:tc>
          <w:tcPr>
            <w:tcW w:w="10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(45,619)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(102,962)</w:t>
            </w: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Maturities of investments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117,135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156,422</w:t>
            </w:r>
          </w:p>
        </w:tc>
        <w:tc>
          <w:tcPr>
            <w:tcW w:w="120" w:type="dxa"/>
            <w:vAlign w:val="bottom"/>
            <w:shd w:val="clear" w:color="auto" w:fill="CFF0FC"/>
          </w:tcPr>
          <w:p>
            <w:pPr>
              <w:spacing w:after="0"/>
              <w:rPr>
                <w:sz w:val="12"/>
                <w:szCs w:val="12"/>
                <w:color w:val="auto"/>
              </w:rPr>
            </w:pPr>
          </w:p>
        </w:tc>
      </w:tr>
      <w:tr>
        <w:trPr>
          <w:trHeight w:val="149"/>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0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(387)</w:t>
            </w:r>
          </w:p>
        </w:tc>
      </w:tr>
      <w:tr>
        <w:trPr>
          <w:trHeight w:val="142"/>
        </w:trPr>
        <w:tc>
          <w:tcPr>
            <w:tcW w:w="7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71,353</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53,073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ATM offering, net of commissions</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29,302</w:t>
            </w: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under equity incentive plan</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leases</w:t>
            </w:r>
          </w:p>
        </w:tc>
        <w:tc>
          <w:tcPr>
            <w:tcW w:w="10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(751)</w:t>
            </w:r>
          </w:p>
        </w:tc>
      </w:tr>
      <w:tr>
        <w:trPr>
          <w:trHeight w:val="142"/>
        </w:trPr>
        <w:tc>
          <w:tcPr>
            <w:tcW w:w="76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7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(6,304)</w:t>
            </w:r>
          </w:p>
        </w:tc>
      </w:tr>
      <w:tr>
        <w:trPr>
          <w:trHeight w:val="148"/>
        </w:trPr>
        <w:tc>
          <w:tcPr>
            <w:tcW w:w="7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0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17,633</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40" w:type="dxa"/>
            <w:vAlign w:val="bottom"/>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23,508</w:t>
            </w:r>
          </w:p>
        </w:tc>
        <w:tc>
          <w:tcPr>
            <w:tcW w:w="160" w:type="dxa"/>
            <w:vAlign w:val="bottom"/>
          </w:tcPr>
          <w:p>
            <w:pPr>
              <w:spacing w:after="0"/>
              <w:rPr>
                <w:sz w:val="12"/>
                <w:szCs w:val="12"/>
                <w:color w:val="auto"/>
              </w:rPr>
            </w:pPr>
          </w:p>
        </w:tc>
        <w:tc>
          <w:tcPr>
            <w:tcW w:w="48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16,168</w:t>
            </w:r>
          </w:p>
        </w:tc>
        <w:tc>
          <w:tcPr>
            <w:tcW w:w="120" w:type="dxa"/>
            <w:vAlign w:val="bottom"/>
          </w:tcPr>
          <w:p>
            <w:pPr>
              <w:spacing w:after="0"/>
              <w:rPr>
                <w:sz w:val="12"/>
                <w:szCs w:val="12"/>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76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1040" w:type="dxa"/>
            <w:vAlign w:val="bottom"/>
            <w:shd w:val="clear" w:color="auto" w:fill="CFF0FC"/>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w:t>
            </w:r>
          </w:p>
        </w:tc>
        <w:tc>
          <w:tcPr>
            <w:tcW w:w="120" w:type="dxa"/>
            <w:vAlign w:val="bottom"/>
            <w:shd w:val="clear" w:color="auto" w:fill="CFF0FC"/>
          </w:tcPr>
          <w:p>
            <w:pPr>
              <w:spacing w:after="0"/>
              <w:rPr>
                <w:sz w:val="12"/>
                <w:szCs w:val="12"/>
                <w:color w:val="auto"/>
              </w:rPr>
            </w:pPr>
          </w:p>
        </w:tc>
      </w:tr>
      <w:tr>
        <w:trPr>
          <w:trHeight w:val="149"/>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Right-of-use asset (modified) acquired under finance leases</w:t>
            </w:r>
          </w:p>
        </w:tc>
        <w:tc>
          <w:tcPr>
            <w:tcW w:w="1040" w:type="dxa"/>
            <w:vAlign w:val="bottom"/>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48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w:t>
            </w:r>
          </w:p>
        </w:tc>
        <w:tc>
          <w:tcPr>
            <w:tcW w:w="120" w:type="dxa"/>
            <w:vAlign w:val="bottom"/>
          </w:tcPr>
          <w:p>
            <w:pPr>
              <w:spacing w:after="0"/>
              <w:rPr>
                <w:sz w:val="12"/>
                <w:szCs w:val="12"/>
                <w:color w:val="auto"/>
              </w:rPr>
            </w:pPr>
          </w:p>
        </w:tc>
      </w:tr>
      <w:tr>
        <w:trPr>
          <w:trHeight w:val="148"/>
        </w:trPr>
        <w:tc>
          <w:tcPr>
            <w:tcW w:w="76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FF0FC"/>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23,442</w:t>
            </w:r>
          </w:p>
        </w:tc>
        <w:tc>
          <w:tcPr>
            <w:tcW w:w="1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120" w:type="dxa"/>
            <w:vAlign w:val="bottom"/>
            <w:shd w:val="clear" w:color="auto" w:fill="CFF0FC"/>
          </w:tcPr>
          <w:p>
            <w:pPr>
              <w:spacing w:after="0"/>
              <w:rPr>
                <w:sz w:val="12"/>
                <w:szCs w:val="12"/>
                <w:color w:val="auto"/>
              </w:rPr>
            </w:pPr>
          </w:p>
        </w:tc>
      </w:tr>
      <w:tr>
        <w:trPr>
          <w:trHeight w:val="148"/>
        </w:trPr>
        <w:tc>
          <w:tcPr>
            <w:tcW w:w="7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assets)</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2"/>
                <w:szCs w:val="12"/>
                <w:color w:val="auto"/>
              </w:rPr>
            </w:pPr>
          </w:p>
        </w:tc>
      </w:tr>
      <w:tr>
        <w:trPr>
          <w:trHeight w:val="182"/>
        </w:trPr>
        <w:tc>
          <w:tcPr>
            <w:tcW w:w="7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1040" w:type="dxa"/>
            <w:vAlign w:val="bottom"/>
            <w:tcBorders>
              <w:bottom w:val="single" w:sz="8" w:color="auto"/>
            </w:tcBorders>
            <w:shd w:val="clear" w:color="auto" w:fill="CFF0FC"/>
          </w:tcPr>
          <w:p>
            <w:pPr>
              <w:jc w:val="right"/>
              <w:ind w:right="8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23,508</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16,168</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-2382520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-2382520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-1323340</wp:posOffset>
            </wp:positionV>
            <wp:extent cx="939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-1323340</wp:posOffset>
            </wp:positionV>
            <wp:extent cx="1028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-1010920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ind w:left="520" w:right="9520" w:hanging="512"/>
        <w:spacing w:after="0" w:line="378" w:lineRule="auto"/>
        <w:tabs>
          <w:tab w:leader="none" w:pos="26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b w:val="1"/>
          <w:bCs w:val="1"/>
          <w:i w:val="1"/>
          <w:iCs w:val="1"/>
          <w:color w:val="auto"/>
        </w:rPr>
        <w:t>Organization</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biotechnology company advancing a pipeline of novel therapies designed to treat cancer and extend patients’ lives.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Management expects to incur additional losses in the future to conduct product candidate research and development and to conduct pre-commercialization activities and recognizes that the Company will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 after the date the condensed consolidated financial statements are issued.</w:t>
      </w:r>
    </w:p>
    <w:p>
      <w:pPr>
        <w:spacing w:after="0" w:line="298" w:lineRule="exact"/>
        <w:rPr>
          <w:sz w:val="20"/>
          <w:szCs w:val="20"/>
          <w:color w:val="auto"/>
        </w:rPr>
      </w:pPr>
    </w:p>
    <w:p>
      <w:pPr>
        <w:ind w:left="520" w:right="7580" w:hanging="512"/>
        <w:spacing w:after="0" w:line="378" w:lineRule="auto"/>
        <w:tabs>
          <w:tab w:leader="none" w:pos="26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color w:val="auto"/>
        </w:rPr>
        <w:t>Basis of Preparation</w:t>
      </w: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2024 filed with the SEC on March 6, 2025.</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2025 included herein was derived from the audited financial statements as of that date, but does not include all disclosures including notes required by U.S. GAAP.</w:t>
      </w:r>
    </w:p>
    <w:p>
      <w:pPr>
        <w:spacing w:after="0" w:line="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and impairment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management believes to be reasonable under the circumstances and adjusts those estimates and assumptions when facts and circumstances change. Actual results could differ from those estimates.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new or material changes to the significant accounting policies discussed in the Company’s Annual Report on Form 10-K for the year ended December 31,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spacing w:after="0" w:line="7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ASU 2024-03 requires disaggregated disclosure of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The Company’s chief operating decision maker (CODM) uses consolidated, single-segment financial information for the purposes of assessing performance, making operating decisions, allocating resources, and planning and forecasting for future periods.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CODM reviews cash, cash equivalents and investments as a measure of segment assets. As of September 30, 2025 and December 31, 2024, the Company’s cash, cash equivalents and investments were $66.5 million and $131.3 million, respectively.</w:t>
      </w: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 w:name="page13"/>
    <w:bookmarkEnd w:id="12"/>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segment expenses for the three months and nine months ended September 30, 2025 and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8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80" w:type="dxa"/>
            <w:vAlign w:val="bottom"/>
          </w:tcPr>
          <w:p>
            <w:pPr>
              <w:spacing w:after="0"/>
              <w:rPr>
                <w:sz w:val="18"/>
                <w:szCs w:val="18"/>
                <w:color w:val="auto"/>
              </w:rPr>
            </w:pP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50,370</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Preclinical costs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research costs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Pr>
          <w:p>
            <w:pPr>
              <w:spacing w:after="0"/>
              <w:rPr>
                <w:sz w:val="18"/>
                <w:szCs w:val="18"/>
                <w:color w:val="auto"/>
              </w:rPr>
            </w:pPr>
          </w:p>
        </w:tc>
      </w:tr>
      <w:tr>
        <w:trPr>
          <w:trHeight w:val="20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59,351</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Pr>
          <w:p>
            <w:pPr>
              <w:spacing w:after="0"/>
              <w:rPr>
                <w:sz w:val="18"/>
                <w:szCs w:val="18"/>
                <w:color w:val="auto"/>
              </w:rPr>
            </w:pPr>
          </w:p>
        </w:tc>
      </w:tr>
      <w:tr>
        <w:trPr>
          <w:trHeight w:val="216"/>
        </w:trPr>
        <w:tc>
          <w:tcPr>
            <w:tcW w:w="4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Pr>
          <w:p>
            <w:pPr>
              <w:spacing w:after="0"/>
              <w:rPr>
                <w:sz w:val="18"/>
                <w:szCs w:val="18"/>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impairment charge</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(22,532)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(32,567)</w:t>
            </w: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(81,000)</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(111,854)</w:t>
            </w:r>
          </w:p>
        </w:tc>
      </w:tr>
      <w:tr>
        <w:trPr>
          <w:trHeight w:val="210"/>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(1,219)</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(105,687)</w:t>
            </w: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-1310640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-1310640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-1310640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-736600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-736600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-736600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are determined in accordance with the fair value hierarchy established in ASC 820, Fair Value Measurements and Disclosures.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investments, which consist of cash equivalents and investments classified as available-for-sale investments, that are measured at fair value on a recurring basis by level within the fair value hierarchy as of September 30, 2025 and December 31, 2024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9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20" w:type="dxa"/>
            <w:vAlign w:val="bottom"/>
            <w:shd w:val="clear" w:color="auto" w:fill="CFF0FC"/>
          </w:tcPr>
          <w:p>
            <w:pPr>
              <w:spacing w:after="0"/>
              <w:rPr>
                <w:sz w:val="18"/>
                <w:szCs w:val="18"/>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64,994</w:t>
            </w:r>
          </w:p>
        </w:tc>
        <w:tc>
          <w:tcPr>
            <w:tcW w:w="12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3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-1010920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-1010920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-1010920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4140" w:type="dxa"/>
            <w:vAlign w:val="bottom"/>
          </w:tcPr>
          <w:p>
            <w:pPr>
              <w:spacing w:after="0"/>
              <w:rPr>
                <w:sz w:val="16"/>
                <w:szCs w:val="16"/>
                <w:color w:val="auto"/>
              </w:rPr>
            </w:pPr>
          </w:p>
        </w:tc>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4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shd w:val="clear" w:color="auto" w:fill="CFF0FC"/>
          </w:tcPr>
          <w:p>
            <w:pPr>
              <w:spacing w:after="0"/>
              <w:rPr>
                <w:sz w:val="18"/>
                <w:szCs w:val="18"/>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129,182</w:t>
            </w:r>
          </w:p>
        </w:tc>
        <w:tc>
          <w:tcPr>
            <w:tcW w:w="1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available-for-sale investments by classification included in the condensed consolidated balance sheets was as follows as of September 30, 2025 and December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15,468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110,190</w:t>
            </w: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64,994</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129,182</w:t>
            </w: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above table excludes bank account cash of $1.5 million and $2.1 million as of September 30, 2025 and December 31, 2024,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cash equivalents and available-for-sale investments by contractual maturity was as follows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59,156</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125,658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one year through five years</w:t>
            </w:r>
          </w:p>
        </w:tc>
        <w:tc>
          <w:tcPr>
            <w:tcW w:w="28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5,838</w:t>
            </w:r>
          </w:p>
        </w:tc>
        <w:tc>
          <w:tcPr>
            <w:tcW w:w="3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3,524</w:t>
            </w:r>
          </w:p>
        </w:tc>
      </w:tr>
      <w:tr>
        <w:trPr>
          <w:trHeight w:val="20"/>
        </w:trPr>
        <w:tc>
          <w:tcPr>
            <w:tcW w:w="6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64,994</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129,182</w:t>
            </w: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68" w:lineRule="exact"/>
        <w:rPr>
          <w:sz w:val="20"/>
          <w:szCs w:val="20"/>
          <w:color w:val="auto"/>
        </w:rPr>
      </w:pPr>
    </w:p>
    <w:p>
      <w:pPr>
        <w:ind w:right="700" w:firstLine="509"/>
        <w:spacing w:after="0" w:line="312"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fair value measurement levels during the three months and nine months ended September 30, 2025 and 2024 and there were no financial instruments classified as Level 3 as of September 30, 2025 and December 31, 2024.</w:t>
      </w:r>
    </w:p>
    <w:p>
      <w:pPr>
        <w:spacing w:after="0" w:line="3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accrued interest receivable related to the Company’s investments of $0.4 million and $0.9 million was included in prepaid expenses and other current assets on the condensed consolidated balance sheet.</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2025,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September 30, 2025 and 2024, no allowance for credit losses for the Company’s investments was recorded. As of September 30, 2025 and December 31, 2024, no securities were in a continuous net unrealized loss position for more than 12 months. As of September 30, 2025 and 2024, the Company has not recognized any impairment losses on available-for-sale investments.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left="520" w:right="7460" w:hanging="512"/>
        <w:spacing w:after="0" w:line="377" w:lineRule="auto"/>
        <w:tabs>
          <w:tab w:leader="none" w:pos="26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Prepaid Expenses and Other Current Assets</w:t>
      </w:r>
    </w:p>
    <w:p>
      <w:pPr>
        <w:spacing w:after="0" w:line="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prepaid expenses and other current assets as of September 30, 2025 and December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receivables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property and equipment, net as of September 30, 2025 and December 31,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2,509</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r>
      <w:tr>
        <w:trPr>
          <w:trHeight w:val="210"/>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(2,077)</w:t>
            </w:r>
          </w:p>
        </w:tc>
      </w:tr>
      <w:tr>
        <w:trPr>
          <w:trHeight w:val="20"/>
        </w:trPr>
        <w:tc>
          <w:tcPr>
            <w:tcW w:w="5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2,905</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Depreciation was $0.2 million for the three months ended September 30, 2025 and 2024 and $0.6 million and $0.7 million for the nine months ended September 30, 2025 and 2024, respectively.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other assets as of September 30, 2025 and December 31,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prepaid clinical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prepaid contract manufacturing costs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determined it operates in a single operating segment and has one reportable segment. The Company reviews for indicators of impairment on a quarterly basis, including changes in how its property is being used.</w:t>
      </w:r>
    </w:p>
    <w:p>
      <w:pPr>
        <w:spacing w:after="0" w:line="5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May 2025, the Company made a decision to sublease its leased property in Palo Alto. The Company is actively marketing the leased building for sublease. In connection with the preparation of these condensed consolidated financial statements, the Company determined that the change in how this building is being used could indicate impairment. The Company identified this to-be-sublet property as a separate asset group for purposes of long-lived asset impairment assessment. The Company concluded that the carrying value of this to-be-sublet property asset group was not recoverable and the estimated fair value of this asset group was below its carrying value. The lower fair value of this asset group was mainly due to the lower estimated sublease income compared to the lease payments in accordance with the initial operating lease agreement and higher discount rate. The Company applied a discounted cash flow method to estimate fair value of its right-of-use asset and leasehold improvements. Based on this analysis, the Company concluded the fair value of the right-of-use asset and leasehold improvements of $1.5 million was lower than its net book value of $4.7 million. The Company recognized a pre-tax long-lived asset impairment charge of $3.2 million on the right-of-use asset and leasehold improvements. For the three months and nine months ended September 30, 2025, the Company has recognized impairment of zero and $3.2 million, respectively, on the right-of-use asset and leasehold improvements.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determination of the fair value of the Company’s asset group related to the to-be-sublet property that is currently being marketed for sublease purposes represents a Level 3 nonrecurring fair value measurement. Calculating the fair value of the asset involves significant estimates and assumptions. These estimates and assumptions include, among other things, expected sublease rental income of $2.5 million and risk-adjusted annual discount rate of 10%.</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accrued expenses and other current liabilities as of September 30, 2025 and December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and nonclinical study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non-cancelable operating leases for its offices located in the U.S. As of September 30, 2025,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and balance sheet information of the Company’s operating lease liabilities as of September 30, 2025 (in thousands, except lease term and discount rate):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115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r>
      <w:tr>
        <w:trPr>
          <w:trHeight w:val="196"/>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7"/>
                <w:szCs w:val="17"/>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4,497</w:t>
            </w: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5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3,708</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1,787</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37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Lease liabilities: current </w:t>
            </w:r>
            <w:r>
              <w:rPr>
                <w:rFonts w:ascii="Times New Roman" w:cs="Times New Roman" w:eastAsia="Times New Roman" w:hAnsi="Times New Roman"/>
                <w:sz w:val="24"/>
                <w:szCs w:val="24"/>
                <w:color w:val="auto"/>
                <w:vertAlign w:val="superscript"/>
              </w:rPr>
              <w:t>(i)</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w:t>
            </w:r>
          </w:p>
        </w:tc>
      </w:tr>
      <w:tr>
        <w:trPr>
          <w:trHeight w:val="254"/>
        </w:trPr>
        <w:tc>
          <w:tcPr>
            <w:tcW w:w="53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Lease liabilities: non-current </w:t>
            </w:r>
            <w:r>
              <w:rPr>
                <w:rFonts w:ascii="Times New Roman" w:cs="Times New Roman" w:eastAsia="Times New Roman" w:hAnsi="Times New Roman"/>
                <w:sz w:val="24"/>
                <w:szCs w:val="24"/>
                <w:color w:val="auto"/>
                <w:vertAlign w:val="superscript"/>
              </w:rPr>
              <w:t>(ii)</w:t>
            </w:r>
          </w:p>
        </w:tc>
        <w:tc>
          <w:tcPr>
            <w:tcW w:w="1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2,718</w:t>
            </w:r>
          </w:p>
        </w:tc>
        <w:tc>
          <w:tcPr>
            <w:tcW w:w="280" w:type="dxa"/>
            <w:vAlign w:val="bottom"/>
          </w:tcPr>
          <w:p>
            <w:pPr>
              <w:spacing w:after="0"/>
              <w:rPr>
                <w:sz w:val="22"/>
                <w:szCs w:val="22"/>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w:t>
            </w:r>
          </w:p>
        </w:tc>
      </w:tr>
      <w:tr>
        <w:trPr>
          <w:trHeight w:val="20"/>
        </w:trPr>
        <w:tc>
          <w:tcPr>
            <w:tcW w:w="5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3,708</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1,787</w:t>
            </w:r>
          </w:p>
        </w:tc>
      </w:tr>
      <w:tr>
        <w:trPr>
          <w:trHeight w:val="196"/>
        </w:trPr>
        <w:tc>
          <w:tcPr>
            <w:tcW w:w="5340" w:type="dxa"/>
            <w:vAlign w:val="bottom"/>
            <w:tcBorders>
              <w:top w:val="single" w:sz="8" w:color="CFF0FC"/>
            </w:tcBorders>
          </w:tcPr>
          <w:p>
            <w:pPr>
              <w:spacing w:after="0"/>
              <w:rPr>
                <w:sz w:val="17"/>
                <w:szCs w:val="17"/>
                <w:color w:val="auto"/>
              </w:rPr>
            </w:pPr>
          </w:p>
        </w:tc>
        <w:tc>
          <w:tcPr>
            <w:tcW w:w="17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-868045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-1031240</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-1014095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-1031240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-1014095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-448310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-431165</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-448310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-431165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56"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lease liabilities are presented within accrued expenses and other current liabilities on the condensed consolidated balance sheets.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lease liabilities are presented within other non-current liabilities on the condensed 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lease costs for the three months and nine months ended September 30, 2025 and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8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10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cost and other, net </w:t>
            </w:r>
            <w:r>
              <w:rPr>
                <w:rFonts w:ascii="Times New Roman" w:cs="Times New Roman" w:eastAsia="Times New Roman" w:hAnsi="Times New Roman"/>
                <w:sz w:val="24"/>
                <w:szCs w:val="24"/>
                <w:color w:val="auto"/>
                <w:vertAlign w:val="superscript"/>
              </w:rPr>
              <w:t>(i)</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3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8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10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2,236</w:t>
            </w:r>
          </w:p>
        </w:tc>
        <w:tc>
          <w:tcPr>
            <w:tcW w:w="100" w:type="dxa"/>
            <w:vAlign w:val="bottom"/>
            <w:shd w:val="clear" w:color="auto" w:fill="CFF0FC"/>
          </w:tcPr>
          <w:p>
            <w:pPr>
              <w:spacing w:after="0"/>
              <w:rPr>
                <w:sz w:val="19"/>
                <w:szCs w:val="19"/>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760" w:right="100" w:hanging="378"/>
        <w:spacing w:after="0" w:line="281"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right-of-use assets and operating lease liabilities.</w:t>
      </w:r>
    </w:p>
    <w:p>
      <w:pPr>
        <w:spacing w:after="0" w:line="6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cash flow disclosures for cash paid for leases for the nine months ended September 30, 2025 and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18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1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(modified) acquired under leases</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1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Oxford Finance and Silicon Valley Bank Loan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In December 2023, the original terms of the Loan Agreement were amended to extend the draw deadline to June 2024. The original terms of the Loan Agreement provided for an additional $50.0 million over three tranches, with $12.5 million available in each of two tranches based upon the achievement of milestones related to the development of evorpacept and one preclinical product candidate, and $25.0 million at the Lenders’ sole discretion. 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September 30, 2025.</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proceeds of the loans may be used by the Company for working capital and to fund its general business requirements.</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indebtedness is included in our notes to our consolidated financial statements in our Annual Report on Form 10-K for the fiscal year ended December 31, 2024, which was filed with the SEC on March 6, 2025.</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interest expense incurred in connection with the Loan Agreement was $0.3 million and $0.3 million, respectively. During the nine months ended September 30, 2025 and 2024, interest expense incurred in connection with the Loan Agreement was $1.0 million and $0.9 million, respectively.</w:t>
      </w:r>
    </w:p>
    <w:p>
      <w:pPr>
        <w:spacing w:after="0" w:line="68" w:lineRule="exact"/>
        <w:rPr>
          <w:sz w:val="20"/>
          <w:szCs w:val="20"/>
          <w:color w:val="auto"/>
        </w:rPr>
      </w:pPr>
    </w:p>
    <w:p>
      <w:pPr>
        <w:ind w:left="5540" w:right="1640" w:hanging="5016"/>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was in compliance with all financial reporting covenants under the Loan Agreement.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As of September 30, 2025, the future maturities under the Loan Agreement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0"/>
                <w:szCs w:val="20"/>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3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5,217</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FF0FC"/>
          </w:tcPr>
          <w:p>
            <w:pPr>
              <w:spacing w:after="0"/>
              <w:rPr>
                <w:sz w:val="18"/>
                <w:szCs w:val="18"/>
                <w:color w:val="auto"/>
              </w:rPr>
            </w:pPr>
          </w:p>
        </w:tc>
        <w:tc>
          <w:tcPr>
            <w:tcW w:w="3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4,948</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3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Borders>
              <w:bottom w:val="single" w:sz="8" w:color="auto"/>
            </w:tcBorders>
            <w:shd w:val="clear" w:color="auto" w:fill="CFF0FC"/>
          </w:tcPr>
          <w:p>
            <w:pPr>
              <w:spacing w:after="0"/>
              <w:rPr>
                <w:sz w:val="18"/>
                <w:szCs w:val="18"/>
                <w:color w:val="auto"/>
              </w:rPr>
            </w:pPr>
          </w:p>
        </w:tc>
        <w:tc>
          <w:tcPr>
            <w:tcW w:w="3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maturities</w:t>
            </w:r>
          </w:p>
        </w:tc>
        <w:tc>
          <w:tcPr>
            <w:tcW w:w="580" w:type="dxa"/>
            <w:vAlign w:val="bottom"/>
          </w:tcPr>
          <w:p>
            <w:pPr>
              <w:spacing w:after="0"/>
              <w:rPr>
                <w:sz w:val="18"/>
                <w:szCs w:val="18"/>
                <w:color w:val="auto"/>
              </w:rPr>
            </w:pPr>
          </w:p>
        </w:tc>
        <w:tc>
          <w:tcPr>
            <w:tcW w:w="3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580" w:type="dxa"/>
            <w:vAlign w:val="bottom"/>
            <w:shd w:val="clear" w:color="auto" w:fill="CFF0FC"/>
          </w:tcPr>
          <w:p>
            <w:pPr>
              <w:spacing w:after="0"/>
              <w:rPr>
                <w:sz w:val="18"/>
                <w:szCs w:val="18"/>
                <w:color w:val="auto"/>
              </w:rPr>
            </w:pPr>
          </w:p>
        </w:tc>
        <w:tc>
          <w:tcPr>
            <w:tcW w:w="3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(4,348)</w:t>
            </w:r>
          </w:p>
        </w:tc>
      </w:tr>
      <w:tr>
        <w:trPr>
          <w:trHeight w:val="209"/>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term loan, net of current portion</w:t>
            </w:r>
          </w:p>
        </w:tc>
        <w:tc>
          <w:tcPr>
            <w:tcW w:w="58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tcBorders>
              <w:top w:val="single" w:sz="8" w:color="CFF0FC"/>
            </w:tcBorders>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580" w:type="dxa"/>
            <w:vAlign w:val="bottom"/>
            <w:shd w:val="clear" w:color="auto" w:fill="CFF0FC"/>
          </w:tcPr>
          <w:p>
            <w:pPr>
              <w:spacing w:after="0"/>
              <w:rPr>
                <w:sz w:val="18"/>
                <w:szCs w:val="18"/>
                <w:color w:val="auto"/>
              </w:rPr>
            </w:pPr>
          </w:p>
        </w:tc>
        <w:tc>
          <w:tcPr>
            <w:tcW w:w="3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Less: unaccreted final payment costs</w:t>
            </w:r>
          </w:p>
        </w:tc>
        <w:tc>
          <w:tcPr>
            <w:tcW w:w="580" w:type="dxa"/>
            <w:vAlign w:val="bottom"/>
          </w:tcPr>
          <w:p>
            <w:pPr>
              <w:spacing w:after="0"/>
              <w:rPr>
                <w:sz w:val="18"/>
                <w:szCs w:val="18"/>
                <w:color w:val="auto"/>
              </w:rPr>
            </w:pPr>
          </w:p>
        </w:tc>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49"/>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non-current, net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21, 2020, the Company’s amended and restated certificate of incorporation became effective, authorizing 1,000,000,000 shares of common stock, $0.001 par value per share, and 100,000,000 shares of undesignated preferred stock, $0.001 par value per share. As of September 30, 2025 and December 31, 2024, the Company had 53,577,566 and 53,052,912 shares of common stock outstanding, respectively, and no shares of undesignated preferred stock outstanding,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as of September 30, 2025 consists of the following:</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660" w:type="dxa"/>
            <w:vAlign w:val="bottom"/>
          </w:tcPr>
          <w:p>
            <w:pPr>
              <w:spacing w:after="0"/>
              <w:rPr>
                <w:sz w:val="24"/>
                <w:szCs w:val="24"/>
                <w:color w:val="auto"/>
              </w:rPr>
            </w:pPr>
          </w:p>
        </w:tc>
        <w:tc>
          <w:tcPr>
            <w:tcW w:w="35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3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11,647,294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266,529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 issued and outstanding</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3,794,298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shares authorized for future issuance</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1,466,247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18,485,118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sales agreement (as amended, Sales Agreement) with Cantor Fitzgerald &amp; Co. and Credit Suisse Securities (USA) LLC (Credit Suisse),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September 30, 2025, the Company had issued approximately 2,404,855 shares of common stock pursuant to the Sales Agreement for net proceeds of $30.0 million. The Company may terminate this ATM program at any time, pursuant to its terms.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an underwritten follow-on public offering (the October 2023 Offering) pursuant to a shelf registration statement, which provides for aggregate offerings of up to $450.0 million of the Company’s securities. 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spacing w:after="0" w:line="75" w:lineRule="exact"/>
        <w:rPr>
          <w:sz w:val="20"/>
          <w:szCs w:val="20"/>
          <w:color w:val="auto"/>
        </w:rPr>
      </w:pPr>
    </w:p>
    <w:p>
      <w:pPr>
        <w:jc w:val="both"/>
        <w:ind w:right="580" w:firstLine="509"/>
        <w:spacing w:after="0" w:line="257" w:lineRule="auto"/>
        <w:rPr>
          <w:sz w:val="20"/>
          <w:szCs w:val="20"/>
          <w:color w:val="auto"/>
        </w:rPr>
      </w:pPr>
      <w:r>
        <w:rPr>
          <w:rFonts w:ascii="Times New Roman" w:cs="Times New Roman" w:eastAsia="Times New Roman" w:hAnsi="Times New Roman"/>
          <w:sz w:val="18"/>
          <w:szCs w:val="18"/>
          <w:color w:val="auto"/>
        </w:rPr>
        <w:t>As of September 30, 2025 and December 31, 2024, respectively, no shares underlying the pre-funded warrants had been exercised. All of the outstanding pre-funded warrants are included in the weighted-average number of shares of common stock used to calculate basic net loss per share attributable to common stockholders (see Note 11 “Net Loss Per Share”).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520" w:right="8160" w:hanging="512"/>
        <w:spacing w:after="0" w:line="399" w:lineRule="auto"/>
        <w:tabs>
          <w:tab w:leader="none" w:pos="26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Equity Incentive Plans</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Amended and Restated 2020 Equity Incentive Plan</w:t>
      </w:r>
    </w:p>
    <w:p>
      <w:pPr>
        <w:spacing w:after="0" w:line="11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 2025, the number of shares available under the 2020 Plan was increased by 2,122,116 shares.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2025 Inducement Equity Incentive Plan</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2025, the Company adopted the 2025 Inducement Equity Incentive Plan, or the 2025 Plan. The 2025 Plan provides for the granting of equity-based awards, including non-statutory stock options, stock appreciation rights, restricted stock, restricted stock units, performance units and performance shares. A total of 1,500,000 shares were reserved under the 2025 Plan.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performance conditions for one tranche of PSUs was achieved by the March 31, 2025 deadline. As a result, compensation expense of a nominal amount and $0.8 million has been recognized related to this tranche of PSUs as of and for the three months and nine months ended September 30, 2025, respectively. The performance conditions for the other tranche of PSUs was not achieved as of March 31, 2025, and therefore, these awards were forfeited. As of September 30, 2025, there were 60,750 PSUs outstanding and unvested.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Under the Company’s 2020 Employee Stock Purchase Plan, or the ESPP, eligible employees are entitled to purchase shares of common stock with accumulated payroll deductions.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7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4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400" w:type="dxa"/>
            <w:vAlign w:val="bottom"/>
          </w:tcPr>
          <w:p>
            <w:pPr>
              <w:spacing w:after="0"/>
              <w:rPr>
                <w:sz w:val="17"/>
                <w:szCs w:val="17"/>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7"/>
                <w:szCs w:val="17"/>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16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Pr>
          <w:p>
            <w:pPr>
              <w:spacing w:after="0"/>
              <w:rPr>
                <w:sz w:val="18"/>
                <w:szCs w:val="18"/>
                <w:color w:val="auto"/>
              </w:rPr>
            </w:pPr>
          </w:p>
        </w:tc>
      </w:tr>
      <w:tr>
        <w:trPr>
          <w:trHeight w:val="229"/>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16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100" w:type="dxa"/>
            <w:vAlign w:val="bottom"/>
            <w:shd w:val="clear" w:color="auto" w:fill="CFF0FC"/>
          </w:tcPr>
          <w:p>
            <w:pPr>
              <w:spacing w:after="0"/>
              <w:rPr>
                <w:sz w:val="19"/>
                <w:szCs w:val="19"/>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RELATED-PARTY TRANSACTIONS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several related-party agreements with Tallac Therapeutics, Inc., or Tallac. The details of these agreements are described in our notes to our consolidated financial statements in our Annual Report on Form 10-K for the fiscal year ended December 31, 2024, which was filed with the SEC on March 6, 2025. During the three months and nine months ended September 30, 2025, there were no material changes to these agreements.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Tallac Service Agreement</w:t>
      </w:r>
    </w:p>
    <w:p>
      <w:pPr>
        <w:spacing w:after="0" w:line="12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During the three months and nine months ended September 30, 2024, the Company recorded a nominal amount as research and development, or R&amp;D, costs in relation to the research and development services agreement with Tallac, or the Tallac Services Agreement. Per contractual terms, the Tallac Services Agreement terminated on July 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Tallac Collaboration Agreement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recorded zero and $0.1 million, respectively, as R&amp;D costs in relation to the collaboration agreement with Tallac, or the Tallac Collaboration Agreement. During the nine months ended September 30, 2025 and 2024, the Company recorded $0.1 million and $0.7 million, respectively, as R&amp;D costs in relation to the Tallac Collaboration Agreement.</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accrued expenses of zero and $0.1 million, respectively, related to the Tallac Collaboration Agreement, which was presented within the payable and accrued liabilities due to related party on the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three months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(in thousands, except share and per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(78,847)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(105,687)</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53,577,066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52,693,878</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53,452,319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51,544,501</w:t>
            </w:r>
          </w:p>
        </w:tc>
        <w:tc>
          <w:tcPr>
            <w:tcW w:w="100" w:type="dxa"/>
            <w:vAlign w:val="bottom"/>
          </w:tcPr>
          <w:p>
            <w:pPr>
              <w:spacing w:after="0"/>
              <w:rPr>
                <w:sz w:val="18"/>
                <w:szCs w:val="18"/>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for the three months and nine months ended September 30, 2025 and 2024 because including them would have been anti-dilutive: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37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and Nine Months Ended</w:t>
            </w:r>
          </w:p>
        </w:tc>
      </w:tr>
      <w:tr>
        <w:trPr>
          <w:trHeight w:val="238"/>
        </w:trPr>
        <w:tc>
          <w:tcPr>
            <w:tcW w:w="7480" w:type="dxa"/>
            <w:vAlign w:val="bottom"/>
          </w:tcPr>
          <w:p>
            <w:pPr>
              <w:spacing w:after="0"/>
              <w:rPr>
                <w:sz w:val="20"/>
                <w:szCs w:val="20"/>
                <w:color w:val="auto"/>
              </w:rPr>
            </w:pPr>
          </w:p>
        </w:tc>
        <w:tc>
          <w:tcPr>
            <w:tcW w:w="248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11,647,294</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10,089,807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266,529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1,026,238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 issued and outstanding</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357,500</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estimated shares issuable</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00" w:type="dxa"/>
            <w:vAlign w:val="bottom"/>
          </w:tcPr>
          <w:p>
            <w:pPr>
              <w:spacing w:after="0"/>
              <w:rPr>
                <w:sz w:val="18"/>
                <w:szCs w:val="18"/>
                <w:color w:val="auto"/>
              </w:rPr>
            </w:pPr>
          </w:p>
        </w:tc>
      </w:tr>
      <w:tr>
        <w:trPr>
          <w:trHeight w:val="250"/>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11,980,503</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11,491,065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right="7440" w:hanging="512"/>
        <w:spacing w:after="0" w:line="400" w:lineRule="auto"/>
        <w:tabs>
          <w:tab w:leader="none" w:pos="356"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Guarantees and Indemnifications</w:t>
      </w: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2025.</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September 30, 2025, the Company had no pending or threatened litigation.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2021, the Company entered into a stock purchase agreement with ScalmiBio, Inc., or ScalmiBio. The details of this agreement including the ongoing milestone and royalty payments to the former stockholders of ScalmiBio are described in our notes to our consolidated financial statements in our Annual Report on Form 10-K for the fiscal year ended December 31, 2024, which was filed with the SEC on March 6, 2025. During the three months and nine months ended September 30, 2025, there were no material changes to this agreement.</w:t>
      </w:r>
    </w:p>
    <w:p>
      <w:pPr>
        <w:spacing w:after="0" w:line="7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recorded costs of $2.5 million and zero, respectively, for payments relating to milestone achievements to the former stockholders of ScalmiBio. During the nine months ended September 30, 2025 and 2024, the Company recorded costs of $2.5 million and $1.0 million, respectively, for payments relating to milestone achievements to the former stockholders of ScalmiBio.</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 and Other Commitments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other contractual obligations and other commitments from manufacturing and service contracts, which are presented as follows as of September 30, 2025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2026-2027</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2028-2029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20" w:type="dxa"/>
            <w:vAlign w:val="bottom"/>
          </w:tcPr>
          <w:p>
            <w:pPr>
              <w:spacing w:after="0"/>
              <w:rPr>
                <w:sz w:val="20"/>
                <w:szCs w:val="20"/>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service contracts</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2,097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2,097</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$0.5 million. In addition, the Company has commitments with five other pharmaceutical contract manufacturers and suppliers, including certain future purchase obligations of approximately $1.6 million. These amounts are based on non-cancellable commitments and forecasts that include estimates of future market demand, quantity discounts and manufacturing efficiencies that may impact timing of purchases.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jc w:val="both"/>
        <w:ind w:right="660" w:firstLine="479"/>
        <w:spacing w:after="0" w:line="257" w:lineRule="auto"/>
        <w:rPr>
          <w:sz w:val="20"/>
          <w:szCs w:val="20"/>
          <w:color w:val="auto"/>
        </w:rPr>
      </w:pPr>
      <w:r>
        <w:rPr>
          <w:rFonts w:ascii="Times New Roman" w:cs="Times New Roman" w:eastAsia="Times New Roman" w:hAnsi="Times New Roman"/>
          <w:sz w:val="18"/>
          <w:szCs w:val="18"/>
          <w:color w:val="auto"/>
        </w:rPr>
        <w:t>In preparing the consolidated financial statements as of September 30, 2025, the Company evaluated subsequent events for recognition and measurement purposes through the filing date of this Quarterly Report on Form 10-Q. The Company concluded that no events or transactions have occurred that require disclosure in the accompanying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evorpacept, has demonstrated potential to serve as a cornerstone therapy upon which the future of immuno-oncology can be built. Evorpacept is currently being evaluated in combination with trastuzumab and chemotherapy in patients with metastatic HER2-positive breast cancer in the Phase 2 ASPEN-Breast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mechanism of action entered into a Phase 1 clinical trial in August 2025.</w:t>
      </w:r>
    </w:p>
    <w:p>
      <w:pPr>
        <w:spacing w:after="0" w:line="80"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6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w:t>
      </w:r>
    </w:p>
    <w:p>
      <w:pPr>
        <w:spacing w:after="0" w:line="68" w:lineRule="exact"/>
        <w:rPr>
          <w:sz w:val="20"/>
          <w:szCs w:val="20"/>
          <w:color w:val="auto"/>
        </w:rPr>
      </w:pPr>
    </w:p>
    <w:p>
      <w:pPr>
        <w:ind w:right="280" w:firstLine="509"/>
        <w:spacing w:after="0" w:line="243" w:lineRule="auto"/>
        <w:rPr>
          <w:sz w:val="20"/>
          <w:szCs w:val="20"/>
          <w:color w:val="auto"/>
        </w:rPr>
      </w:pPr>
      <w:r>
        <w:rPr>
          <w:rFonts w:ascii="Times New Roman" w:cs="Times New Roman" w:eastAsia="Times New Roman" w:hAnsi="Times New Roman"/>
          <w:sz w:val="18"/>
          <w:szCs w:val="18"/>
          <w:color w:val="auto"/>
        </w:rPr>
        <w:t>Data from the randomized ASPEN-06 Phase 2 clinical trial supports the clinical validation of this mechanism of action. ASPEN-06 evaluates the contribution of evorpacept to HERCEPTIN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(trastuzumab) plus standard of care (CYRAMZA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will be presented at the Society for Immunotherapy of Cancer (SITC) Annual Meeting:</w:t>
      </w:r>
    </w:p>
    <w:p>
      <w:pPr>
        <w:spacing w:after="0" w:line="90" w:lineRule="exact"/>
        <w:rPr>
          <w:sz w:val="20"/>
          <w:szCs w:val="20"/>
          <w:color w:val="auto"/>
        </w:rPr>
      </w:pPr>
    </w:p>
    <w:p>
      <w:pPr>
        <w:ind w:left="1020" w:right="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will be highlighted as part of a poster presentation at the SITC Annual Meeting on November 8th.</w:t>
      </w:r>
    </w:p>
    <w:p>
      <w:pPr>
        <w:spacing w:after="0" w:line="4" w:lineRule="exact"/>
        <w:rPr>
          <w:sz w:val="20"/>
          <w:szCs w:val="20"/>
          <w:color w:val="auto"/>
        </w:rPr>
      </w:pPr>
    </w:p>
    <w:p>
      <w:pPr>
        <w:ind w:left="1640" w:right="60" w:hanging="509"/>
        <w:spacing w:after="0" w:line="260" w:lineRule="auto"/>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spacing w:after="0" w:line="2" w:lineRule="exact"/>
        <w:rPr>
          <w:rFonts w:ascii="Times New Roman" w:cs="Times New Roman" w:eastAsia="Times New Roman" w:hAnsi="Times New Roman"/>
          <w:sz w:val="18"/>
          <w:szCs w:val="18"/>
          <w:color w:val="auto"/>
        </w:rPr>
      </w:pPr>
    </w:p>
    <w:p>
      <w:pPr>
        <w:ind w:left="1640" w:right="20" w:hanging="509"/>
        <w:spacing w:after="0" w:line="255" w:lineRule="auto"/>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 Treatment with Evo-TRP resulted in a PFS of 18.4 months versus 7.0</w:t>
      </w:r>
    </w:p>
    <w:p>
      <w:pPr>
        <w:spacing w:after="0" w:line="3" w:lineRule="exact"/>
        <w:rPr>
          <w:sz w:val="20"/>
          <w:szCs w:val="20"/>
          <w:color w:val="auto"/>
        </w:rPr>
      </w:pPr>
    </w:p>
    <w:p>
      <w:pPr>
        <w:ind w:left="1640"/>
        <w:spacing w:after="0" w:line="250" w:lineRule="auto"/>
        <w:rPr>
          <w:sz w:val="20"/>
          <w:szCs w:val="20"/>
          <w:color w:val="auto"/>
        </w:rPr>
      </w:pPr>
      <w:r>
        <w:rPr>
          <w:rFonts w:ascii="Times New Roman" w:cs="Times New Roman" w:eastAsia="Times New Roman" w:hAnsi="Times New Roman"/>
          <w:sz w:val="18"/>
          <w:szCs w:val="18"/>
          <w:color w:val="auto"/>
        </w:rPr>
        <w:t>months for TRP, hazard ratio (HR) of 0.39. Treatment with Evo-TRP resulted in an OS of 17 months versus 9.9 months for TRP, HR of 0.63.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Evorpacept has been combined in clinical trials with multiple anti-cancer antibodies in addition to trastuzumab. 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second product candidate is ALX2004, a novel EGFR-targeted ADC. ALX2004 was created from our proprietary linker-payload platform and fully designed and developed in-house by our scientists. ALX2004 comprises a matuzumab-derived affinity-selected EGFR antibody backbone engineered for optimal activity as an antibody drug conjugate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engaged in the following clinical programs, collaborations, and investigator-sponsored trials: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Evorpacept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the HER2-targeted antibody trastuzumab</w:t>
      </w:r>
    </w:p>
    <w:p>
      <w:pPr>
        <w:spacing w:after="0" w:line="11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ASPEN-Breast - Breast Cancer</w:t>
      </w:r>
    </w:p>
    <w:p>
      <w:pPr>
        <w:spacing w:after="0" w:line="50" w:lineRule="exact"/>
        <w:rPr>
          <w:sz w:val="20"/>
          <w:szCs w:val="20"/>
          <w:color w:val="auto"/>
        </w:rPr>
      </w:pPr>
    </w:p>
    <w:p>
      <w:pPr>
        <w:ind w:left="1640" w:right="180" w:hanging="509"/>
        <w:spacing w:after="0" w:line="260"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spacing w:after="0" w:line="2" w:lineRule="exact"/>
        <w:rPr>
          <w:rFonts w:ascii="Times New Roman" w:cs="Times New Roman" w:eastAsia="Times New Roman" w:hAnsi="Times New Roman"/>
          <w:sz w:val="18"/>
          <w:szCs w:val="18"/>
          <w:color w:val="auto"/>
        </w:rPr>
      </w:pPr>
    </w:p>
    <w:p>
      <w:pPr>
        <w:ind w:left="1640" w:right="60" w:hanging="509"/>
        <w:spacing w:after="0" w:line="261"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that based on the magnitude of benefit in patients with high CD47 expression in HER2-positive gastric cancer, the ASPEN-Breast study in HER2-positive breast cancer evaluating evorpacept in combination with trastuzumab and chemotherapy has been amended to a single-arm design in all previously treated HER2 positive patients and will be evaluated by CD47 expression.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ASPEN-06 - Gastric/GEJ Cancer</w:t>
      </w:r>
    </w:p>
    <w:p>
      <w:pPr>
        <w:spacing w:after="0" w:line="49" w:lineRule="exact"/>
        <w:rPr>
          <w:rFonts w:ascii="Times New Roman" w:cs="Times New Roman" w:eastAsia="Times New Roman" w:hAnsi="Times New Roman"/>
          <w:sz w:val="18"/>
          <w:szCs w:val="18"/>
          <w:color w:val="auto"/>
        </w:rPr>
      </w:pPr>
    </w:p>
    <w:p>
      <w:pPr>
        <w:ind w:left="1640" w:hanging="509"/>
        <w:spacing w:after="0" w:line="266"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ind w:left="1640" w:right="20" w:hanging="509"/>
        <w:spacing w:after="0" w:line="266"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the FDA’s Office of Orphan Products Development granted Orphan Drug Designation (ODD) to evorpacept for the treatment of patients with gastric/GEJ cancer.</w:t>
      </w:r>
    </w:p>
    <w:p>
      <w:pPr>
        <w:ind w:left="1640" w:right="180" w:hanging="509"/>
        <w:spacing w:after="0" w:line="281" w:lineRule="auto"/>
        <w:tabs>
          <w:tab w:leader="none" w:pos="16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spacing w:after="0" w:line="1" w:lineRule="exact"/>
        <w:rPr>
          <w:rFonts w:ascii="Times New Roman" w:cs="Times New Roman" w:eastAsia="Times New Roman" w:hAnsi="Times New Roman"/>
          <w:sz w:val="17"/>
          <w:szCs w:val="17"/>
          <w:color w:val="auto"/>
        </w:rPr>
      </w:pPr>
    </w:p>
    <w:p>
      <w:pPr>
        <w:ind w:left="1640" w:hanging="509"/>
        <w:spacing w:after="0"/>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European Commission granted ODD to evorpacept for the treatment of patients with gastric/GEJ cancer.</w:t>
      </w:r>
    </w:p>
    <w:p>
      <w:pPr>
        <w:spacing w:after="0" w:line="49" w:lineRule="exact"/>
        <w:rPr>
          <w:rFonts w:ascii="Times New Roman" w:cs="Times New Roman" w:eastAsia="Times New Roman" w:hAnsi="Times New Roman"/>
          <w:sz w:val="18"/>
          <w:szCs w:val="18"/>
          <w:color w:val="auto"/>
        </w:rPr>
      </w:pPr>
    </w:p>
    <w:p>
      <w:pPr>
        <w:ind w:left="1640" w:right="160" w:hanging="509"/>
        <w:spacing w:after="0" w:line="255"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spacing w:after="0" w:line="3" w:lineRule="exact"/>
        <w:rPr>
          <w:rFonts w:ascii="Times New Roman" w:cs="Times New Roman" w:eastAsia="Times New Roman" w:hAnsi="Times New Roman"/>
          <w:sz w:val="18"/>
          <w:szCs w:val="18"/>
          <w:color w:val="auto"/>
        </w:rPr>
      </w:pPr>
    </w:p>
    <w:p>
      <w:pPr>
        <w:ind w:left="1640" w:right="200" w:hanging="509"/>
        <w:spacing w:after="0" w:line="255"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w:t>
      </w:r>
    </w:p>
    <w:p>
      <w:pPr>
        <w:spacing w:after="0" w:line="2" w:lineRule="exact"/>
        <w:rPr>
          <w:rFonts w:ascii="Times New Roman" w:cs="Times New Roman" w:eastAsia="Times New Roman" w:hAnsi="Times New Roman"/>
          <w:sz w:val="18"/>
          <w:szCs w:val="18"/>
          <w:color w:val="auto"/>
        </w:rPr>
      </w:pPr>
    </w:p>
    <w:p>
      <w:pPr>
        <w:ind w:left="164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 was demonstrated for the Evo-TRP treatment arm compared to 26.6% for the TRP control arm. The mDOR was 15.7 months for the Evo-TRP treatment arm and 7.6 months for the TRP control arm in the full trial population. In patients with fresh HER2-</w:t>
      </w:r>
    </w:p>
    <w:p>
      <w:pPr>
        <w:spacing w:after="0" w:line="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positive biopsies (n=48), Evo-TRP demonstrated an ORR of 54.8% compared to 23.1% for the TRP control.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left="1640" w:hanging="509"/>
        <w:spacing w:after="0" w:line="255"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presented updated results from the ASPEN-06 Phase 2 clinical trial in an oral presentation at the 2025 American Society of Clinical Oncology Gastrointestinal Cancers Symposium. A confirmed ORR of 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median progression free survival (mPFS) of 7.5 months, compared to a 24.5% ORR, an mDOR of 9.1 months and mPFS of 6.7 months in the TRP control group, with a PFS HR of 0.64.</w:t>
      </w:r>
    </w:p>
    <w:p>
      <w:pPr>
        <w:spacing w:after="0" w:line="3" w:lineRule="exact"/>
        <w:rPr>
          <w:rFonts w:ascii="Times New Roman" w:cs="Times New Roman" w:eastAsia="Times New Roman" w:hAnsi="Times New Roman"/>
          <w:sz w:val="18"/>
          <w:szCs w:val="18"/>
          <w:color w:val="auto"/>
        </w:rPr>
      </w:pPr>
    </w:p>
    <w:p>
      <w:pPr>
        <w:ind w:left="1640" w:right="20" w:hanging="509"/>
        <w:spacing w:after="0" w:line="258"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spacing w:after="0" w:line="7" w:lineRule="exact"/>
        <w:rPr>
          <w:rFonts w:ascii="Times New Roman" w:cs="Times New Roman" w:eastAsia="Times New Roman" w:hAnsi="Times New Roman"/>
          <w:sz w:val="18"/>
          <w:szCs w:val="18"/>
          <w:color w:val="auto"/>
        </w:rPr>
      </w:pPr>
    </w:p>
    <w:p>
      <w:pPr>
        <w:ind w:left="1640" w:right="100" w:hanging="509"/>
        <w:spacing w:after="0" w:line="273"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topline results from pre-planned exploratory analysis of the ASPEN-06 trial in gastric cancer, where CD47 overexpression was identified as a key predictive biomarker for response and durable benefit.</w:t>
      </w:r>
    </w:p>
    <w:p>
      <w:pPr>
        <w:spacing w:after="0" w:line="1" w:lineRule="exact"/>
        <w:rPr>
          <w:rFonts w:ascii="Times New Roman" w:cs="Times New Roman" w:eastAsia="Times New Roman" w:hAnsi="Times New Roman"/>
          <w:sz w:val="18"/>
          <w:szCs w:val="18"/>
          <w:color w:val="auto"/>
        </w:rPr>
      </w:pPr>
    </w:p>
    <w:p>
      <w:pPr>
        <w:ind w:left="1640" w:right="160" w:hanging="509"/>
        <w:spacing w:after="0" w:line="260"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will present a pre-planned exploratory analysis of the ASPEN-06 clinical trial in gastric cancer in which CD47 overexpression was identified as a key predictive biomarker for response and durable benefit in patients with retained HER2 expression.</w:t>
      </w:r>
    </w:p>
    <w:p>
      <w:pPr>
        <w:spacing w:after="0" w:line="2" w:lineRule="exact"/>
        <w:rPr>
          <w:rFonts w:ascii="Times New Roman" w:cs="Times New Roman" w:eastAsia="Times New Roman" w:hAnsi="Times New Roman"/>
          <w:sz w:val="18"/>
          <w:szCs w:val="18"/>
          <w:color w:val="auto"/>
        </w:rPr>
      </w:pPr>
    </w:p>
    <w:p>
      <w:pPr>
        <w:ind w:left="2320" w:right="180" w:hanging="515"/>
        <w:spacing w:after="0" w:line="266" w:lineRule="auto"/>
        <w:tabs>
          <w:tab w:leader="none" w:pos="2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retained HER2-positive and CD47-high gastric cancer (n=43), Evo-TRP had a 65.0% ORR versus 26.1% ORR for TRP, while patients with retained HER2-positive and CD47-low gastric cancer (n=47), Evo-TRP had a 37.5% ORR compared to 26.1% ORR for TRP.</w:t>
      </w:r>
    </w:p>
    <w:p>
      <w:pPr>
        <w:ind w:left="2320" w:right="20" w:hanging="515"/>
        <w:spacing w:after="0" w:line="258" w:lineRule="auto"/>
        <w:tabs>
          <w:tab w:leader="none" w:pos="2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 PFS of 18.4 months versus 7.0 months for TRP, HR of 0.39. Treatment with Evo-TRP resulted in an OS of 17 months versus 9.9 months for TRP, HR of 0.63.</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the EGFR-targeted antibody cetuximab</w:t>
      </w:r>
    </w:p>
    <w:p>
      <w:pPr>
        <w:spacing w:after="0" w:line="11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ASPEN-CRC - Colorectal Cancer (CRC)</w:t>
      </w:r>
    </w:p>
    <w:p>
      <w:pPr>
        <w:spacing w:after="0" w:line="50" w:lineRule="exact"/>
        <w:rPr>
          <w:sz w:val="20"/>
          <w:szCs w:val="20"/>
          <w:color w:val="auto"/>
        </w:rPr>
      </w:pPr>
    </w:p>
    <w:p>
      <w:pPr>
        <w:ind w:left="1640" w:right="440" w:hanging="509"/>
        <w:spacing w:after="0" w:line="266"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announced intent to initiate a Phase 1b study evaluating evorpacept in combination with the EGFR-targeted antibody cetuximab and FOLFIRI for the treatment of patients with second-line metastatic CRC.</w:t>
      </w:r>
    </w:p>
    <w:p>
      <w:pPr>
        <w:ind w:left="1640" w:right="140" w:hanging="509"/>
        <w:spacing w:after="0" w:line="282"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streamlined evorpacept development program to focus our resources on the ASPEN-Breast trial and paused the ASPEN-CRC study announced earlier in March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Investigator-Sponsored Trials (ISTs)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Combination with the HER2-targeted bispecific, zanidatamab, and HER2-targeted ADC, fam-trastuzumab deruxtecan-nxki</w:t>
      </w:r>
    </w:p>
    <w:p>
      <w:pPr>
        <w:spacing w:after="0" w:line="11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Pharmaceuticals plc - Breast Cancer</w:t>
      </w:r>
    </w:p>
    <w:p>
      <w:pPr>
        <w:spacing w:after="0" w:line="50" w:lineRule="exact"/>
        <w:rPr>
          <w:sz w:val="20"/>
          <w:szCs w:val="20"/>
          <w:color w:val="auto"/>
        </w:rPr>
      </w:pPr>
    </w:p>
    <w:p>
      <w:pPr>
        <w:ind w:left="1640" w:right="200" w:hanging="509"/>
        <w:spacing w:after="0" w:line="266" w:lineRule="auto"/>
        <w:tabs>
          <w:tab w:leader="none" w:pos="1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ind w:left="1640" w:right="380" w:hanging="509"/>
        <w:spacing w:after="0" w:line="257" w:lineRule="auto"/>
        <w:tabs>
          <w:tab w:leader="none" w:pos="1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 w:name="page25"/>
    <w:bookmarkEnd w:id="24"/>
    <w:p>
      <w:pPr>
        <w:ind w:left="1123" w:hanging="509"/>
        <w:spacing w:after="0" w:line="253" w:lineRule="auto"/>
        <w:tabs>
          <w:tab w:leader="none" w:pos="112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spacing w:after="0" w:line="79"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Leap Healthcare Collaborative - I-SPY Trial - Breast Cancer</w:t>
      </w:r>
    </w:p>
    <w:p>
      <w:pPr>
        <w:spacing w:after="0" w:line="36" w:lineRule="exact"/>
        <w:rPr>
          <w:rFonts w:ascii="Times New Roman" w:cs="Times New Roman" w:eastAsia="Times New Roman" w:hAnsi="Times New Roman"/>
          <w:sz w:val="18"/>
          <w:szCs w:val="18"/>
          <w:color w:val="auto"/>
        </w:rPr>
      </w:pPr>
    </w:p>
    <w:p>
      <w:pPr>
        <w:jc w:val="both"/>
        <w:ind w:left="1123" w:right="20" w:hanging="509"/>
        <w:spacing w:after="0" w:line="266" w:lineRule="auto"/>
        <w:tabs>
          <w:tab w:leader="none" w:pos="112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Combination with the CD20-targeted antibody rituximab</w:t>
      </w:r>
    </w:p>
    <w:p>
      <w:pPr>
        <w:spacing w:after="0" w:line="119" w:lineRule="exact"/>
        <w:rPr>
          <w:sz w:val="20"/>
          <w:szCs w:val="20"/>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 Anderson Cancer Center - Non-Hodgkin Lymphoma</w:t>
      </w:r>
    </w:p>
    <w:p>
      <w:pPr>
        <w:spacing w:after="0" w:line="56" w:lineRule="exact"/>
        <w:rPr>
          <w:sz w:val="20"/>
          <w:szCs w:val="20"/>
          <w:color w:val="auto"/>
        </w:rPr>
      </w:pPr>
    </w:p>
    <w:p>
      <w:pPr>
        <w:jc w:val="both"/>
        <w:ind w:left="1123" w:right="160" w:hanging="509"/>
        <w:spacing w:after="0" w:line="238" w:lineRule="auto"/>
        <w:tabs>
          <w:tab w:leader="none" w:pos="11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an IST of evorpacept was initiated in combination with rituximab and lenalidomide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for the treatment of patients with indolent and aggressive NHL, sponsored by MD Anderson Cancer Center in Texas. We announced the dosing of the first patient in September 2021.</w:t>
      </w:r>
    </w:p>
    <w:p>
      <w:pPr>
        <w:spacing w:after="0" w:line="24" w:lineRule="exact"/>
        <w:rPr>
          <w:rFonts w:ascii="Times New Roman" w:cs="Times New Roman" w:eastAsia="Times New Roman" w:hAnsi="Times New Roman"/>
          <w:sz w:val="18"/>
          <w:szCs w:val="18"/>
          <w:color w:val="auto"/>
        </w:rPr>
      </w:pPr>
    </w:p>
    <w:p>
      <w:pPr>
        <w:ind w:left="1123" w:hanging="509"/>
        <w:spacing w:after="0" w:line="269" w:lineRule="auto"/>
        <w:tabs>
          <w:tab w:leader="none" w:pos="112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2024, MD Anderson Cancer Center reported clinical data from the ongoing Phase 1/2 IST of evorpacept in combination with R2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mDOR was not reached.</w:t>
      </w:r>
    </w:p>
    <w:p>
      <w:pPr>
        <w:spacing w:after="0" w:line="5" w:lineRule="exact"/>
        <w:rPr>
          <w:rFonts w:ascii="Times New Roman" w:cs="Times New Roman" w:eastAsia="Times New Roman" w:hAnsi="Times New Roman"/>
          <w:sz w:val="17"/>
          <w:szCs w:val="17"/>
          <w:color w:val="auto"/>
        </w:rPr>
      </w:pPr>
    </w:p>
    <w:p>
      <w:pPr>
        <w:jc w:val="both"/>
        <w:ind w:left="1123" w:right="180" w:hanging="509"/>
        <w:spacing w:after="0" w:line="261" w:lineRule="auto"/>
        <w:tabs>
          <w:tab w:leader="none" w:pos="11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w:t>
      </w:r>
    </w:p>
    <w:p>
      <w:pPr>
        <w:spacing w:after="0" w:line="12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Combination with the CD38-targeted antibody isatuximab-irfc</w:t>
      </w:r>
    </w:p>
    <w:p>
      <w:pPr>
        <w:spacing w:after="0" w:line="119" w:lineRule="exact"/>
        <w:rPr>
          <w:sz w:val="20"/>
          <w:szCs w:val="20"/>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 Multiple Myeloma</w:t>
      </w:r>
    </w:p>
    <w:p>
      <w:pPr>
        <w:spacing w:after="0" w:line="56" w:lineRule="exact"/>
        <w:rPr>
          <w:sz w:val="20"/>
          <w:szCs w:val="20"/>
          <w:color w:val="auto"/>
        </w:rPr>
      </w:pPr>
    </w:p>
    <w:p>
      <w:pPr>
        <w:ind w:left="1123" w:right="360" w:hanging="509"/>
        <w:spacing w:after="0" w:line="238" w:lineRule="auto"/>
        <w:tabs>
          <w:tab w:leader="none" w:pos="11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announced a collaboration with Sanofi who will sponsor and manage a Phase 1/2 trial of SARCLISA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(isatuximab-irfc), an anti-cancer antibody, and dexamethasone in combination with evorpacept for the treatment of patients with relapsed or refractory multiple myeloma. We announced the dosing of the first patient in September 2024.</w:t>
      </w:r>
    </w:p>
    <w:p>
      <w:pPr>
        <w:spacing w:after="0" w:line="24" w:lineRule="exact"/>
        <w:rPr>
          <w:rFonts w:ascii="Times New Roman" w:cs="Times New Roman" w:eastAsia="Times New Roman" w:hAnsi="Times New Roman"/>
          <w:sz w:val="18"/>
          <w:szCs w:val="18"/>
          <w:color w:val="auto"/>
        </w:rPr>
      </w:pPr>
    </w:p>
    <w:p>
      <w:pPr>
        <w:ind w:left="1123" w:right="40" w:hanging="509"/>
        <w:spacing w:after="0" w:line="260" w:lineRule="auto"/>
        <w:tabs>
          <w:tab w:leader="none" w:pos="11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Sanofi and ALX Oncology announced the dose escalation portion of the cohort testing evorpacept with isatuximab-irfc and dexamethasone within the randomized phase 1/2 UMBRELLA study in patients with previously treated multiple myeloma is complete.</w:t>
      </w:r>
    </w:p>
    <w:p>
      <w:pPr>
        <w:spacing w:after="0" w:line="2" w:lineRule="exact"/>
        <w:rPr>
          <w:rFonts w:ascii="Times New Roman" w:cs="Times New Roman" w:eastAsia="Times New Roman" w:hAnsi="Times New Roman"/>
          <w:sz w:val="18"/>
          <w:szCs w:val="18"/>
          <w:color w:val="auto"/>
        </w:rPr>
      </w:pPr>
    </w:p>
    <w:p>
      <w:pPr>
        <w:ind w:left="1123" w:hanging="509"/>
        <w:spacing w:after="0"/>
        <w:tabs>
          <w:tab w:leader="none" w:pos="11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that Sanofi began the dose optimization portion of the study.</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Combination with PD-1/PD-L1 immune checkpoint inhibitor</w:t>
      </w:r>
    </w:p>
    <w:p>
      <w:pPr>
        <w:spacing w:after="0" w:line="119" w:lineRule="exact"/>
        <w:rPr>
          <w:sz w:val="20"/>
          <w:szCs w:val="20"/>
          <w:color w:val="auto"/>
        </w:rPr>
      </w:pPr>
    </w:p>
    <w:p>
      <w:pPr>
        <w:ind w:left="3" w:right="460"/>
        <w:spacing w:after="0" w:line="276" w:lineRule="auto"/>
        <w:rPr>
          <w:sz w:val="20"/>
          <w:szCs w:val="20"/>
          <w:color w:val="auto"/>
        </w:rPr>
      </w:pPr>
      <w:r>
        <w:rPr>
          <w:rFonts w:ascii="Times New Roman" w:cs="Times New Roman" w:eastAsia="Times New Roman" w:hAnsi="Times New Roman"/>
          <w:sz w:val="17"/>
          <w:szCs w:val="17"/>
          <w:color w:val="auto"/>
        </w:rPr>
        <w:t>Dendritic cells are also inhibited by the interaction of SIRPα with CD47. Activated dendritic cells present neoantigens to T-cells that, once activated, will kill cancer cells when the PD-1/PD-L1 inhibitory interaction is blocked by T-cell checkpoint inhibitors such as pembrolizumab.</w:t>
      </w:r>
    </w:p>
    <w:p>
      <w:pPr>
        <w:spacing w:after="0" w:line="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26" w:right="339" w:bottom="1440" w:gutter="0" w:footer="0" w:header="0"/>
        </w:sectPr>
      </w:pPr>
    </w:p>
    <w:bookmarkStart w:id="25" w:name="page26"/>
    <w:bookmarkEnd w:id="25"/>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of Pittsburgh - Ovarian Cancer</w:t>
      </w:r>
    </w:p>
    <w:p>
      <w:pPr>
        <w:spacing w:after="0" w:line="50" w:lineRule="exact"/>
        <w:rPr>
          <w:sz w:val="20"/>
          <w:szCs w:val="20"/>
          <w:color w:val="auto"/>
        </w:rPr>
      </w:pPr>
    </w:p>
    <w:p>
      <w:pPr>
        <w:ind w:left="1640" w:right="40" w:hanging="509"/>
        <w:spacing w:after="0" w:line="266" w:lineRule="auto"/>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of California San Diego - Oropharyngeal Cancer</w:t>
      </w:r>
    </w:p>
    <w:p>
      <w:pPr>
        <w:spacing w:after="0" w:line="36" w:lineRule="exact"/>
        <w:rPr>
          <w:rFonts w:ascii="Times New Roman" w:cs="Times New Roman" w:eastAsia="Times New Roman" w:hAnsi="Times New Roman"/>
          <w:sz w:val="18"/>
          <w:szCs w:val="18"/>
          <w:color w:val="auto"/>
        </w:rPr>
      </w:pPr>
    </w:p>
    <w:p>
      <w:pPr>
        <w:ind w:left="1640" w:right="140" w:hanging="509"/>
        <w:spacing w:after="0" w:line="266" w:lineRule="auto"/>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ALX2004</w:t>
      </w:r>
    </w:p>
    <w:p>
      <w:pPr>
        <w:spacing w:after="0" w:line="54" w:lineRule="exact"/>
        <w:rPr>
          <w:sz w:val="20"/>
          <w:szCs w:val="20"/>
          <w:color w:val="auto"/>
        </w:rPr>
      </w:pPr>
    </w:p>
    <w:p>
      <w:pPr>
        <w:ind w:left="1020" w:right="200" w:hanging="503"/>
        <w:spacing w:after="0" w:line="281"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ALX2004 is a novel EGFR-targeted ADC that was created from our proprietary linker-payload platform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w:t>
      </w:r>
    </w:p>
    <w:p>
      <w:pPr>
        <w:spacing w:after="0" w:line="1"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filed an IND application for our first ADC program, ALX2004 and in April 2025, the FDA cleared the IND to evaluate ALX2004 in a Phase 1 clinical trial for patients with epidermal growth factor receptor expressing solid tumors.</w:t>
      </w: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the dosing of the first patient in the first-in-human, open-label multi-center Phase 1 clinical trial of ALX2004 for the treatment of advanced or metastatic select EGFR-expressing solid tumors.</w:t>
      </w:r>
    </w:p>
    <w:p>
      <w:pPr>
        <w:spacing w:after="0" w:line="54"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inception through September 30, 2025, we have raised an aggregate of $643.5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in December 2020, $9.3 million were net proceeds from borrowings under the Loan Agreement (as defined below), $58.9 million were net proceeds from our follow-on offering in October 2023, and $30.0 million were net proceeds from our at-the-market (ATM) offering. For more information on the funding of our operations since inception, see section titled “—Liquidity and Capital Resources; Plan of Operations—Funding Requirements” included elsewhere in this Quarterly Report on Form 10-Q.</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since inception. Our net losses were $22.1 million and $30.7 million for the three months ended September 30, 2025 and 2024, respectively, and $78.8 million and $105.7 million for the nine months ended September 30, 2025 and 2024, respectively. As of September 30, 2025, we had an accumulated deficit of $700.0 million. Substantially all of our operating losses are a result of expenses incurred in connection with our research and development programs, primarily evorpacept, and from general and administrative expenses associated with our operations.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evorpacept through multiple clinical trials in multiple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of evorpacept in solid tumors and hematological malignancies;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ALX2004 through a first-in-human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and clinical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supplies for our preclinical studies and clinical trials;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operational, financial and management information systems to support ongoing operations as a public company.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Nasdaq Minimum Bid Price Compliance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April 23, 2025, we received a written notice (Notice), from the Listing Qualifications Staff (Staff) of The Nasdaq Stock Market LLC (Nasdaq) notifying us that we had not been in compliance with the minimum bid price requirement for continued listing on the Nasdaq Global Select Market set forth in Nasdaq Listing Rule 5450(a)(1) for a period of 30 consecutive business days. The Notice had no immediate effect on the listing of our common stock on the Nasdaq Global Select Market, subject to our compliance with the other listing requirements of Nasdaq. In September 2025, we received written confirmation from the Staff of Nasdaq that we had regained compliance with the minimum bid price requirement for continued listing on the Nasdaq Global Select Market, as the closing bid price of our common stock had been at $1.00 per share or greater for ten consecutive business days.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development of our lead product candidate, evorpacept, and the initiation and advancement of ALX2004, which include:</w:t>
      </w:r>
    </w:p>
    <w:p>
      <w:pPr>
        <w:spacing w:after="0" w:line="54" w:lineRule="exact"/>
        <w:rPr>
          <w:sz w:val="20"/>
          <w:szCs w:val="20"/>
          <w:color w:val="auto"/>
        </w:rPr>
      </w:pPr>
    </w:p>
    <w:p>
      <w:pPr>
        <w:ind w:left="1020" w:right="1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preclinical and clinical development, including expenses incurred under collaboration agreements and under agreements with contract research organizations, or CROs;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stock-based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production of clinical materials, including fees paid to contract manufacturing organizations, or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vendor expenses and third-party drugs related to the execution of preclinical studies and clinical trials;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expenses, which include expenses for rent and maintenance of facilities, depreciation and amortization expense and other supplies.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associated with the development of our lead product candidate, evorpacept, and the initiation and advancement of clinical trials of ALX2004, and include external costs, such as fees paid to consultants, central laboratories, contractors, collaborators, CMOs and CROs in connection with our preclinical and clinical development activities.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Almost all of our research and development expenses to date have been related to the clinical development of our lead product candidate, evorpacept, and the initiation and advancement of clinical trials of ALX2004.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numerous risks and uncertainties, including the following: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regulators or institutional review boards authorizing us or our investigators to commence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agreements with clinical trial sites or CROs;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our product candidates;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third-party manufacturers for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including, if necessary, litigation;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as a result of the completed reduction in workforce. Other factors that may affect general administrative expenses include inflationary pressures, higher costs of consulting, legal, tax and regulatory-related services associated with maintaining compliance with stock exchange listing and Securities and Exchange Commission (SEC) requirements, audit and investor relations costs, director and officer insurance premiums and other costs associated with being a public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Impairment charge consists of impairment of long-lived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interest income consists primarily of interest income on cash, cash equivalents and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interest expense consists primarily of interest expense on the term loan, amortization of deferred debt issuance costs, and interest related to finance leases.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income (expense), net consists primarily of realized foreign currency transaction gains and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and nine months ended September 30,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6"/>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6"/>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6"/>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14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(9,030)</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(33,490)</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charge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(10,035)</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(30,854)</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(22,532)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(32,567)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(111,854)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(4,097)</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-1499235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-1499235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-1499235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-1499235</wp:posOffset>
            </wp:positionV>
            <wp:extent cx="1111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-1499235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-1499235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-1499235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-1499235</wp:posOffset>
            </wp:positionV>
            <wp:extent cx="1117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(R&amp;D) expenses incurred for the three months and nine months ended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(2,552)</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(18,088)</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Preclinical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(1,854)</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(3,151)</w:t>
            </w: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(3,155)</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(3,544)</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(9,607)</w:t>
            </w: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costs</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8"/>
              </w:rPr>
              <w:t>2,075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22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(9,030)</w:t>
            </w:r>
          </w:p>
        </w:tc>
        <w:tc>
          <w:tcPr>
            <w:tcW w:w="200" w:type="dxa"/>
            <w:vAlign w:val="bottom"/>
          </w:tcPr>
          <w:p>
            <w:pPr>
              <w:spacing w:after="0"/>
              <w:rPr>
                <w:sz w:val="16"/>
                <w:szCs w:val="16"/>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59,351</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(33,490)</w:t>
            </w:r>
          </w:p>
        </w:tc>
        <w:tc>
          <w:tcPr>
            <w:tcW w:w="200" w:type="dxa"/>
            <w:vAlign w:val="bottom"/>
          </w:tcPr>
          <w:p>
            <w:pPr>
              <w:spacing w:after="0"/>
              <w:rPr>
                <w:sz w:val="16"/>
                <w:szCs w:val="16"/>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4"/>
        </w:trPr>
        <w:tc>
          <w:tcPr>
            <w:tcW w:w="28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-281940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-281940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-281940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-281940</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-281940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-281940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-281940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R&amp;D expenses decreased by $9.0 million during the three months ended September 30, 2025 compared to the three months ended September 30, 2024. The decrease was primarily attributable to a decrease of $2.6 million in clinical and development costs primarily due to manufacturing of clinical trial materials, the majority of which was completed in early 2024, to support active clinical trials for our lead product candidate, evorpacept, a decrease of $3.5 million in stock-based compensation expense due to terminations from the reduction in workforce as well as modification from the December 2024 option exchange, a decrease of $3.2 million in personnel and related costs primarily driven by the reduction in workforce in Q1 2025, and a decrease of $1.9 million in preclinical costs due to pipeline prioritization strategy. These decreases were offset by an increase of $2.1 million in other research costs due to a $2.5 million development milestone met related to ScalmiBio.</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R&amp;D expenses decreased by $33.5 million during the nine months ended September 30, 2025 compared to the nine months ended September 30, 2024. The decrease was primarily attributable to a decrease of $18.1 million in clinical and development costs primarily due to manufacturing of clinical trial materials, the majority of which was completed in early 2024, to support active clinical trials for our lead product candidate, evorpacept, a decrease of $9.6 million in stock-based compensation expense due to terminations from the reduction in workforce as well as modification from the December 2024 option exchange, a decrease of $3.2 million in preclinical costs due to pipeline prioritization strategy, and a decrease of $3.6 million in personnel and related costs primarily driven by the reduction in workforce in Q1 2025. These decreases were offset by an increase of $0.9 million in other research costs due to an increase of $1.5 million in development milestone met related to ScalmiBio compared to the prior period offset by decreases in facility and IT costs allocated to R&amp;D from a decrease in headcount as a result of the reduction in workforce.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general and administrative (G&amp;A) expenses incurred for the three months and nine months ended September 30, 2025 and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general and administrative</w:t>
            </w:r>
          </w:p>
        </w:tc>
        <w:tc>
          <w:tcPr>
            <w:tcW w:w="12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FF0FC"/>
          </w:tcPr>
          <w:p>
            <w:pPr>
              <w:spacing w:after="0"/>
              <w:rPr>
                <w:sz w:val="17"/>
                <w:szCs w:val="17"/>
                <w:color w:val="auto"/>
              </w:rPr>
            </w:pPr>
          </w:p>
        </w:tc>
        <w:tc>
          <w:tcPr>
            <w:tcW w:w="7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(1,005)</w:t>
            </w:r>
          </w:p>
        </w:tc>
        <w:tc>
          <w:tcPr>
            <w:tcW w:w="24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Pr>
          <w:p>
            <w:pPr>
              <w:spacing w:after="0"/>
              <w:rPr>
                <w:sz w:val="16"/>
                <w:szCs w:val="16"/>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4"/>
        </w:trPr>
        <w:tc>
          <w:tcPr>
            <w:tcW w:w="28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-281940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-281940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-281940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-281940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-281940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-281940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-281940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G&amp;A expenses decreased by $1.0 million during the three months ended September 30, 2025 compared to the three months ended September 30, 2024. The decrease was primarily attributable to a decrease of $0.9 million in stock-based compensation expense due to terminations from the reduction in workforce as well as modification from the December 2024 option exchange and a decrease of $0.2 million in other G&amp;A costs from legal consulting costs.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G&amp;A expenses decreased by $0.5 million during the nine months ended September 30, 2025 compared to the nine months ended September 30, 2024. The decrease was primarily attributable to a decrease of $1.8 million in stock-based compensation expense due to terminations from the reduction in workforce as well as modification from the December 2024 option exchange and a decrease of $0.1 million in other G&amp;A costs from legal consulting costs. This was offset by an increase of $1.3 million in personnel and related costs primarily driven by severance costs from the reduction in workforce.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Impairment charge increased by zero and $3.2 million for the three months and nine months ended September 30, 2025. In May 2025, we made a decision to sublease our leased property in Palo Alto and are actively marketing the leased property for sublease. We recorded long-lived asset impairment charge based on the performed impairment analysis.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Interest income decreased by $1.5 million for the three months ended September 30, 2025 compared to the three months ended September 30, 2024 and by $4.1 million for the nine months ended September 30, 2025 compared to the nine months ended September 30, 2024. The decreases were primarily attributable to lower cash and investment balances during 2025 as compared to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Interest expense remained flat for the three months ended September 30, 2025 compared to the three months ended September 30, 2024, as well as for the nine months ended September 30, 2025 compared to the nine months ended September 30, 2024 due to similar interest rates during the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remained flat for the three months ended September 30, 2025 compared to the three months ended September 30, 2024, as well as for the nine months ended September 30, 2025 compared to the nine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September 30, 2025, we had cash, cash equivalents and investments of $66.5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and anticipate that we will continue to incur net losses for the foreseeable future. As of September 30, 2025, we had an accumulated deficit of $700.0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7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clinical supply for our clinical trials and, if any of our product candidates are approved,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retention of key research and development personnel;</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financial and information management systems, and hire additional personnel, including personnel to support development of our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patent costs involved in prosecuting patent applications and enforcing patent claims and other intellectual property claims;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and royalty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Nasdaq;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left="10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global economic environment, such as inflation, interest rate changes, trade and other global disputes and interruptions, including related to tariffs and trade protection measures, duration of the U.S. federal government shutdown, economic downturns, bank failures or instability in the financial services sector, or geopolitical risks, disasters, and medical or public health crises, such as the COVID-19 pandemic, which may exacerbate the magnitude of the factors discussed above.</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Other than a loan and security agreement (as amended, the Loan Agreement) we entered into with Oxford Finance LLC, Oxford Finance Credit Fund II LP, and Silicon Valley Bank (SVB) (collectively, the Lenders), for a secured term loan facility of up to $100.0 million in October 2022,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a stockholder’s ownership interest will be diluted, and the terms of these securities may include liquidation or other preferences that adversely affect one’s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2021, we entered a sales agreement (as amended, Sales Agreement) with Cantor Fitzgerald &amp; Co. and Credit Suisse Securities (USA) LLC (Credit Suisse), under which we may offer and sell our common stock, having aggregate gross proceeds of up to $150.0 million, from time to time through them as our sales agents in our ATM offering program. In March 2022, we filed a universal shelf registration statement (2022 Shelf Registration Statement) with the SEC, which was declared effective by the SEC on May 31, 2022. In August 2023, we entered into an amendment to the Sales Agreement to include UBS Securities LLC as an additional sales agent and to remove Credit Suisse as a sales agent.</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7.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completed an underwritten follow-on public offering pursuant to the 2022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September 30, 2025, no shares underlying the pre-funded warrants had been exercised.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September 30, 2025.</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 From December 2021 to September 30, 2025, we sold an aggregate of 2,404,855 shares of common stock under our Sales Agreement for net proceeds of $30.0 million, after deducting commissions. We may terminate this ATM program and the Sales Agreement at any time, pursuant to its terms.</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our existing cash, cash equivalents and investments will enable us to fund our operating expenses and capital expenditure requirements into the first quarter of 2027. Additionally, the Company also has the ability to further utilize the ATM program. We have based these estimates on assumptions in which actuals may materially differ, and we could utilize our available capital resources sooner than we expect.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net cash flow activity for the nine months ended September 30, 2025 and 2024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(65,162)</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(89,866)</w:t>
            </w: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71,353</w:t>
            </w:r>
          </w:p>
        </w:tc>
        <w:tc>
          <w:tcPr>
            <w:tcW w:w="6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53,073</w:t>
            </w: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6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30,489</w:t>
            </w:r>
          </w:p>
        </w:tc>
      </w:tr>
      <w:tr>
        <w:trPr>
          <w:trHeight w:val="20"/>
        </w:trPr>
        <w:tc>
          <w:tcPr>
            <w:tcW w:w="6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(6,304)</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nine months ended September 30, 2025, net cash used in operating activities of $65.2 million was attributable to a net loss of $78.8 million and a change in our net operating assets and liabilities of $0.4 million, offset by non-cash charges of $14.1 million. The change in operating assets and liabilities was primarily due to (i) an increase in accounts payable, payable and accrued liabilities due to related party, and accrued expenses and other current liabilities of $6.1 million primarily due to timing of invoices and payments, (ii) a decrease in prepaid and other current assets of $0.7 million, (iii) a decrease in other non-current liabilities of $1.5 million and (iv) an increase in other assets of $5.7 million. Non-cash charges consisted primarily of stock-based compensation expense of $9.9 million, non-cash lease costs of $1.3 million, depreciation and amortization costs of $0.6 million, and impairment charge of $3.2 million offset by net amortization of premiums and accretion of discounts on investments of $1.1 million.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2" w:name="page33"/>
    <w:bookmarkEnd w:id="32"/>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2024, net cash used in operating activities of $89.9 million was attributable to a net loss of $105.7 million and a change in our net operating assets and liabilities of $3.7 million, offset by non-cash charges of $19.5 million. The change in operating assets and liabilities was primarily due to (i) a decrease in accounts payable and accrued expenses and other current liabilities of $2.8 million primarily due to timing of invoices and payments, (ii) a decrease in other assets of $2.2 million, (iii) an increase in prepaid and other current assets of $1.4 million and (iv) a decrease in other non-current liabilities of $1.6 million. Non-cash charges consisted primarily of stock-based compensation expense of $21.2 million, non-cash lease costs of $1.3 million, and depreciation and amortization costs of $0.7 million offset by net amortization of premiums and accretion of discounts on investments of $3.9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2025, net cash provided by investing activities of $71.4 million was attributable to cash received for maturities of investments of $117.1 million offset by purchases of short-term and long-term investments of $45.6 million and purchases of property and equipment of $0.2 million.</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2024, net cash provided by investing activities of $53.1 million was attributable to cash received for maturities of investments of $156.4 million offset by purchases of short-term and long-term investments of $103.0 million and purchases of property and equipment of $0.4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2025, net cash used in financing activities of $0.3 million was attributable to principal payments on finance leases of $0.7 million offset by proceeds from our ATM offering program of $0.4 million.</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2024, net cash provided by financing activities of $30.5 million was attributable to proceeds from our ATM offering program of $29.3 million, proceeds from the exercise of stock options under equity incentive plans of $1.6 million, and proceeds from issuance of common stock pursuant to employee stock purchase plan of $0.3 million, offset by principal payments on finance leases of $0.8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period presented, we did not have, nor do we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2024. During the nine months ended September 30, 2025, there were no material changes to our critical accounting policies and estimates from those discussed in the Company’s Annual Report on Form 10-K for the year ended December 31, 2024 filed with the SEC on March 6,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 Recent Accounting Pronouncements”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540" w:right="1680" w:hanging="5016"/>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2025, we had cash, cash equivalents and investments of $66.5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FDIC.</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is continuing to monitor any events involving limited liquidity, defaults, non-performance or other adverse developments that affect financial institutions or other companies in the financial services industry or the financial services industry generally.</w:t>
      </w:r>
    </w:p>
    <w:p>
      <w:pPr>
        <w:spacing w:after="0" w:line="54" w:lineRule="exact"/>
        <w:rPr>
          <w:sz w:val="20"/>
          <w:szCs w:val="20"/>
          <w:color w:val="auto"/>
        </w:rPr>
      </w:pPr>
    </w:p>
    <w:p>
      <w:pPr>
        <w:ind w:right="660" w:firstLine="509"/>
        <w:spacing w:after="0" w:line="375" w:lineRule="auto"/>
        <w:rPr>
          <w:sz w:val="20"/>
          <w:szCs w:val="20"/>
          <w:color w:val="auto"/>
        </w:rPr>
      </w:pPr>
      <w:r>
        <w:rPr>
          <w:rFonts w:ascii="Times New Roman" w:cs="Times New Roman" w:eastAsia="Times New Roman" w:hAnsi="Times New Roman"/>
          <w:sz w:val="18"/>
          <w:szCs w:val="18"/>
          <w:color w:val="auto"/>
        </w:rPr>
        <w:t xml:space="preserve">During the periods presented, the Company has not experienced any realized losses on its deposits of cash, cash equivalents or investments. </w:t>
      </w:r>
      <w:r>
        <w:rPr>
          <w:rFonts w:ascii="Times New Roman" w:cs="Times New Roman" w:eastAsia="Times New Roman" w:hAnsi="Times New Roman"/>
          <w:sz w:val="18"/>
          <w:szCs w:val="18"/>
          <w:b w:val="1"/>
          <w:bCs w:val="1"/>
          <w:i w:val="1"/>
          <w:iCs w:val="1"/>
          <w:color w:val="auto"/>
        </w:rPr>
        <w:t>Foreign Currency Risk</w:t>
      </w:r>
    </w:p>
    <w:p>
      <w:pPr>
        <w:spacing w:after="0" w:line="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impact on our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September 30, 2025.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2025 that materially affected, or are reasonably likely to materially affect, our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51" w:lineRule="exact"/>
        <w:rPr>
          <w:sz w:val="20"/>
          <w:szCs w:val="20"/>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such capital may not be available to us when needed or may only be available on terms that are unfavorable to 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 products approved for commercial sale, and have not generated any revenue from product sales, licenses or collaborations;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evorpacept, also known as ALX 148, which is in clinical development and which has not completed a pivotal trial;</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significant adverse events or other undesirable side effects when used alone or in combination with other treatments;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and other intellectual property for our product candidates and related technology, our business could be materially harmed;</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for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our debt and compliance with the terms of our loan agreement could restrict our ability to operate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global economic environment, such as inflation, interest rate changes, trade and other global disputes and</w:t>
      </w:r>
    </w:p>
    <w:p>
      <w:pPr>
        <w:spacing w:after="0" w:line="27" w:lineRule="exact"/>
        <w:rPr>
          <w:sz w:val="20"/>
          <w:szCs w:val="20"/>
          <w:color w:val="auto"/>
        </w:rPr>
      </w:pPr>
    </w:p>
    <w:p>
      <w:pPr>
        <w:ind w:left="1020"/>
        <w:spacing w:after="0" w:line="250" w:lineRule="auto"/>
        <w:rPr>
          <w:sz w:val="20"/>
          <w:szCs w:val="20"/>
          <w:color w:val="auto"/>
        </w:rPr>
      </w:pPr>
      <w:r>
        <w:rPr>
          <w:rFonts w:ascii="Times New Roman" w:cs="Times New Roman" w:eastAsia="Times New Roman" w:hAnsi="Times New Roman"/>
          <w:sz w:val="18"/>
          <w:szCs w:val="18"/>
          <w:color w:val="auto"/>
        </w:rPr>
        <w:t>interruptions, including related to tariffs and trade protection measures, duration of the U.S. federal government shutdown, economic downturns, bank failures or instability in the financial services sector, or geopolitical risks, disasters, and medical or public health crises, such as the COVID-19 pandemic, could adversely impact our business including our ongoing and planned clinical trials and preclinical research;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material weaknesses in our internal control over financial reporting, and if we are unable to implement and maintain effective internal control over financial reporting in the future, investors may lose confidence in our financial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we expect to continue to incur significant net losses for the foreseeable future.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$22.1 million and $30.7 million for the three months ended September 30, 2025 and 2024, respectively. As of September 30, 2025, we had an accumulated deficit of $700.0 million. We have devoted substantially all of our resources and efforts to research and development. Our product candidates, evorpacept and ALX2004, are in early-stage clinical trials.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we had cash, cash equivalents and investments of $66.5 million. Based on our current operating plan, we believe that our existing cash, cash equivalents, and investments will be sufficient to fund our operations into the first quarter of 2027.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plan to use our cash, cash equivalents and investments to advance the clinical development of evorpacept, the initiation and advancement of clinical trials of ALX2004,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September 30, 2025.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and Phase 1 clinical trials of ALX2004.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72" w:lineRule="exact"/>
        <w:rPr>
          <w:sz w:val="20"/>
          <w:szCs w:val="20"/>
          <w:color w:val="auto"/>
        </w:rPr>
      </w:pPr>
    </w:p>
    <w:p>
      <w:pPr>
        <w:ind w:left="1020" w:right="6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our lead product candidate, evorpacept, the initiation and advancement of clinical trials of ALX2004, and our other future product candidates;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evorpacept and our other future product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evorpacept, ALX2004 and any future product candidates, including establishing and maintaining commercially viable supply and manufacturing relationships with third parties to obtain finished products that are appropriately packaged for sale;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left="1020" w:right="16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evorpacept and any future product candidates as viable treatment options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including our licensed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that may be necessary to develop, manufacture or commercialize our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6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Agreement require us to meet certain operating and financial covenants, place restrictions on our operating and financial flexibility, and may subject us to default.</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October 2022, we entered into the Loan Agreement, most recently amended in December 2023, under which we have borrowed $10.0 million. Under the Loan Agreement, $25.0 million is available for us to draw at the Lenders’ sole discretion as of September 30, 2025. The proceeds of the loans may be used by us for working capital and to fund our general business requirements.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spacing w:after="0" w:line="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term loans under the Loan Agreement are secured by substantially all of our assets, except our intellectual property, which is the subject of a negative pledge, and will be guaranteed by our future subsidiaries, subject to certain limitations.</w:t>
      </w:r>
    </w:p>
    <w:p>
      <w:pPr>
        <w:spacing w:after="0" w:line="54"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8" w:name="page39"/>
    <w:bookmarkEnd w:id="38"/>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evorpacept, or our second product candidate, ALX2004, which are both in clinical development and have not completed a pivotal trial. If we do not obtain regulatory approval for and successfully commercialize evorpacept or ALX2004 in one or more indications, or we experience significant delays in doing so, we may never generate any revenue or become profitable.</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and the initiation and advancement of clinical trials of ALX2004. As a result, our business currently depends heavily on the successful development, regulatory approval and, if approved, commercialization of evorpacept in one or more of these indications, such as gastric/gastroesophageal junction, or GEJ, carcinoma,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7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head and neck squamous cell carcinoma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8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including with respect to our single-arm ASPEN-Breast study in HER2-positive breast cancer, our clinical timelines may be delayed.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preclinical development and then extensive clinical trials (including initiation of any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8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or enroll subjects on time or whether our ongoing and/or future clinical trials will be completed on schedule or at all. Clinical trials can be delayed for a variety of reasons, including delays related to:</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to commence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necessary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subjects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clinical trial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site or trial subjects withdrawing or dropping out of clinical trials at a higher rate than anticipated;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trials due to outbreaks or public health crises, such as the COVID-19 pandemic, that impact both trial site operations, subject selection and participation;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are greater than anticipated;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and approval of FDA or other comparable foreign regulatory authorities required companion diagnostics necessary for use with our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68" w:lineRule="exact"/>
        <w:rPr>
          <w:sz w:val="20"/>
          <w:szCs w:val="20"/>
          <w:color w:val="auto"/>
        </w:rPr>
      </w:pPr>
    </w:p>
    <w:p>
      <w:pPr>
        <w:ind w:right="700" w:firstLine="509"/>
        <w:spacing w:after="0" w:line="261"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safety and efficacy sufficient to obtain marketing approval of our product candidates or to market our drugs after any such approval.</w:t>
      </w: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7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 by us and the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of clinical trial sites to prospective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subjects enrolled in clinical trials dropping out before completion;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in enrollment of subjects due to a variety of reasons, including outbreaks and public health crises, such as the COVID-19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appropriately enroll an ethnically and racially diverse patient population representative of the target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adverse effects related to our product candidates.</w:t>
      </w:r>
    </w:p>
    <w:p>
      <w:pPr>
        <w:spacing w:after="0" w:line="11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8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evorpacept, ALX2004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Some of these competitive products and therapies are based on scientific approaches that are the same as or similar to our approaches, including with respect to the targeting of the CD47 pathway, targeting epidermal growth factor receptor (EGFR) as an antibody-drug conjugate target,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AstraZeneca, BioNTech, Bristol Myers Squibb with Systimmune, CSPC, and Henlius, among others, are developing or have begun development of antibody drug conjugates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based on biomarker analyses or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European Medicines Agency (EMA) and other comparable foreign regulatory requirements may subject our company to administrative or judicially imposed sanctions or enforcement actions, including:</w:t>
      </w:r>
    </w:p>
    <w:p>
      <w:pPr>
        <w:spacing w:after="0" w:line="81"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of these sanctions, enforcement actions or penalties described above may inhibit our ability to commercialize our product candidates, even if approved, and generate revenue.</w:t>
      </w:r>
    </w:p>
    <w:p>
      <w:pPr>
        <w:spacing w:after="0" w:line="5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relied on Tallac Therapeutics Inc., a third-party service provider, to conduct substantially all of our preclinical research activities for evorpacept. If we are unable to successfully transition preclinical research activities in-house or identify an alternative provider as needed, there may be disruptions or delays to our evorpacept development pipeline and our business could be harmed.</w:t>
      </w:r>
    </w:p>
    <w:p>
      <w:pPr>
        <w:spacing w:after="0" w:line="67"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transition preclinical research activities in-house, or identify an alternative provider as needed, our preclinical research efforts and studies may be extended or delayed, and there may be disruptions or delays to our evorpacept development pipeline. While we haven’t experienced any issue with transitioning preclinical research activities in-house, we recently completed the RIF in connection with the Company pipeline prioritization, clinical development and cash preservation strategy, which impacted a number of employees in research and preclinical development. As a result, our evorpacept product candidate research and development efforts may be delayed or harmed, and our costs could increase and our future ability to generate revenues could be delayed.</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4" w:name="page45"/>
    <w:bookmarkEnd w:id="44"/>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8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modifications in the methods of product candidate manufacturing or formulation may result in additional costs or delay.</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2/3 clinical trials of evorpacept in combination with trastuzumab for gastric/GEJ carcinoma. As a result, the results of our clinical trials and the sales of our drugs may be affected by the availability of these third-party drugs. For instance, we entered into clinical trial collaboration and supply agreements with Eli Lilly, pursuant to which our collaboration counterparties will supply doses of ramucirumab for use in certain clinical trials. If the agreement with Eli Lilly is terminated before the trial is completed, we may need to find another source of ramucirumab in order to continue our trial.</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6" w:name="page47"/>
    <w:bookmarkEnd w:id="46"/>
    <w:p>
      <w:pPr>
        <w:ind w:firstLine="509"/>
        <w:spacing w:after="0" w:line="256" w:lineRule="auto"/>
        <w:rPr>
          <w:sz w:val="20"/>
          <w:szCs w:val="20"/>
          <w:color w:val="auto"/>
        </w:rPr>
      </w:pPr>
      <w:r>
        <w:rPr>
          <w:rFonts w:ascii="Times New Roman" w:cs="Times New Roman" w:eastAsia="Times New Roman" w:hAnsi="Times New Roman"/>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7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business also may be implicated if any of our CROs violates fraud and abuse or false claims laws and regulations or healthcare privacy and security laws.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72" w:lineRule="exact"/>
        <w:rPr>
          <w:sz w:val="20"/>
          <w:szCs w:val="20"/>
          <w:color w:val="auto"/>
        </w:rPr>
      </w:pPr>
    </w:p>
    <w:p>
      <w:pPr>
        <w:ind w:left="1020" w:right="5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evorpacept and our other product candidates to treat cancer or other applicable targeted diseases, as compared with other available drugs, treatments or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evorpacept and our other product candidates;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evorpacept or our other product candidates by the FDA or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and 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by government, insurers or third-party payors, and the willingness of patients to pay out-of-pocket in the absence of third-party coverage;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or any foreign regulatory authority may impose additional requirements that limit the promotion, advertising, distribution or sales of our product candidates.</w:t>
      </w: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patients, physicians and/or third-party payors, we may not generate sufficient revenue to become or remain profitable and our business may be harmed.</w:t>
      </w:r>
    </w:p>
    <w:p>
      <w:pPr>
        <w:spacing w:after="0" w:line="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86"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the product candidates we develop, if approved, may be limited to certain smaller patient subsets.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if we or others later identify undesirable or unacceptable side effects caused by such products:</w:t>
      </w:r>
    </w:p>
    <w:p>
      <w:pPr>
        <w:spacing w:after="0" w:line="54" w:lineRule="exact"/>
        <w:rPr>
          <w:sz w:val="20"/>
          <w:szCs w:val="20"/>
          <w:color w:val="auto"/>
        </w:rPr>
      </w:pPr>
    </w:p>
    <w:p>
      <w:pPr>
        <w:ind w:left="5540" w:right="4320" w:hanging="5023"/>
        <w:spacing w:after="0" w:line="282" w:lineRule="auto"/>
        <w:tabs>
          <w:tab w:leader="none" w:pos="10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left="1020" w:right="5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contraindication, precaution or field alerts to physicians and pharmacies;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including changing the dose and/or schedule of administration, limit the patient population who can use the product or conduct additional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5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8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seizure or detention, or refusal to permit the import or export of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potency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comparable international regulatory authorities that a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international foreign regulatory authorities may significantly change in a manner rendering our clinical data insufficient for approval.</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under the new leadership at the HHS, reorganization of that department, departure of senior leadership at the FDA and other agencies under HHS, mass layoffs at HHS, government shutdown, and a lapse in U.S. government appropriations may impact operations at the FDA as well as other federal agencies, which can materially delay our timelines.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Further, in view of the overturn of the Chevron doctrine, this landmark Supreme Court decision may invite various stakeholders to bring lawsuits against the FDA to challenge longstanding decisions and policies, which could lead to uncertainties in the industry. Changes in the leadership of the FDA and other federal agencies under the current U.S. presidential administration may also lead to new policies and changes in the regulations and operations of the FDA, which may impact our clinical development plans.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p>
    <w:p>
      <w:pPr>
        <w:spacing w:after="0" w:line="7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5"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drugs,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w:t>
      </w:r>
    </w:p>
    <w:p>
      <w:pPr>
        <w:spacing w:after="0" w:line="84"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firstLine="509"/>
        <w:spacing w:after="0" w:line="251" w:lineRule="auto"/>
        <w:rPr>
          <w:sz w:val="20"/>
          <w:szCs w:val="20"/>
          <w:color w:val="auto"/>
        </w:rPr>
      </w:pPr>
      <w:r>
        <w:rPr>
          <w:rFonts w:ascii="Times New Roman" w:cs="Times New Roman" w:eastAsia="Times New Roman" w:hAnsi="Times New Roman"/>
          <w:sz w:val="18"/>
          <w:szCs w:val="18"/>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On September 30, 2025, the government announced the first agreement with a major pharmaceutical company to bring American drug prices in line with the lowest paid by other developed nations, requiring the company to offer medicines at a deep discount off the list price when selling directly to American patients. Such agreements and other measures that use most-favored-nation pricing targets for prescription drugs, including the use of international pricing reference to set drug prices in the United States, or increases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9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86" w:lineRule="exact"/>
        <w:rPr>
          <w:sz w:val="20"/>
          <w:szCs w:val="20"/>
          <w:color w:val="auto"/>
        </w:rPr>
      </w:pPr>
    </w:p>
    <w:p>
      <w:pPr>
        <w:ind w:left="1020" w:right="60" w:hanging="503"/>
        <w:spacing w:after="0" w:line="25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w:t>
      </w:r>
    </w:p>
    <w:p>
      <w:pPr>
        <w:spacing w:after="0" w:line="79"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75"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w:t>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services reimbursable by the government from a particular provider or supplier.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left="523" w:right="80" w:hanging="517"/>
        <w:spacing w:after="0" w:line="258" w:lineRule="auto"/>
        <w:tabs>
          <w:tab w:leader="none" w:pos="5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523" w:hanging="517"/>
        <w:spacing w:after="0" w:line="254" w:lineRule="auto"/>
        <w:tabs>
          <w:tab w:leader="none" w:pos="5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3" w:lineRule="exact"/>
        <w:rPr>
          <w:rFonts w:ascii="Times New Roman" w:cs="Times New Roman" w:eastAsia="Times New Roman" w:hAnsi="Times New Roman"/>
          <w:sz w:val="18"/>
          <w:szCs w:val="18"/>
          <w:color w:val="auto"/>
        </w:rPr>
      </w:pPr>
    </w:p>
    <w:p>
      <w:pPr>
        <w:ind w:left="523" w:right="540" w:hanging="517"/>
        <w:spacing w:after="0" w:line="282" w:lineRule="auto"/>
        <w:tabs>
          <w:tab w:leader="none" w:pos="5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prohibits, among other things, the adulteration or misbranding of drugs, biologics and medical devices.</w:t>
      </w:r>
    </w:p>
    <w:p>
      <w:pPr>
        <w:spacing w:after="0" w:line="53" w:lineRule="exact"/>
        <w:rPr>
          <w:rFonts w:ascii="Times New Roman" w:cs="Times New Roman" w:eastAsia="Times New Roman" w:hAnsi="Times New Roman"/>
          <w:sz w:val="18"/>
          <w:szCs w:val="18"/>
          <w:color w:val="auto"/>
        </w:rPr>
      </w:pPr>
    </w:p>
    <w:p>
      <w:pPr>
        <w:ind w:left="523" w:right="60" w:hanging="517"/>
        <w:spacing w:after="0" w:line="256" w:lineRule="auto"/>
        <w:tabs>
          <w:tab w:leader="none" w:pos="5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523" w:right="180" w:hanging="517"/>
        <w:spacing w:after="0" w:line="256" w:lineRule="auto"/>
        <w:tabs>
          <w:tab w:leader="none" w:pos="5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79" w:lineRule="exact"/>
        <w:rPr>
          <w:rFonts w:ascii="Times New Roman" w:cs="Times New Roman" w:eastAsia="Times New Roman" w:hAnsi="Times New Roman"/>
          <w:sz w:val="18"/>
          <w:szCs w:val="18"/>
          <w:color w:val="auto"/>
        </w:rPr>
      </w:pPr>
    </w:p>
    <w:p>
      <w:pPr>
        <w:ind w:left="503" w:hanging="503"/>
        <w:spacing w:after="0" w:line="254" w:lineRule="auto"/>
        <w:tabs>
          <w:tab w:leader="none" w:pos="5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80" w:lineRule="exact"/>
        <w:rPr>
          <w:rFonts w:ascii="Times New Roman" w:cs="Times New Roman" w:eastAsia="Times New Roman" w:hAnsi="Times New Roman"/>
          <w:sz w:val="18"/>
          <w:szCs w:val="18"/>
          <w:color w:val="auto"/>
        </w:rPr>
      </w:pPr>
    </w:p>
    <w:p>
      <w:pPr>
        <w:ind w:left="503" w:right="240" w:hanging="503"/>
        <w:spacing w:after="0" w:line="261" w:lineRule="auto"/>
        <w:tabs>
          <w:tab w:leader="none" w:pos="5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also impose legal requirements, including reporting requirements detailing interactions with and payments to healthcare providers.</w:t>
      </w:r>
    </w:p>
    <w:p>
      <w:pPr>
        <w:jc w:val="center"/>
        <w:ind w:right="477"/>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56" w:name="page57"/>
    <w:bookmarkEnd w:id="56"/>
    <w:p>
      <w:pPr>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7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82"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7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5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General Data Protection Regulation, or, together with the UK’s Data Protection Act 2018,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actual or alleged failure to comply with the GDPR, UK GDPR, FADP, or other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68"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GDPR, UK GDPR and FADP also restrict the transfer of personal information outside of the EEA, United Kingdom and Switzerland, respectively, unless appropriate safeguards are in place.</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spacing w:after="0" w:line="8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may change its policy with respect to the export of personal information to third countries, such as the United States, and the European Commission’s adequacy determination for the United Kingdom requires renewal in 2025 and it may be modified or revoked in the interim. The United Kingdom made targeted amendments to the UK GDPR in the UK Data (Use and Access) Act 2025, or DUAA, which was enacted on June 19,</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2025. The European Commission has proposed to renew the UK’s adequacy decision after assessing the DUAA, but additional procedural steps remain, causing some uncertainty to remain regarding the UK’s adequacy determination.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require us to modify our policies and practices and increase our compliance costs.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therefore, incur liabilities, expenses, costs, and other operational losses under the GDPR, the UK GDPR, the FADP, and applicable laws and regulations of European Union member states in connection with any measures we take to comply with them.</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The U.S. Department of Justice also has issued rules regarding certain bulk sensitive personal data transfers. As we expand our operations, preclinical studies and clinical trials, these new state laws and other state laws and regulations relating to privacy, data security, and the collection, use, transfer, and other processing of data may increase our compliance costs and potential liability. Laws and regulations relating to these matters are not consistent across jurisdictions, and they may impose conflicting or uncertain obligations. Compliance with these and any other applicable laws and regulations relating to these matters is a rigorous, costly and time-intensive process, and we may be required to put in place additional mechanisms to address new and changing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opposition or derivation proceedings challenging our patent rights or the patent rights of others.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80" w:lineRule="exact"/>
        <w:rPr>
          <w:sz w:val="20"/>
          <w:szCs w:val="20"/>
          <w:color w:val="auto"/>
        </w:rPr>
      </w:pPr>
    </w:p>
    <w:p>
      <w:pPr>
        <w:jc w:val="both"/>
        <w:ind w:right="120" w:firstLine="509"/>
        <w:spacing w:after="0" w:line="254"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via post-grant reviews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73"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 candidates could be found invalid or unenforceable if challenged.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protection, prosecution, assertion and defense for some of our product candidates may be dependent on third parties.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8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84"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time-consuming and unsuccessful.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5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initiate litigation or other proceedings against third parties to enforce our patent and trade secret rights;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operate without infringing the patents and other proprietary rights of third parties.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72"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SIRPα) owned by University Health Network, or UHN, and The Hospital for Sick Children that may encompass certain therapies for the treatment of cancer using polypeptides comprising soluble human SIRPα, as well as related applications in other jurisdictions.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been scheduled for November 28, 2025.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Further, with respect to the development of our ALX2004 program, many companies have filed, and continue to file, patent applications related to antibody drug conjugates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9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2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1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may be subject, in part, to the terms and conditions of agreements with others.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80"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option or license rights granted under the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collaborator that is not subject to the option or license rights granted under the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collaborators and us and our other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44 employees, including 30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p>
    <w:p>
      <w:pPr>
        <w:spacing w:after="0" w:line="7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evorpacept and any other future product candidates, while complying with applicable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updating our operational, financial and management controls, reporting systems and procedures.</w:t>
      </w:r>
    </w:p>
    <w:p>
      <w:pPr>
        <w:spacing w:after="0" w:line="11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p>
    <w:p>
      <w:pPr>
        <w:spacing w:after="0" w:line="7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w:t>
      </w:r>
    </w:p>
    <w:p>
      <w:pPr>
        <w:spacing w:after="0" w:line="6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technology, which makes it difficult to predict the time and cost of product candidate development.</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recently completed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ind w:firstLine="509"/>
        <w:spacing w:after="0" w:line="253" w:lineRule="auto"/>
        <w:rPr>
          <w:sz w:val="20"/>
          <w:szCs w:val="20"/>
          <w:color w:val="auto"/>
        </w:rPr>
      </w:pPr>
      <w:r>
        <w:rPr>
          <w:rFonts w:ascii="Times New Roman" w:cs="Times New Roman" w:eastAsia="Times New Roman" w:hAnsi="Times New Roman"/>
          <w:sz w:val="18"/>
          <w:szCs w:val="18"/>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9" w:lineRule="exact"/>
        <w:rPr>
          <w:sz w:val="20"/>
          <w:szCs w:val="20"/>
          <w:color w:val="auto"/>
        </w:rPr>
      </w:pPr>
    </w:p>
    <w:p>
      <w:pPr>
        <w:ind w:left="1020" w:right="44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and maintain regulatory approvals for the use of our products in various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or qualification of foreign clinical trial data by the competent authorities of other countries;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maintaining, protecting and enforcing our intellectual property, including as a result of potentially relevant third-party patent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drugs;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such as the geopolitical unrest and regional economic disruptions caused by Russia’s war with Ukraine,</w:t>
      </w:r>
    </w:p>
    <w:p>
      <w:pPr>
        <w:spacing w:after="0" w:line="27" w:lineRule="exact"/>
        <w:rPr>
          <w:sz w:val="20"/>
          <w:szCs w:val="20"/>
          <w:color w:val="auto"/>
        </w:rPr>
      </w:pPr>
    </w:p>
    <w:p>
      <w:pPr>
        <w:ind w:left="1020" w:right="80"/>
        <w:spacing w:after="0" w:line="250" w:lineRule="auto"/>
        <w:rPr>
          <w:sz w:val="20"/>
          <w:szCs w:val="20"/>
          <w:color w:val="auto"/>
        </w:rPr>
      </w:pPr>
      <w:r>
        <w:rPr>
          <w:rFonts w:ascii="Times New Roman" w:cs="Times New Roman" w:eastAsia="Times New Roman" w:hAnsi="Times New Roman"/>
          <w:sz w:val="18"/>
          <w:szCs w:val="18"/>
          <w:color w:val="auto"/>
        </w:rPr>
        <w:t>and war and instability in Israel and the surrounding region, and including wars, terrorism and political unrest, boycotts, curtailment of trade and other business restrictions;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a fire, an earthquake or a flood, or outbreaks or public health crises, such as the COVID-19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breach or incident or a related breach of our information systems or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harm our future international expansion and operations and, consequently, our results of operations.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right="280" w:firstLine="509"/>
        <w:spacing w:after="0" w:line="254"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spacing w:after="0" w:line="8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84"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and we may not realize the benefits of such acquisitions.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2024, we had net operating loss carryforwards of approximately $162.6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California legislation suspends the use of state net operating losses by taxpayers with net business income or modified adjusted gross income of $1 million or more for tax years beginning on or after January 1, 2024 and before January 1, 2027.</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we had Irish net operating loss carryforwards of approximately $5.5 million. These Irish net operating loss carryforwards do not expire but may not be fully utilized unless we generate sufficient income in Ireland. We may also be limited in the amount of net operating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net operating loss carryforwards) in other jurisdictions, we cannot offset the income from one jurisdiction with the loss from another, which could increase our effective tax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July 4, 2025, the United States enacted tax legislation commonly referred to as the One Big Beautiful Bill Act, or OBBB Act. In accordance with U.S. GAAP, we account for the tax effects of changes in tax law in the period of enactment which is Q3 of calendar year 2025. We analyzed the tax impact of the OBBB Act and it did not have a material impact on our financial statements. Additionally, the Organisation for Economic Co-operation and Development has proposed implementing a global minimum tax of 15%, or Pillar Two, which has been implemented into the domestic laws of European Union member countries and is being considered for implementation by other countries. However, on June 28, 2025, the G7 released a joint statement that it had reached an understanding with the United States for a side-by-side system that would exempt U.S.-parented multinational businesses from certain provisions of Pillar Two; however, no agreement regarding implementation of the proposal has been reached yet. We continue to assess the effect of the Pillar Two rules in all jurisdictions and do not currently expect Pillar Two to have a material impact on our financial position. Changes in tax laws, regulations, or rulings, changes in interpretations of existing laws and regulations, or changes in accounting principles could negatively and materially affect our financial position, cash flows, and results of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be sustained for our common stock.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6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(ATM) offering. From December 2021 to September 30, 2025, we sold an aggregate of 2,404,855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September 30, 2025, no shares underlying the pre-funded warrants had been exercised. If we issue common stock or securities convertible into common stock, our stockholders will experience additional dilution and our stock price may decline.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p>
    <w:p>
      <w:pPr>
        <w:spacing w:after="0" w:line="68"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preclinical studies and clinical trials and studies and trials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foreign countries with respect to our product candidates or our competitors’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and development relative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candidates or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future strategic partners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or recommendations by securities analysts, if any cover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insiders or our other stockholders including pursuant to the existing primary and secondary shelf registration statements that we have filed with the SEC;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perceptions of our ability to maintain our listing on Nasdaq;</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actual or anticipated reduction in force, including the RIF;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overseas;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3" w:name="page74"/>
    <w:bookmarkEnd w:id="73"/>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global economic environment, such as inflation, interest rate changes, trade and other global disputes and interruptions, including related to tariffs and trade protection measures, duration of the U.S. federal government shutdown, economic downturns, bank failures or instability in the financial services sector, or geopolitical risks, disasters, and medical or public health crises, such as the COVID-19 pandemic;</w:t>
      </w:r>
    </w:p>
    <w:p>
      <w:pPr>
        <w:spacing w:after="0" w:line="71"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U.S. equity markets, general market conditions and market conditions for biotechnology stocks;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listing of our securities on the Nasdaq Global Select Market or another reputable stock exchange, it may be more difficult for our stockholders to sell their securities.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In September 2025, we received written confirmation from the Staff of Nasdaq that we had regained compliance with the minimum bid price requirement, as the closing bid price of our common stock had been at $1.00 per share or greater for ten consecutive business days. However, there can be no assurance that we will be able to maintain compliance with the minimum bid price requirement or other Nasdaq listing standards. To the extent that we are unable to maintain compliance with Nasdaq listing standards, there is a risk that our common stock may be delisted from Nasdaq, which would adversely impact liquidity of our common stock and potentially result in even lower bid prices for our common stock.</w:t>
      </w:r>
    </w:p>
    <w:p>
      <w:pPr>
        <w:spacing w:after="0" w:line="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jc w:val="both"/>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1020" w:right="40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evorpacept, and any of our other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evorpacept or any of our other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evorpacept and any of our other product candidates, if approved, which may fluctuate significantly and be difficult to predict;</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evorpacept and any of our other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interest expense due to an increase in the floating rate under the Loan Agreement as described elsewhere in this Quarterly Report on Form 10-Q;</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duration of the U.S. federal government shutdown, and any U.S. federal government debt default due to a failure to increase the debt ceiling; and</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October 10, 2023, we completed the October 2023 Offering for the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September 30, 2025,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and management resources as a result of operating as a public company.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8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were a large-accelerated filer for fiscal year 2022, we have been a “non-accelerated filer” since fiscal year 2023 and we anticipate we will continue to be one throughout fiscal year 2026. This status could make our common stock less attractive to investors.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Each year, we re-evaluate our SEC filing status. Accordingly, we are a non-accelerated filer, and due to our public float as of June 30, 2025, we anticipate we will be a non-accelerated filer throughout calendar year 2026.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affiliated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our executive officers, directors, and affiliated holders of 5% or more of our capital stock and their respective affiliates beneficially owned approximately 21.9% of our outstanding voting stock.</w:t>
      </w:r>
    </w:p>
    <w:p>
      <w:pPr>
        <w:spacing w:after="0" w:line="5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conditions and changing circumstances could impair our ability to access our existing cash, cash equivalents and investments and to timely pay key vendors and others.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follow-on public offering. As of September 30, 2025,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7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2"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 and</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8" w:name="page79"/>
    <w:bookmarkEnd w:id="78"/>
    <w:p>
      <w:pPr>
        <w:ind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1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7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6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2024 and 2023.</w:t>
      </w:r>
    </w:p>
    <w:p>
      <w:pPr>
        <w:spacing w:after="0" w:line="5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9" w:name="page80"/>
    <w:bookmarkEnd w:id="79"/>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5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8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disruptions and delays or incur financial damages as a result of system failures or security breaches or incidents.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and war and instability in Israel and the surrounding region may subject us and our CROs and other third-party service providers to heightened risks of cyber-attacks and security breaches and incidents, any of which could materially disrupt our drug discovery and development programs or other aspects of our operations.</w:t>
      </w:r>
    </w:p>
    <w:p>
      <w:pPr>
        <w:spacing w:after="0" w:line="88"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officers or directors, as defined in Rule 16a-1(f), adopted and/or terminated a “Rule 10b5-1 trading arrangement” or a “non-Rule 10b5-1 trading arrangement,” as defined in Regulation S-K Item 408.</w:t>
      </w: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29"/>
        </w:trPr>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vMerge w:val="restart"/>
          </w:tcPr>
          <w:p>
            <w:pPr>
              <w:spacing w:after="0"/>
              <w:rPr>
                <w:sz w:val="11"/>
                <w:szCs w:val="11"/>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1"/>
                <w:szCs w:val="11"/>
                <w:color w:val="auto"/>
              </w:rPr>
            </w:pPr>
          </w:p>
        </w:tc>
        <w:tc>
          <w:tcPr>
            <w:tcW w:w="13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jc w:val="center"/>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1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3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6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13a-14(a) and 15d-14(a) under</w:t>
            </w:r>
          </w:p>
        </w:tc>
        <w:tc>
          <w:tcPr>
            <w:tcW w:w="2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2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72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Rules 13a-14(a) and 15d-14(a) under</w:t>
            </w:r>
          </w:p>
        </w:tc>
        <w:tc>
          <w:tcPr>
            <w:tcW w:w="2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2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3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6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3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72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3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and included in exhibit 101)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firstLine="8"/>
        <w:spacing w:after="0" w:line="255" w:lineRule="auto"/>
        <w:tabs>
          <w:tab w:leader="none" w:pos="1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3" w:name="page84"/>
    <w:bookmarkEnd w:id="8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6740" w:val="left"/>
          <w:tab w:leader="none" w:pos="85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6740" w:val="left"/>
          <w:tab w:leader="none" w:pos="86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Shelly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Shelly Pinto</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Senior Vice President, Finance and Chief</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9"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Lettmann, certify that:</w:t>
      </w:r>
    </w:p>
    <w:p>
      <w:pPr>
        <w:spacing w:after="0" w:line="117"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 w:leader="none" w:pos="79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Harish Shantharam, certify that:</w:t>
      </w:r>
    </w:p>
    <w:p>
      <w:pPr>
        <w:spacing w:after="0" w:line="117"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ALX Oncology Holdings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 w:leader="none" w:pos="78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September 30, 2025, as filed with the Securities and Exchange Commission on the date hereof (the “Report”), I certify, pursuant to 18 U.S.C.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5520" w:val="left"/>
          <w:tab w:leader="none" w:pos="79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ALX Oncology Holdings Inc. (the “Company”), on Form 10-Q for the period ended September 30, 2025, as filed with the Securities and Exchange Commission on the date hereof (the “Report”), I certify, pursuant to 18 U.S.C.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5280" w:val="left"/>
          <w:tab w:leader="none" w:pos="766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2"/>
    </w:lvl>
  </w:abstractNum>
  <w:abstractNum w:abstractNumId="6">
    <w:nsid w:val="77465F01"/>
    <w:multiLevelType w:val="hybridMultilevel"/>
    <w:lvl w:ilvl="0">
      <w:lvlJc w:val="left"/>
      <w:lvlText w:val="(%1)"/>
      <w:numFmt w:val="decimal"/>
      <w:start w:val="5"/>
    </w:lvl>
  </w:abstractNum>
  <w:abstractNum w:abstractNumId="7">
    <w:nsid w:val="7724C67E"/>
    <w:multiLevelType w:val="hybridMultilevel"/>
    <w:lvl w:ilvl="0">
      <w:lvlJc w:val="left"/>
      <w:lvlText w:val="(%1)"/>
      <w:numFmt w:val="lowerRoman"/>
      <w:start w:val="1"/>
    </w:lvl>
  </w:abstractNum>
  <w:abstractNum w:abstractNumId="8">
    <w:nsid w:val="5C482A97"/>
    <w:multiLevelType w:val="hybridMultilevel"/>
    <w:lvl w:ilvl="0">
      <w:lvlJc w:val="left"/>
      <w:lvlText w:val="(%1)"/>
      <w:numFmt w:val="lowerRoman"/>
      <w:start w:val="1"/>
    </w:lvl>
  </w:abstractNum>
  <w:abstractNum w:abstractNumId="9">
    <w:nsid w:val="2463B9EA"/>
    <w:multiLevelType w:val="hybridMultilevel"/>
    <w:lvl w:ilvl="0">
      <w:lvlJc w:val="left"/>
      <w:lvlText w:val="(%1)"/>
      <w:numFmt w:val="decimal"/>
      <w:start w:val="9"/>
    </w:lvl>
  </w:abstractNum>
  <w:abstractNum w:abstractNumId="10">
    <w:nsid w:val="5E884ADC"/>
    <w:multiLevelType w:val="hybridMultilevel"/>
    <w:lvl w:ilvl="0">
      <w:lvlJc w:val="left"/>
      <w:lvlText w:val="(%1)"/>
      <w:numFmt w:val="decimal"/>
      <w:start w:val="12"/>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o"/>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lvl w:ilvl="1">
      <w:lvlJc w:val="left"/>
      <w:lvlText w:val="o"/>
      <w:numFmt w:val="bullet"/>
      <w:start w:val="1"/>
    </w:lvl>
  </w:abstractNum>
  <w:abstractNum w:abstractNumId="15">
    <w:nsid w:val="3855585C"/>
    <w:multiLevelType w:val="hybridMultilevel"/>
    <w:lvl w:ilvl="0">
      <w:lvlJc w:val="left"/>
      <w:lvlText w:val="o"/>
      <w:numFmt w:val="bullet"/>
      <w:start w:val="1"/>
    </w:lvl>
    <w:lvl w:ilvl="1">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o"/>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o"/>
      <w:numFmt w:val="bullet"/>
      <w:start w:val="1"/>
    </w:lvl>
  </w:abstractNum>
  <w:abstractNum w:abstractNumId="20">
    <w:nsid w:val="725A06FB"/>
    <w:multiLevelType w:val="hybridMultilevel"/>
    <w:lvl w:ilvl="0">
      <w:lvlJc w:val="left"/>
      <w:lvlText w:val="▪"/>
      <w:numFmt w:val="bullet"/>
      <w:start w:val="1"/>
    </w:lvl>
    <w:lvl w:ilvl="1">
      <w:lvlJc w:val="left"/>
      <w:lvlText w:val="o"/>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o"/>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o"/>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lvl w:ilvl="1">
      <w:lvlJc w:val="left"/>
      <w:lvlText w:val="o"/>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2025-11-07T15:24:06Z</dcterms:created>
  <dcterms:modified xsi:type="dcterms:W3CDTF">2025-11-07T15:24:06Z</dcterms:modified>
</cp:coreProperties>
</file>