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980" w:right="126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719"/>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85-0642577</w:t>
      </w:r>
    </w:p>
    <w:p>
      <w:pPr>
        <w:spacing w:after="0" w:line="50" w:lineRule="exact"/>
        <w:rPr>
          <w:sz w:val="24"/>
          <w:szCs w:val="24"/>
          <w:color w:val="auto"/>
        </w:rPr>
      </w:pPr>
    </w:p>
    <w:p>
      <w:pPr>
        <w:sectPr>
          <w:pgSz w:w="11900" w:h="16838" w:orient="portrait"/>
          <w:cols w:equalWidth="0" w:num="2">
            <w:col w:w="7180" w:space="720"/>
            <w:col w:w="2380"/>
          </w:cols>
          <w:pgMar w:left="440" w:top="368" w:right="1179" w:bottom="1440" w:gutter="0" w:footer="0" w:header="0"/>
          <w:type w:val="continuous"/>
        </w:sectPr>
      </w:pPr>
    </w:p>
    <w:p>
      <w:pPr>
        <w:ind w:left="1560"/>
        <w:spacing w:after="0"/>
        <w:rPr>
          <w:sz w:val="20"/>
          <w:szCs w:val="20"/>
          <w:color w:val="auto"/>
        </w:rPr>
      </w:pPr>
      <w:r>
        <w:rPr>
          <w:rFonts w:ascii="Arial" w:cs="Arial" w:eastAsia="Arial" w:hAnsi="Arial"/>
          <w:sz w:val="13"/>
          <w:szCs w:val="13"/>
          <w:b w:val="1"/>
          <w:bCs w:val="1"/>
          <w:color w:val="auto"/>
        </w:rPr>
        <w:t>(State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2">
            <w:col w:w="6520" w:space="720"/>
            <w:col w:w="3040"/>
          </w:cols>
          <w:pgMar w:left="440" w:top="368" w:right="1179" w:bottom="1440" w:gutter="0" w:footer="0" w:header="0"/>
          <w:type w:val="continuous"/>
        </w:sectPr>
      </w:pPr>
    </w:p>
    <w:p>
      <w:pPr>
        <w:ind w:left="4380"/>
        <w:spacing w:after="0"/>
        <w:rPr>
          <w:sz w:val="20"/>
          <w:szCs w:val="20"/>
          <w:color w:val="auto"/>
        </w:rPr>
      </w:pPr>
      <w:r>
        <w:rPr>
          <w:rFonts w:ascii="Arial" w:cs="Arial" w:eastAsia="Arial" w:hAnsi="Arial"/>
          <w:sz w:val="18"/>
          <w:szCs w:val="18"/>
          <w:b w:val="1"/>
          <w:bCs w:val="1"/>
          <w:color w:val="auto"/>
        </w:rPr>
        <w:t>866 Malcolm Road, Suite 100</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Burlingame, California 94010</w:t>
      </w:r>
    </w:p>
    <w:p>
      <w:pPr>
        <w:spacing w:after="0" w:line="2" w:lineRule="exact"/>
        <w:rPr>
          <w:sz w:val="24"/>
          <w:szCs w:val="24"/>
          <w:color w:val="auto"/>
        </w:rPr>
      </w:pPr>
    </w:p>
    <w:p>
      <w:pPr>
        <w:jc w:val="center"/>
        <w:ind w:right="-73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35"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54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3800" w:type="dxa"/>
            <w:vAlign w:val="bottom"/>
            <w:gridSpan w:val="3"/>
          </w:tcPr>
          <w:p>
            <w:pPr>
              <w:jc w:val="center"/>
              <w:ind w:left="1279"/>
              <w:spacing w:after="0"/>
              <w:rPr>
                <w:sz w:val="20"/>
                <w:szCs w:val="20"/>
                <w:color w:val="auto"/>
              </w:rPr>
            </w:pPr>
            <w:r>
              <w:rPr>
                <w:rFonts w:ascii="Arial" w:cs="Arial" w:eastAsia="Arial" w:hAnsi="Arial"/>
                <w:sz w:val="14"/>
                <w:szCs w:val="14"/>
                <w:b w:val="1"/>
                <w:bCs w:val="1"/>
                <w:color w:val="auto"/>
                <w:w w:val="91"/>
              </w:rPr>
              <w:t>Name of each exchange on which</w:t>
            </w:r>
          </w:p>
        </w:tc>
      </w:tr>
      <w:tr>
        <w:trPr>
          <w:trHeight w:val="171"/>
        </w:trPr>
        <w:tc>
          <w:tcPr>
            <w:tcW w:w="1080" w:type="dxa"/>
            <w:vAlign w:val="bottom"/>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to be so registered</w:t>
            </w:r>
          </w:p>
        </w:tc>
        <w:tc>
          <w:tcPr>
            <w:tcW w:w="2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360" w:type="dxa"/>
            <w:vAlign w:val="bottom"/>
          </w:tcPr>
          <w:p>
            <w:pPr>
              <w:spacing w:after="0"/>
              <w:rPr>
                <w:sz w:val="14"/>
                <w:szCs w:val="14"/>
                <w:color w:val="auto"/>
              </w:rPr>
            </w:pPr>
          </w:p>
        </w:tc>
      </w:tr>
      <w:tr>
        <w:trPr>
          <w:trHeight w:val="228"/>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w w:val="93"/>
              </w:rPr>
              <w:t>Common stock, par value $</w:t>
            </w:r>
          </w:p>
        </w:tc>
        <w:tc>
          <w:tcPr>
            <w:tcW w:w="2420" w:type="dxa"/>
            <w:vAlign w:val="bottom"/>
          </w:tcPr>
          <w:p>
            <w:pPr>
              <w:spacing w:after="0"/>
              <w:rPr>
                <w:sz w:val="20"/>
                <w:szCs w:val="20"/>
                <w:color w:val="auto"/>
              </w:rPr>
            </w:pPr>
            <w:r>
              <w:rPr>
                <w:rFonts w:ascii="Arial" w:cs="Arial" w:eastAsia="Arial" w:hAnsi="Arial"/>
                <w:sz w:val="18"/>
                <w:szCs w:val="18"/>
                <w:b w:val="1"/>
                <w:bCs w:val="1"/>
                <w:color w:val="auto"/>
              </w:rPr>
              <w:t>0.001 per share</w:t>
            </w:r>
          </w:p>
        </w:tc>
        <w:tc>
          <w:tcPr>
            <w:tcW w:w="3800" w:type="dxa"/>
            <w:vAlign w:val="bottom"/>
            <w:gridSpan w:val="3"/>
          </w:tcPr>
          <w:p>
            <w:pPr>
              <w:jc w:val="center"/>
              <w:ind w:left="1279"/>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211455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 333-239490</w:t>
      </w:r>
    </w:p>
    <w:p>
      <w:pPr>
        <w:spacing w:after="0" w:line="225"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280"/>
          </w:cols>
          <w:pgMar w:left="440" w:top="368" w:right="117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For a description of the securities of ALX Oncology Holdings Inc. (the “Registrant”) being registered hereunder, reference is made to the information set forth under the heading “Description of Capital Stock” contained in the Registrant’s Registration Statement on Form S-1 (File No. 333-239490), as initially filed with the Securities and Exchange Commission (the “Commission”) on June 26, 2020, as amended (the “Registration Statement”),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Under the “Instructions as to Exhibits” section of Form 8-A, no exhibits are required to be filed because no other securities of the Registrant are to be registered on the Nasdaq Global Select Market and the securities to be registered hereby are not being registered pursuant to Section 12(g) of the Securities Exchange Act of 1934, as amended.</w:t>
      </w:r>
    </w:p>
    <w:p>
      <w:pPr>
        <w:sectPr>
          <w:pgSz w:w="11900" w:h="16838" w:orient="portrait"/>
          <w:cols w:equalWidth="0" w:num="1">
            <w:col w:w="10840"/>
          </w:cols>
          <w:pgMar w:left="440" w:top="270" w:right="61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440"/>
        <w:spacing w:after="0"/>
        <w:tabs>
          <w:tab w:leader="none" w:pos="5840" w:val="left"/>
          <w:tab w:leader="none" w:pos="6240" w:val="left"/>
        </w:tabs>
        <w:rPr>
          <w:sz w:val="20"/>
          <w:szCs w:val="20"/>
          <w:color w:val="auto"/>
        </w:rPr>
      </w:pPr>
      <w:r>
        <w:rPr>
          <w:rFonts w:ascii="Arial" w:cs="Arial" w:eastAsia="Arial" w:hAnsi="Arial"/>
          <w:sz w:val="18"/>
          <w:szCs w:val="18"/>
          <w:color w:val="auto"/>
        </w:rPr>
        <w:t>Date: July 13,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14605</wp:posOffset>
            </wp:positionV>
            <wp:extent cx="30175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Jaume Pons, Ph.D.</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2020-07-13T15:13:55Z</dcterms:created>
  <dcterms:modified xsi:type="dcterms:W3CDTF">2020-07-13T15:13:55Z</dcterms:modified>
</cp:coreProperties>
</file>