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38"/>
        </w:trPr>
        <w:tc>
          <w:tcPr>
            <w:tcW w:w="3320" w:type="dxa"/>
            <w:vAlign w:val="bottom"/>
          </w:tcPr>
          <w:p>
            <w:pPr>
              <w:jc w:val="center"/>
              <w:ind w:right="8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2"/>
                <w:szCs w:val="12"/>
                <w:color w:val="auto"/>
              </w:rPr>
            </w:pPr>
          </w:p>
        </w:tc>
        <w:tc>
          <w:tcPr>
            <w:tcW w:w="2240" w:type="dxa"/>
            <w:vAlign w:val="bottom"/>
          </w:tcPr>
          <w:p>
            <w:pPr>
              <w:jc w:val="center"/>
              <w:ind w:left="110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0"/>
                <w:szCs w:val="20"/>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On October 27, 2022, ALX Oncology Holdings Inc., a Delaware corporation (the “Company”), entered into a loan and security agreement (the “Loan Agreement”) among Oxford Finance LLC, as collateral agent (“Agent”), and Oxford Finance LLC, Oxford Finance Credit Fund II LP, and Silicon Valley Bank, as the lenders from time to time party thereto (“Lenders”), ALX Oncology Inc., a Delaware corporation (“ALX”), Alexo Therapeutics International, an exempted company incorporated with limited liability under the laws of the Cayman Islands (“Alexo”), and Sirpant Therapeutics, an exempted company incorporated with limited liability under the laws of the Cayman Islands (“Sirpant” and, together with ALX and Alexo, the “Borrowers”), and the Company as a guarantor. The Loan Agreement provides for a secured term loan facility in an aggregate principal amount of up to $100 million, of which $25 million is subject to the Lender’s sole discretion.</w:t>
      </w:r>
    </w:p>
    <w:p>
      <w:pPr>
        <w:spacing w:after="0" w:line="276"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Pursuant to the Agreement, Borrowers received funding of $10 million of an initial $50 million tranche at closing, with the remaining $40 million available through the end of 2023. The Borrowers have access up to an additional $50 million in three additional tranches, with $12.5 million available in each of two tranches based upon the achievement of milestones related to the development of evorpacept and one pre-clinical product candidate, and $25 million available at the Lenders’ sole discretion. The proceeds of the loans may be used by the Borrowers for working capital and to fund their general business requirements.</w:t>
      </w:r>
    </w:p>
    <w:p>
      <w:pPr>
        <w:spacing w:after="0" w:line="289"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The term loans mature on October 1, 2027. The term loans begin to amortize in equal monthly installments beginning on December 1, 2025. However, if either of the milestone related tranche term loans are funded, then the term loans will begin to amortize in equal monthly installments beginning on December 1, 2026.</w:t>
      </w:r>
    </w:p>
    <w:p>
      <w:pPr>
        <w:spacing w:after="0" w:line="26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term loans accrue interest at a floating rate equal to (a) the greater of (i) 1-month term SOFR and (ii) 2.33%, plus (b) 6.25%. The minimum per annum interest rate is 8.58%. Interest on the term loans is payable monthly in arrears. The term loans once repaid or prepaid may not be reborrowed. The term loans may be prepaid in full, or in part in increments of $10 million. The Borrowers are required to pay a prepayment fee of 3.0% for prepayments of term loans made in the first year after funding of such term loans, 2.0% for prepayments of term loans made in the second year after funding of such term loans, 1.0% for prepayments of term loans made in the third year after funding of such term loans and no prepayment fees thereafter. Upon the earlier of prepayment or maturity of any term loan, the Borrowers are required to pay a fee of 6.00% of the original principal amount of such funded term loan. The Borrowers are also obligated to pay other customary fees for a loan facility of this size and type.</w:t>
      </w:r>
    </w:p>
    <w:p>
      <w:pPr>
        <w:spacing w:after="0" w:line="28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Borrowers’ obligations under the Loan Agreement are secured by substantially all of the Borrowers’ and the Company’s assets, with a negative pledge on intellectual property, and will be guaranteed by its future subsidiaries, subject to certain limitations. Upon the outstanding balance of the term loans reaching $75 million or greater, the Borrowers’ and the guarantors’ intellectual property will become collateral. The Company and its subsidiary ALX Oncology Limited have guaranteed the Borrowers’ obligations under the Loan Agreement.</w:t>
      </w:r>
    </w:p>
    <w:p>
      <w:pPr>
        <w:spacing w:after="0" w:line="272"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Loan Agreement contains customary affirmative and negative covenants, including covenants limiting the ability of the Borrowers and their subsidiaries to, among other things, dispose of assets, effect certain mergers, incur debt, grant liens, pay dividends and distributions on their capital stock, make investments and acquisitions, and enter into transactions with affiliates, in each case subject to customary exceptions for a loan facility of this size and type.</w:t>
      </w:r>
    </w:p>
    <w:p>
      <w:pPr>
        <w:spacing w:after="0" w:line="2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the Borrowers’ obligations under the Loan Agreement, the termination of the Lenders’ commitments, a 5.0% increase in the applicable rate of interest and the exercise by the Lender of other rights and remedies provided for under the Loan Agreement.</w:t>
      </w:r>
    </w:p>
    <w:p>
      <w:pPr>
        <w:spacing w:after="0" w:line="2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does not purport to be complete and is qualified in its entirety by the terms and conditions of the Loan Agreement, which is attached hereto as Exhibit 10.1 and is incorporated herein by reference.</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October 31, 2022, the Company issued a press release announcing the Loan Agreement. The press release is attached hereto as Exhibit 99.1. The information included in the press release in Exhibit 99.1 shall not be deemed to be “filed” for the purposes of Section 18 of the Securities Exchange Act of 1934, as amended, or otherwise subject to the liabilities of such section, nor shall such information be deemed incorporated by reference in any filing under the Securities Act of 1933, as amended, or the Exchange Act of 1934, as amended.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related to the Loan Agreement set forth in Item 1.01 above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Loan and Security Agreement, dated as of October 27, 2022, among Oxford Finance LLC, as collateral agent, the lenders from time to time</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party thereto, ALX Oncology Inc., Alexo Therapeutics International, and Sirpant Therapeutics, each as a borrower, and ALX Oncology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Holdings Inc., as guarantor</w:t>
            </w:r>
          </w:p>
        </w:tc>
        <w:tc>
          <w:tcPr>
            <w:tcW w:w="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issued by the Company dated October 31, 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0" w:hanging="939"/>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 has been omitted pursuant to Item 601(b)(10)(iv) of Regulation S-K because it is both (i) not material and (ii) the type of information that the registrant treats as private or confidential.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31, 2022</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color w:val="auto"/>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spacing w:after="0" w:line="172" w:lineRule="exact"/>
        <w:rPr>
          <w:sz w:val="20"/>
          <w:szCs w:val="20"/>
          <w:color w:val="auto"/>
        </w:rPr>
      </w:pPr>
    </w:p>
    <w:p>
      <w:pPr>
        <w:ind w:right="340" w:firstLine="8"/>
        <w:spacing w:after="0" w:line="271" w:lineRule="auto"/>
        <w:tabs>
          <w:tab w:leader="none" w:pos="4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Pursuant to Item 601(b)(10) of Regulation S-K, certain information contained in this document, marked by brackets, has been omitted because it is both not material and is the type of information that the registrant treats as private or confidential.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from time to time be amended, modified, supplemented or restated,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October 27,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among OXFORD FINANCE LLC, a Delaware limited liability company with an office located at 115</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South Union Street, Suite 300, Alexandria, VA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hereto from time to time including Oxford in its capacity as a Lender, OXFORD FINANCE CREDIT FUND II LP, by its manager Oxford Finance Advisors, LLC with an office located at 115 South Union Street, Suite 300, Alexandria, VA 22314, and SILICON VALLEY BANK, a California corporation with an office located at 3003 Tasman Drive, Santa Clara, CA 95054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ALX ONCOLOGY INC., a Delaware corporation with offices located at 323 Allerton Avenue, South San Francisco, CA 94080, ALEXO THERAPEUTICS INTERNATIONAL, an exempted company incorporated with limited liability under the laws of the Cayman Islands with offices located at Conyers Trust Company (Cayman) Limited, Six,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Cricket Square, PO Box 2681, Grand Cayman, KY1-1111, Cayman Islands, and SIRPANT THERAPEUTICS, an exempted company incorporated with limited liability under the laws of the Cayman Islands with offices</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located at Conyers Trust Company (Cayman) Limited, Six,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Cricket Square, PO Box 2681, Grand Cayman, KY1-1111, Cayman Islands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ALX ONCOLOGY HOLDINGS INC., a Delaware corporation with offices located at 323 Allerton Avenue, South San Francisco, CA 94080 (together with each other Person party hereto as a Guarantor, individually and collectively, jointly and severally,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provides the terms on which the Lenders shall lend to Borrower and Borrower shall repay the Lenders. The parties agree as follows:</w:t>
      </w:r>
    </w:p>
    <w:p>
      <w:pPr>
        <w:spacing w:after="0" w:line="292"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Accounting terms not defined in this Agreement shall be construed in accordance with GAAP. Calculations and determinations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in accordance with GAAP (except with respect to unaudited financial statements for the absence of footnotes and subject to year-end audit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at any time any change in GAAP would affect the computation of any covenant or requirement set forth in any Loan Document, and either Borrower or any Lender shall so request, Borrower and the Lenders shall negotiate in good faith to amend such covenant or requirement to preserve the original intent thereof in light of such change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until so amended, (i) such covenant or requirement shall continue to be computed in accordance with GAAP prior to such change therein and (ii) Borrower shall provide the Lenders financial statements and other documents required under this Agreement or as reasonably requested hereunder setting forth a reconciliation between calculations of such covenant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No. 2016-02, Leases (Topic 842)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shall continue to be accounted for as operating leases for purposes of all financial definitions, calculations and covenants (other than the preparation and delivery of financial statements in accordance with GAAP)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accordance with GAAP. Capitalized terms not otherwise defined in this Agreement shall have the meanings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are United States Dollars,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760" w:hanging="752"/>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Borrower hereby unconditionally promises to pay each Lender, the outstanding principal amount of all Term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to Borrower by such Lender and accrued and unpaid interest thereon and any other amounts due hereunder as and when due in accordance with this Agreement.</w:t>
      </w:r>
    </w:p>
    <w:p>
      <w:pPr>
        <w:spacing w:after="0" w:line="185"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left="3000" w:hanging="1495"/>
        <w:spacing w:after="0"/>
        <w:tabs>
          <w:tab w:leader="none" w:pos="3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246"/>
        <w:spacing w:after="0" w:line="209" w:lineRule="exact"/>
        <w:rPr>
          <w:sz w:val="20"/>
          <w:szCs w:val="20"/>
          <w:color w:val="auto"/>
        </w:rPr>
      </w:pPr>
      <w:r>
        <w:rPr>
          <w:rFonts w:ascii="Times New Roman" w:cs="Times New Roman" w:eastAsia="Times New Roman" w:hAnsi="Times New Roman"/>
          <w:sz w:val="18"/>
          <w:szCs w:val="18"/>
          <w:color w:val="auto"/>
        </w:rPr>
        <w:t xml:space="preserve">(i) Subject to the terms and conditions of this Agreement, the Lenders agree, severally and not jointly, to make term loans to Borrower in an aggregate principal amount of up to Fifty Million Dollars ($50,000,000.00) to be disbursed in an amount equal to Ten Million Dollars ($10,000,000.00) on the Effective Date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with the remaining amount available to be disbursed during the Term A Draw Period, in up to four (4) additional single advances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on the Effective Date and thereafter are hereinafter referred to singly as a “</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 Loans</w:t>
      </w:r>
      <w:r>
        <w:rPr>
          <w:rFonts w:ascii="Times New Roman" w:cs="Times New Roman" w:eastAsia="Times New Roman" w:hAnsi="Times New Roman"/>
          <w:sz w:val="18"/>
          <w:szCs w:val="18"/>
          <w:color w:val="auto"/>
        </w:rPr>
        <w:t>”). Each disbursement of Term A Loans after the Effective Date shall be in an aggregate principal amount of at least Ten Million Dollars ($10,000,000.00) and, unless the entire remaining amount of the Term A Loan Commitment will be disbursed at such disbursement, in a denomination that is a whole number multiple of Ten Million Dollars ($10,000,000.00). After repayment, no Term A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borrowed. If the Term A Draw Period terminates on December 31, 2023 pursuant to clause (i) of the definition of “Term A Draw Period”, one half of any remaining amount of the Term A Loan Commitment on December 31, 2023 shall be added to the Term B Loan Commitment (such additional amount, the “</w:t>
      </w:r>
      <w:r>
        <w:rPr>
          <w:rFonts w:ascii="Times New Roman" w:cs="Times New Roman" w:eastAsia="Times New Roman" w:hAnsi="Times New Roman"/>
          <w:sz w:val="18"/>
          <w:szCs w:val="18"/>
          <w:b w:val="1"/>
          <w:bCs w:val="1"/>
          <w:color w:val="auto"/>
        </w:rPr>
        <w:t>Additional Term B Loan Commitment Amount</w:t>
      </w:r>
      <w:r>
        <w:rPr>
          <w:rFonts w:ascii="Times New Roman" w:cs="Times New Roman" w:eastAsia="Times New Roman" w:hAnsi="Times New Roman"/>
          <w:sz w:val="18"/>
          <w:szCs w:val="18"/>
          <w:color w:val="auto"/>
        </w:rPr>
        <w:t>”) effective as of January 1, 2024 and one half of any remaining amount of the Term A Loan Commitment on December 31, 2023 shall be added to the Term C Loan Commitment (such additional amount, the “</w:t>
      </w:r>
      <w:r>
        <w:rPr>
          <w:rFonts w:ascii="Times New Roman" w:cs="Times New Roman" w:eastAsia="Times New Roman" w:hAnsi="Times New Roman"/>
          <w:sz w:val="18"/>
          <w:szCs w:val="18"/>
          <w:b w:val="1"/>
          <w:bCs w:val="1"/>
          <w:color w:val="auto"/>
        </w:rPr>
        <w:t>Additional Term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Commitment Amount</w:t>
      </w:r>
      <w:r>
        <w:rPr>
          <w:rFonts w:ascii="Times New Roman" w:cs="Times New Roman" w:eastAsia="Times New Roman" w:hAnsi="Times New Roman"/>
          <w:sz w:val="18"/>
          <w:szCs w:val="18"/>
          <w:color w:val="auto"/>
        </w:rPr>
        <w:t>”) effective as of January 1, 2024.</w:t>
      </w:r>
    </w:p>
    <w:p>
      <w:pPr>
        <w:spacing w:after="0" w:line="189" w:lineRule="exact"/>
        <w:rPr>
          <w:sz w:val="20"/>
          <w:szCs w:val="20"/>
          <w:color w:val="auto"/>
        </w:rPr>
      </w:pPr>
    </w:p>
    <w:p>
      <w:pPr>
        <w:jc w:val="both"/>
        <w:ind w:firstLine="2246"/>
        <w:spacing w:after="0" w:line="219" w:lineRule="exact"/>
        <w:rPr>
          <w:sz w:val="20"/>
          <w:szCs w:val="20"/>
          <w:color w:val="auto"/>
        </w:rPr>
      </w:pPr>
      <w:r>
        <w:rPr>
          <w:rFonts w:ascii="Times New Roman" w:cs="Times New Roman" w:eastAsia="Times New Roman" w:hAnsi="Times New Roman"/>
          <w:sz w:val="18"/>
          <w:szCs w:val="18"/>
          <w:color w:val="auto"/>
        </w:rPr>
        <w:t xml:space="preserve">(ii) Subject to the terms and conditions of this Agreement, the Lenders agree, severally and not jointly, during the Term B Draw Period, to make term loans to Borrower in an aggregate principal amount equal to Twelve Million and Five Hundred Thousand Dollars ($12,500,000.00), as increased by the Additional Term B Loan Commitment Amount, and disbursed in a single advance according to each Lender’s Term B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B Loans</w:t>
      </w:r>
      <w:r>
        <w:rPr>
          <w:rFonts w:ascii="Times New Roman" w:cs="Times New Roman" w:eastAsia="Times New Roman" w:hAnsi="Times New Roman"/>
          <w:sz w:val="18"/>
          <w:szCs w:val="18"/>
          <w:color w:val="auto"/>
        </w:rPr>
        <w:t>”). After repayment, no Term B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65" w:lineRule="exact"/>
        <w:rPr>
          <w:sz w:val="20"/>
          <w:szCs w:val="20"/>
          <w:color w:val="auto"/>
        </w:rPr>
      </w:pPr>
    </w:p>
    <w:p>
      <w:pPr>
        <w:jc w:val="both"/>
        <w:ind w:firstLine="2246"/>
        <w:spacing w:after="0" w:line="215" w:lineRule="exact"/>
        <w:rPr>
          <w:sz w:val="20"/>
          <w:szCs w:val="20"/>
          <w:color w:val="auto"/>
        </w:rPr>
      </w:pPr>
      <w:r>
        <w:rPr>
          <w:rFonts w:ascii="Times New Roman" w:cs="Times New Roman" w:eastAsia="Times New Roman" w:hAnsi="Times New Roman"/>
          <w:sz w:val="18"/>
          <w:szCs w:val="18"/>
          <w:color w:val="auto"/>
        </w:rPr>
        <w:t xml:space="preserve">(iii) Subject to the terms and conditions of this Agreement, the Lenders agree, severally and not jointly, during the Term C Draw Period, to make term loans to Borrower in an aggregate principal amount equal to Twelve Million and Five Hundred Thousand Dollars ($12,500,000.00), as increased by the Additional Term C Loan Commitment Amount, and disbursed in a single advance according to each Lender’s Term C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C Loans</w:t>
      </w:r>
      <w:r>
        <w:rPr>
          <w:rFonts w:ascii="Times New Roman" w:cs="Times New Roman" w:eastAsia="Times New Roman" w:hAnsi="Times New Roman"/>
          <w:sz w:val="18"/>
          <w:szCs w:val="18"/>
          <w:color w:val="auto"/>
        </w:rPr>
        <w:t>”). After repayment, no Term C Loan may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borrowed.</w:t>
      </w:r>
    </w:p>
    <w:p>
      <w:pPr>
        <w:spacing w:after="0" w:line="168"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18"/>
          <w:szCs w:val="18"/>
          <w:color w:val="auto"/>
        </w:rPr>
        <w:t>(iv) Subject to the terms and conditions of this Agreement, the Lenders may, in their sole discretion upon Borrower’s written request, agree to make term loans to Borrower in an aggregate principal amount equal to Twenty-Five Million Dollars ($25,000,000.00) disbursed in a single advance and, if made, according to a commitment schedule to be provided by the Lenders prior to the Funding Date of such term loans (and Borrower acknowledges that at all times prior to such Funding Date such amount is uncommitted) (such term loans are hereinafter referred to singly as a “</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D Loans</w:t>
      </w:r>
      <w:r>
        <w:rPr>
          <w:rFonts w:ascii="Times New Roman" w:cs="Times New Roman" w:eastAsia="Times New Roman" w:hAnsi="Times New Roman"/>
          <w:sz w:val="18"/>
          <w:szCs w:val="18"/>
          <w:color w:val="auto"/>
        </w:rPr>
        <w:t>”; each Term A Loan, Term B Loan, Term C Loan and Term D Loan is hereinafter referred to singly as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the Term A Loans, the Term B Loans, the Term C Loans and the Term D Loans are hereinafter referred to collectively as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After repayment, no Term D Loan may be re-borrowed.</w:t>
      </w:r>
    </w:p>
    <w:p>
      <w:pPr>
        <w:spacing w:after="0" w:line="195" w:lineRule="exact"/>
        <w:rPr>
          <w:sz w:val="20"/>
          <w:szCs w:val="20"/>
          <w:color w:val="auto"/>
        </w:rPr>
      </w:pPr>
    </w:p>
    <w:p>
      <w:pPr>
        <w:jc w:val="both"/>
        <w:ind w:firstLine="1505"/>
        <w:spacing w:after="0" w:line="250" w:lineRule="auto"/>
        <w:tabs>
          <w:tab w:leader="none" w:pos="29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make monthly payments of interest only commencing on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both"/>
        <w:spacing w:after="0" w:line="245" w:lineRule="auto"/>
        <w:rPr>
          <w:sz w:val="20"/>
          <w:szCs w:val="20"/>
          <w:color w:val="auto"/>
        </w:rPr>
      </w:pPr>
      <w:r>
        <w:rPr>
          <w:rFonts w:ascii="Times New Roman" w:cs="Times New Roman" w:eastAsia="Times New Roman" w:hAnsi="Times New Roman"/>
          <w:sz w:val="18"/>
          <w:szCs w:val="18"/>
          <w:color w:val="auto"/>
        </w:rPr>
        <w:t>initial partial monthly interest payment otherwise due for the period between the Funding Date of such Term Loan and the last calendar day of the month in which such Funding Date occurs.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principal amount of such Lender’s Term Loan, (2) the effective rate of interest, as determined in Section 2.3(a), and (3) a repayment schedule equal to (y) twenty-three (23) months if the Amortization Date is December 1, 2025 and (z) eleven (11) months if the Amortization Date is December 1, 2026. All unpaid principal and accrued and unpaid interest with respect to each Term Loan is due and payable in full on the Maturity Date. Each Term Loan may only be prepaid in accordance with Sections 2.2(c) and 2.2(d).</w:t>
      </w:r>
    </w:p>
    <w:p>
      <w:pPr>
        <w:spacing w:after="0" w:line="195" w:lineRule="exact"/>
        <w:rPr>
          <w:sz w:val="20"/>
          <w:szCs w:val="20"/>
          <w:color w:val="auto"/>
        </w:rPr>
      </w:pPr>
    </w:p>
    <w:p>
      <w:pPr>
        <w:jc w:val="both"/>
        <w:ind w:firstLine="1505"/>
        <w:spacing w:after="0" w:line="242" w:lineRule="auto"/>
        <w:tabs>
          <w:tab w:leader="none" w:pos="29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99"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 of Term Loans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18"/>
          <w:szCs w:val="18"/>
          <w:color w:val="auto"/>
        </w:rPr>
        <w:t>(i) Borrower shall have the option to prepay all, but not less than all, of the Term Loans advanced by the Lenders under this Agreement, provided Borrower (i) provides written notice to Collateral Agent of its election to prepay the Term Loans at least ten (10) days prior to such prepayment (which notice may be conditioned upon the consummation of a financing or other events and may be revoked by Borrower in writing if such condition has not or will not occur on the proposed prepayment date),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1"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18"/>
          <w:szCs w:val="18"/>
          <w:color w:val="auto"/>
        </w:rPr>
        <w:t xml:space="preserve">(ii) Notwithstanding anything herein to the contrary, Borrower shall also have the option to prepay part of Term Loans advanced by the Lenders under this Agreement, provided Borrower (i) provides written notice to Collateral Agent of its election to prepay the Term Loans at least ten (10) days prior to such prepayment (which notice may be conditioned upon the consummation of a financing or other events and may be revoked by Borrower in writing if such condition has not or will not occur on the proposed prepayment date), (ii) prepays such part of the Term Loans in a denomination that is a whole number multiple of Ten Million Dollars ($10,000,000.00), and (iii) pays to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applicable Final Payment, and (C) all other Obligations that are then due and payable, including Lenders’ Expenses and interest at the Default Rate with respect to any past due amounts, (D) the applicable Prepayment Fee with respect to the portion of such Term Loans being prepaid, and (E) without duplication, any fee that would have otherwise been due pursuant to </w:t>
      </w:r>
      <w:r>
        <w:rPr>
          <w:rFonts w:ascii="Times New Roman" w:cs="Times New Roman" w:eastAsia="Times New Roman" w:hAnsi="Times New Roman"/>
          <w:sz w:val="18"/>
          <w:szCs w:val="18"/>
          <w:u w:val="single" w:color="auto"/>
          <w:color w:val="auto"/>
        </w:rPr>
        <w:t>Section 2.2(d)(i)</w:t>
      </w:r>
      <w:r>
        <w:rPr>
          <w:rFonts w:ascii="Times New Roman" w:cs="Times New Roman" w:eastAsia="Times New Roman" w:hAnsi="Times New Roman"/>
          <w:sz w:val="18"/>
          <w:szCs w:val="18"/>
          <w:color w:val="auto"/>
        </w:rPr>
        <w:t xml:space="preserve">. For the purposes of clarity, any partial prepayment shall be applied pro-rata to all outstanding amounts under each Term Loan, and shall be applied pro-rata within each Term Loan tranche to reduce amortization payments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on a pro-rata basis.</w:t>
      </w:r>
    </w:p>
    <w:p>
      <w:pPr>
        <w:spacing w:after="0" w:line="198"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color w:val="auto"/>
        </w:rPr>
        <w:t>Payment of Interest on the Credit Extensions.</w:t>
      </w:r>
    </w:p>
    <w:p>
      <w:pPr>
        <w:spacing w:after="0" w:line="216" w:lineRule="exact"/>
        <w:rPr>
          <w:sz w:val="20"/>
          <w:szCs w:val="20"/>
          <w:color w:val="auto"/>
        </w:rPr>
      </w:pPr>
    </w:p>
    <w:p>
      <w:pPr>
        <w:jc w:val="both"/>
        <w:ind w:firstLine="1505"/>
        <w:spacing w:after="0" w:line="250" w:lineRule="auto"/>
        <w:tabs>
          <w:tab w:leader="none" w:pos="29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Section 2.3(b), the principal amount outstanding under the Term Loans shall accrue interest at a floating per annum rate equal to the Basic Rate, determined by Collateral Agent on the Funding Date of the applicable Term Loan and reset monthly thereafter, which interest shall be payable monthly in arrears in accordance with Sections 2.2(b) and 2.3(e). Interest shall accrue on each Term Loan commencing on,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including, the Funding Date of such Term Loan, and shall accrue on the principal amount outstanding under such Term Loan through and including the day on which such Term Loan is paid in full.</w:t>
      </w:r>
    </w:p>
    <w:p>
      <w:pPr>
        <w:spacing w:after="0" w:line="148" w:lineRule="exact"/>
        <w:rPr>
          <w:sz w:val="20"/>
          <w:szCs w:val="20"/>
          <w:color w:val="auto"/>
        </w:rPr>
      </w:pPr>
    </w:p>
    <w:p>
      <w:pPr>
        <w:jc w:val="both"/>
        <w:ind w:firstLine="1505"/>
        <w:spacing w:after="0" w:line="250" w:lineRule="auto"/>
        <w:tabs>
          <w:tab w:leader="none" w:pos="29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waiver of any Event of Default or otherwise prejudice or limit any rights or remedies of Collateral Agent.</w:t>
      </w:r>
    </w:p>
    <w:p>
      <w:pPr>
        <w:spacing w:after="0" w:line="148" w:lineRule="exact"/>
        <w:rPr>
          <w:rFonts w:ascii="Times New Roman" w:cs="Times New Roman" w:eastAsia="Times New Roman" w:hAnsi="Times New Roman"/>
          <w:sz w:val="18"/>
          <w:szCs w:val="18"/>
          <w:color w:val="auto"/>
        </w:rPr>
      </w:pPr>
    </w:p>
    <w:p>
      <w:pPr>
        <w:ind w:left="3000" w:hanging="1495"/>
        <w:spacing w:after="0" w:line="207" w:lineRule="exact"/>
        <w:tabs>
          <w:tab w:leader="none" w:pos="3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360</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Day Year</w:t>
      </w:r>
      <w:r>
        <w:rPr>
          <w:rFonts w:ascii="Times New Roman" w:cs="Times New Roman" w:eastAsia="Times New Roman" w:hAnsi="Times New Roman"/>
          <w:sz w:val="18"/>
          <w:szCs w:val="18"/>
          <w:color w:val="auto"/>
        </w:rPr>
        <w:t>.  Interest shall be computed on the basis of a three hundred sixty (360) day year, and the actual</w:t>
      </w:r>
    </w:p>
    <w:p>
      <w:pPr>
        <w:spacing w:after="0" w:line="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days elapsed.</w:t>
      </w:r>
    </w:p>
    <w:p>
      <w:pPr>
        <w:spacing w:after="0" w:line="191" w:lineRule="exact"/>
        <w:rPr>
          <w:rFonts w:ascii="Times New Roman" w:cs="Times New Roman" w:eastAsia="Times New Roman" w:hAnsi="Times New Roman"/>
          <w:sz w:val="18"/>
          <w:szCs w:val="18"/>
          <w:color w:val="auto"/>
        </w:rPr>
      </w:pPr>
    </w:p>
    <w:p>
      <w:pPr>
        <w:jc w:val="both"/>
        <w:ind w:firstLine="1505"/>
        <w:spacing w:after="0" w:line="220" w:lineRule="exact"/>
        <w:tabs>
          <w:tab w:leader="none" w:pos="29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Debit of Accounts</w:t>
      </w:r>
      <w:r>
        <w:rPr>
          <w:rFonts w:ascii="Times New Roman" w:cs="Times New Roman" w:eastAsia="Times New Roman" w:hAnsi="Times New Roman"/>
          <w:sz w:val="18"/>
          <w:szCs w:val="18"/>
          <w:color w:val="auto"/>
        </w:rPr>
        <w:t>. Collateral Agent and each Lender may debit (or ACH) any deposit accounts, maintained by Credit Party or any of its Subsidiaries, including the Designated Deposit Account, for principal and interest payments or any other amounts Credit Party owes Collateral Agent or the Lenders under the Loan Documents when due. Any such debits (or ACH activity) shall not constitute a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w:t>
      </w:r>
    </w:p>
    <w:p>
      <w:pPr>
        <w:spacing w:after="0" w:line="179" w:lineRule="exact"/>
        <w:rPr>
          <w:rFonts w:ascii="Times New Roman" w:cs="Times New Roman" w:eastAsia="Times New Roman" w:hAnsi="Times New Roman"/>
          <w:sz w:val="18"/>
          <w:szCs w:val="18"/>
          <w:color w:val="auto"/>
        </w:rPr>
      </w:pPr>
    </w:p>
    <w:p>
      <w:pPr>
        <w:jc w:val="both"/>
        <w:ind w:firstLine="1505"/>
        <w:spacing w:after="0" w:line="214" w:lineRule="exact"/>
        <w:tabs>
          <w:tab w:leader="none" w:pos="29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recoupment or counterclaim, in lawful money of the United States and in immediately available funds.</w:t>
      </w:r>
    </w:p>
    <w:p>
      <w:pPr>
        <w:spacing w:after="0" w:line="1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2.4 Secured Promissory Notes. </w:t>
      </w:r>
      <w:r>
        <w:rPr>
          <w:rFonts w:ascii="Times New Roman" w:cs="Times New Roman" w:eastAsia="Times New Roman" w:hAnsi="Times New Roman"/>
          <w:sz w:val="18"/>
          <w:szCs w:val="18"/>
          <w:color w:val="auto"/>
        </w:rPr>
        <w:t>The Term Loans shall be evidenced by a Secured Promissory Note or Notes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(absent manifest error)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with a customary indemnification with respect to such lost, stolen, destroyed or mutilated Secured Promissory Note, Borrower shall issue, in lieu thereof, a replacement Secured Promissory Note in the same principal amount thereof and of like tenor.</w:t>
      </w:r>
    </w:p>
    <w:p>
      <w:pPr>
        <w:spacing w:after="0" w:line="179"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2.5</w:t>
        <w:tab/>
        <w:t xml:space="preserve">Fees. </w:t>
      </w:r>
      <w:r>
        <w:rPr>
          <w:rFonts w:ascii="Times New Roman" w:cs="Times New Roman" w:eastAsia="Times New Roman" w:hAnsi="Times New Roman"/>
          <w:sz w:val="18"/>
          <w:szCs w:val="18"/>
          <w:color w:val="auto"/>
        </w:rPr>
        <w:t>Borrower shall pay to Collateral Agent:</w:t>
      </w:r>
    </w:p>
    <w:p>
      <w:pPr>
        <w:spacing w:after="0" w:line="200" w:lineRule="exact"/>
        <w:rPr>
          <w:sz w:val="20"/>
          <w:szCs w:val="20"/>
          <w:color w:val="auto"/>
        </w:rPr>
      </w:pPr>
    </w:p>
    <w:p>
      <w:pPr>
        <w:jc w:val="both"/>
        <w:ind w:firstLine="1505"/>
        <w:spacing w:after="0" w:line="217" w:lineRule="exact"/>
        <w:tabs>
          <w:tab w:leader="none" w:pos="29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facility fee (the “</w:t>
      </w:r>
      <w:r>
        <w:rPr>
          <w:rFonts w:ascii="Times New Roman" w:cs="Times New Roman" w:eastAsia="Times New Roman" w:hAnsi="Times New Roman"/>
          <w:sz w:val="18"/>
          <w:szCs w:val="18"/>
          <w:b w:val="1"/>
          <w:bCs w:val="1"/>
          <w:color w:val="auto"/>
        </w:rPr>
        <w:t>Facility Fee</w:t>
      </w:r>
      <w:r>
        <w:rPr>
          <w:rFonts w:ascii="Times New Roman" w:cs="Times New Roman" w:eastAsia="Times New Roman" w:hAnsi="Times New Roman"/>
          <w:sz w:val="18"/>
          <w:szCs w:val="18"/>
          <w:color w:val="auto"/>
        </w:rPr>
        <w:t>”) to be shared between the Lenders pursuant to their respective Commitment Percentages, due and payable as follows: (i) Fifty Thousand Dollars ($50,000.00) shall be fully earned due and payable on the Effective Date, and (ii) with respect to any Term Loan made by the Lenders after the Effective Date, an amount equal to the product of (A) one half of one percent (0.50%) and (B) the original principal amount of such Term Loan, which shall be fully earned and due and payable on the Funding Date of each such Term Loan;</w:t>
      </w:r>
    </w:p>
    <w:p>
      <w:pPr>
        <w:spacing w:after="0" w:line="188"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to be shared between the Lenders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Pro Rata Shares;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3000" w:hanging="1495"/>
        <w:spacing w:after="0"/>
        <w:tabs>
          <w:tab w:leader="none" w:pos="3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to be shared between the Lenders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Pro Rata Shares;</w:t>
      </w:r>
    </w:p>
    <w:p>
      <w:pPr>
        <w:spacing w:after="0" w:line="193"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Expenses</w:t>
      </w:r>
      <w:r>
        <w:rPr>
          <w:rFonts w:ascii="Times New Roman" w:cs="Times New Roman" w:eastAsia="Times New Roman" w:hAnsi="Times New Roman"/>
          <w:sz w:val="18"/>
          <w:szCs w:val="18"/>
          <w:color w:val="auto"/>
        </w:rPr>
        <w:t>.  All Lenders’ Expenses (including reasonable and documented attorneys’ fees and expenses</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documentation and negotiation of this Agreement) incurred through and after the Effective Date, when due; and</w:t>
      </w:r>
    </w:p>
    <w:p>
      <w:pPr>
        <w:spacing w:after="0" w:line="205"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 Deposit</w:t>
      </w:r>
      <w:r>
        <w:rPr>
          <w:rFonts w:ascii="Times New Roman" w:cs="Times New Roman" w:eastAsia="Times New Roman" w:hAnsi="Times New Roman"/>
          <w:sz w:val="18"/>
          <w:szCs w:val="18"/>
          <w:color w:val="auto"/>
        </w:rPr>
        <w:t>. Borrower has paid to Collateral Agent a deposit of Fifty Thousand Dollars ($50,000.00) (the “</w:t>
      </w:r>
      <w:r>
        <w:rPr>
          <w:rFonts w:ascii="Times New Roman" w:cs="Times New Roman" w:eastAsia="Times New Roman" w:hAnsi="Times New Roman"/>
          <w:sz w:val="18"/>
          <w:szCs w:val="18"/>
          <w:b w:val="1"/>
          <w:bCs w:val="1"/>
          <w:color w:val="auto"/>
        </w:rPr>
        <w:t>Good Faith Deposit</w:t>
      </w:r>
      <w:r>
        <w:rPr>
          <w:rFonts w:ascii="Times New Roman" w:cs="Times New Roman" w:eastAsia="Times New Roman" w:hAnsi="Times New Roman"/>
          <w:sz w:val="18"/>
          <w:szCs w:val="18"/>
          <w:color w:val="auto"/>
        </w:rPr>
        <w:t>”) to initiate Collateral Agent’s and Lenders’ due diligence review and documentation process. The Good Faith Deposit will be used to pay Lenders’ Expenses due on the Effective Date; provided, however, Borrower shall be responsible for the entire amount of Lenders’ Expenses payable under Section 2.5(d) hereof.</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2.6 Withholding. </w:t>
      </w:r>
      <w:r>
        <w:rPr>
          <w:rFonts w:ascii="Times New Roman" w:cs="Times New Roman" w:eastAsia="Times New Roman" w:hAnsi="Times New Roman"/>
          <w:sz w:val="18"/>
          <w:szCs w:val="18"/>
          <w:color w:val="auto"/>
        </w:rPr>
        <w:t>Payments received by the Lenders from Borrower hereunder will be made free and clear of and without deduction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shall be permitted to make such withholding and deduction and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The amount by which a payment is required to be increased pursuant to the prior sentence is referred to hereafter as the “</w:t>
      </w:r>
      <w:r>
        <w:rPr>
          <w:rFonts w:ascii="Times New Roman" w:cs="Times New Roman" w:eastAsia="Times New Roman" w:hAnsi="Times New Roman"/>
          <w:sz w:val="18"/>
          <w:szCs w:val="18"/>
          <w:b w:val="1"/>
          <w:bCs w:val="1"/>
          <w:color w:val="auto"/>
        </w:rPr>
        <w:t>Withholding Tax Indemnity Amount</w:t>
      </w:r>
      <w:r>
        <w:rPr>
          <w:rFonts w:ascii="Times New Roman" w:cs="Times New Roman" w:eastAsia="Times New Roman" w:hAnsi="Times New Roman"/>
          <w:sz w:val="18"/>
          <w:szCs w:val="18"/>
          <w:color w:val="auto"/>
        </w:rPr>
        <w:t xml:space="preserve">.”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adequate reserves have been set aside on its books in accordance with GAAP. The agreements and obligations of Borrower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survive the termination of this Agreement. On the date of this Agreement, each Lender shall deliver, and upon a Lender Transfer, the applicable successor or assign shall deliver, to Borrower, a complete and properly executed IRS Form W-9 or Form W-8, as applicable, or any similar or successor certificate designated by the IRS certifying a full exemption from U.S. withholding tax (a “</w:t>
      </w:r>
      <w:r>
        <w:rPr>
          <w:rFonts w:ascii="Times New Roman" w:cs="Times New Roman" w:eastAsia="Times New Roman" w:hAnsi="Times New Roman"/>
          <w:sz w:val="18"/>
          <w:szCs w:val="18"/>
          <w:b w:val="1"/>
          <w:bCs w:val="1"/>
          <w:color w:val="auto"/>
        </w:rPr>
        <w:t>Tax Certificate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so long as no Event of Default has occurred and is continuing, if a Lender fails to deliver a Tax Certificate, Borrower shall not be required to pay the Withholding Tax Indemnity Amount, if any, unless and until such Lender delivers the Tax Certificate.</w:t>
      </w:r>
    </w:p>
    <w:p>
      <w:pPr>
        <w:spacing w:after="0" w:line="193"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Credit Extension. </w:t>
      </w:r>
      <w:r>
        <w:rPr>
          <w:rFonts w:ascii="Times New Roman" w:cs="Times New Roman" w:eastAsia="Times New Roman" w:hAnsi="Times New Roman"/>
          <w:sz w:val="18"/>
          <w:szCs w:val="18"/>
          <w:color w:val="auto"/>
        </w:rPr>
        <w:t>Each Lender’s obligation to make the initial Term A Loan is subject to the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8" w:lineRule="exact"/>
        <w:rPr>
          <w:sz w:val="20"/>
          <w:szCs w:val="20"/>
          <w:color w:val="auto"/>
        </w:rPr>
      </w:pPr>
    </w:p>
    <w:p>
      <w:pPr>
        <w:ind w:left="3000" w:hanging="1495"/>
        <w:spacing w:after="0"/>
        <w:tabs>
          <w:tab w:leader="none" w:pos="3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Loan Documents, each duly executed by Credit Party;</w:t>
      </w:r>
    </w:p>
    <w:p>
      <w:pPr>
        <w:spacing w:after="0" w:line="211"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Control Agreements or other appropriate instruments under applicable law with respect to any Collateral Accounts maintained by Credit Party;</w:t>
      </w:r>
    </w:p>
    <w:p>
      <w:pPr>
        <w:spacing w:after="0" w:line="175"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Secured Promissory Notes in favor of each Lender according to its Term A Loan Commitment Percentage in respect of the Term A Loans made by such Lender on the Effective Date;</w:t>
      </w:r>
    </w:p>
    <w:p>
      <w:pPr>
        <w:spacing w:after="0" w:line="162" w:lineRule="exact"/>
        <w:rPr>
          <w:rFonts w:ascii="Times New Roman" w:cs="Times New Roman" w:eastAsia="Times New Roman" w:hAnsi="Times New Roman"/>
          <w:sz w:val="18"/>
          <w:szCs w:val="18"/>
          <w:color w:val="auto"/>
        </w:rPr>
      </w:pPr>
    </w:p>
    <w:p>
      <w:pPr>
        <w:ind w:firstLine="1505"/>
        <w:spacing w:after="0" w:line="282" w:lineRule="auto"/>
        <w:tabs>
          <w:tab w:leader="none" w:pos="29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the Irish Share Charge, the original share certificate(s) in respect of the Shares held by the Parent in ALX Ireland, together with (A) stock transfer forms signed in blank by the Parent in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respect of those Shares, (B) a proxy form and a dividend mandate form in respect of those Shares as provided for in the Irish Share Charge, and (C) undated letters of resignation for each of the directors and the secretary of ALX Ireland and the authorization to complete the same in the manner provided for in the Irish Share Charge, and (ii) in the case of the other Shares, the certificate(s) (if any) for the Shares, together with the Share Transfer Forms or Assignment(s) Separate from Certificate, duly executed in blank;</w:t>
      </w:r>
    </w:p>
    <w:p>
      <w:pPr>
        <w:spacing w:after="0" w:line="191" w:lineRule="exact"/>
        <w:rPr>
          <w:sz w:val="20"/>
          <w:szCs w:val="20"/>
          <w:color w:val="auto"/>
        </w:rPr>
      </w:pPr>
    </w:p>
    <w:p>
      <w:pPr>
        <w:ind w:left="3000" w:hanging="1495"/>
        <w:spacing w:after="0"/>
        <w:tabs>
          <w:tab w:leader="none" w:pos="3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deliverables required under the Cayman Loan Documents;</w:t>
      </w:r>
    </w:p>
    <w:p>
      <w:pPr>
        <w:spacing w:after="0" w:line="212"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all deliverables required under the Irish Loan Documents;</w:t>
      </w:r>
    </w:p>
    <w:p>
      <w:pPr>
        <w:spacing w:after="0" w:line="212" w:lineRule="exact"/>
        <w:rPr>
          <w:sz w:val="20"/>
          <w:szCs w:val="20"/>
          <w:color w:val="auto"/>
        </w:rPr>
      </w:pPr>
    </w:p>
    <w:p>
      <w:pPr>
        <w:jc w:val="both"/>
        <w:ind w:firstLine="1505"/>
        <w:spacing w:after="0" w:line="258" w:lineRule="auto"/>
        <w:tabs>
          <w:tab w:leader="none" w:pos="29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Documents and good standing certificates of Parent and its Subsidiaries certified by the Secretary of State (or equivalent agency) of such Person’s jurisdiction of organization or formation and each jurisdiction in which such Person is qualified to conduct business, each as of a date no earlier than thirty (30) days prior to the Effective Date</w:t>
      </w:r>
      <w:r>
        <w:rPr>
          <w:rFonts w:ascii="Times New Roman" w:cs="Times New Roman" w:eastAsia="Times New Roman" w:hAnsi="Times New Roman"/>
          <w:sz w:val="18"/>
          <w:szCs w:val="18"/>
          <w:b w:val="1"/>
          <w:bCs w:val="1"/>
          <w:color w:val="auto"/>
        </w:rPr>
        <w:t>;</w:t>
      </w:r>
    </w:p>
    <w:p>
      <w:pPr>
        <w:spacing w:after="0" w:line="169"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for Parent and each of its Subsidiaries;</w:t>
      </w:r>
    </w:p>
    <w:p>
      <w:pPr>
        <w:sectPr>
          <w:pgSz w:w="11900" w:h="16838" w:orient="portrait"/>
          <w:cols w:equalWidth="0" w:num="1">
            <w:col w:w="11240"/>
          </w:cols>
          <w:pgMar w:left="320" w:top="324" w:right="339" w:bottom="1440" w:gutter="0" w:footer="0" w:header="0"/>
        </w:sectPr>
      </w:pP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Projections, for the current calendar year;</w:t>
      </w:r>
    </w:p>
    <w:p>
      <w:pPr>
        <w:spacing w:after="0" w:line="211"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(j)</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executed original officer’s certificate for Credit Party, in a form acceptable to Collateral Agent and the</w:t>
      </w:r>
    </w:p>
    <w:p>
      <w:pPr>
        <w:spacing w:after="0" w:line="23"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184" w:lineRule="exact"/>
        <w:rPr>
          <w:sz w:val="20"/>
          <w:szCs w:val="20"/>
          <w:color w:val="auto"/>
        </w:rPr>
      </w:pPr>
    </w:p>
    <w:p>
      <w:pPr>
        <w:jc w:val="both"/>
        <w:ind w:firstLine="1505"/>
        <w:spacing w:after="0" w:line="258" w:lineRule="auto"/>
        <w:tabs>
          <w:tab w:leader="none" w:pos="29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(l) a landlord’s consent executed in favor of Collateral Agent in respect of (i) the chief executive office for Credit Party and (ii) all other leased locations of Credit Party where Credit Party maintains Collateral having book value in excess of Five Hundred Thousand Dollars ($500,000.00);</w:t>
      </w:r>
    </w:p>
    <w:p>
      <w:pPr>
        <w:spacing w:after="0" w:line="169" w:lineRule="exact"/>
        <w:rPr>
          <w:sz w:val="20"/>
          <w:szCs w:val="20"/>
          <w:color w:val="auto"/>
        </w:rPr>
      </w:pPr>
    </w:p>
    <w:p>
      <w:pPr>
        <w:ind w:firstLine="1505"/>
        <w:spacing w:after="0" w:line="282" w:lineRule="auto"/>
        <w:tabs>
          <w:tab w:leader="none" w:pos="29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bailee waiver executed in favor of Collateral Agent in respect of each third party bailee where Credit Party maintains Collateral having a book value in excess of Five Hundred Thousand Dollars ($500,000.00);</w:t>
      </w:r>
    </w:p>
    <w:p>
      <w:pPr>
        <w:spacing w:after="0" w:line="148"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U.S. counsel to Parent and its Subsidiaries dated the Effective Date with respect</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customary U.S. law matters;</w:t>
      </w:r>
    </w:p>
    <w:p>
      <w:pPr>
        <w:spacing w:after="0" w:line="205"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Irish counsel to Parent and its Subsidiaries dated the Effective Date with respect</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customary Irish law matters;</w:t>
      </w:r>
    </w:p>
    <w:p>
      <w:pPr>
        <w:spacing w:after="0" w:line="191"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Cayman counsel to Parent and its Subsidiaries dated the Effective Date with respect to customary Cayman law matters;</w:t>
      </w:r>
    </w:p>
    <w:p>
      <w:pPr>
        <w:spacing w:after="0" w:line="175"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ectPr>
          <w:pgSz w:w="11900" w:h="16838" w:orient="portrait"/>
          <w:cols w:equalWidth="0" w:num="1">
            <w:col w:w="11240"/>
          </w:cols>
          <w:pgMar w:left="320" w:top="324" w:right="339" w:bottom="1440" w:gutter="0" w:footer="0" w:header="0"/>
          <w:type w:val="continuous"/>
        </w:sectPr>
      </w:pP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that the Liens registered against ALX Ireland in favor of Silicon Valley Bank in Ireland have been</w:t>
      </w:r>
    </w:p>
    <w:p>
      <w:pPr>
        <w:spacing w:after="0" w:line="23"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released;</w:t>
      </w:r>
    </w:p>
    <w:p>
      <w:pPr>
        <w:sectPr>
          <w:pgSz w:w="11900" w:h="16838" w:orient="portrait"/>
          <w:cols w:equalWidth="0" w:num="1">
            <w:col w:w="11240"/>
          </w:cols>
          <w:pgMar w:left="320" w:top="324" w:right="339" w:bottom="1440" w:gutter="0" w:footer="0" w:header="0"/>
          <w:type w:val="continuous"/>
        </w:sectPr>
      </w:pP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 of the fees and Lenders’ Expenses then due as specified in Section 2.5 hereof.</w:t>
      </w:r>
    </w:p>
    <w:p>
      <w:pPr>
        <w:spacing w:after="0" w:line="211"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line="21"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Conditions Precedent to all Credit Extensions.  </w:t>
      </w:r>
      <w:r>
        <w:rPr>
          <w:rFonts w:ascii="Times New Roman" w:cs="Times New Roman" w:eastAsia="Times New Roman" w:hAnsi="Times New Roman"/>
          <w:sz w:val="18"/>
          <w:szCs w:val="18"/>
          <w:color w:val="auto"/>
        </w:rPr>
        <w:t>The obligation of each Lender to make each Credit Extension, including the initial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Extension, is subject to the following conditions precedent: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0" w:name="page11"/>
    <w:bookmarkEnd w:id="10"/>
    <w:p>
      <w:pPr>
        <w:ind w:firstLine="1505"/>
        <w:spacing w:after="0" w:line="250" w:lineRule="exact"/>
        <w:tabs>
          <w:tab w:leader="none" w:pos="29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(i) the Lenders of an executed Disbursement Letter in the form of </w:t>
      </w:r>
      <w:r>
        <w:rPr>
          <w:rFonts w:ascii="Times New Roman" w:cs="Times New Roman" w:eastAsia="Times New Roman" w:hAnsi="Times New Roman"/>
          <w:sz w:val="18"/>
          <w:szCs w:val="18"/>
          <w:u w:val="single" w:color="auto"/>
          <w:color w:val="auto"/>
        </w:rPr>
        <w:t>Exhibit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attached hereto; and (ii) SVB of an executed Loan Payment/Advance Request Form in the form of </w:t>
      </w:r>
      <w:r>
        <w:rPr>
          <w:rFonts w:ascii="Times New Roman" w:cs="Times New Roman" w:eastAsia="Times New Roman" w:hAnsi="Times New Roman"/>
          <w:sz w:val="18"/>
          <w:szCs w:val="18"/>
          <w:u w:val="single" w:color="auto"/>
          <w:color w:val="auto"/>
        </w:rPr>
        <w:t>Exhibit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attached hereto;</w:t>
      </w:r>
    </w:p>
    <w:p>
      <w:pPr>
        <w:spacing w:after="0" w:line="164" w:lineRule="exact"/>
        <w:rPr>
          <w:rFonts w:ascii="Times New Roman" w:cs="Times New Roman" w:eastAsia="Times New Roman" w:hAnsi="Times New Roman"/>
          <w:sz w:val="18"/>
          <w:szCs w:val="18"/>
          <w:color w:val="auto"/>
        </w:rPr>
      </w:pPr>
    </w:p>
    <w:p>
      <w:pPr>
        <w:jc w:val="both"/>
        <w:ind w:firstLine="1505"/>
        <w:spacing w:after="0" w:line="242" w:lineRule="auto"/>
        <w:tabs>
          <w:tab w:leader="none" w:pos="29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Lender’s sole discretion, there has not been any Material Adverse Change or any material adverse deviation by any Credit Party and its Subsidiaries from the Annual Projections presented to and accepted by Collateral Agent and each Lender;</w:t>
      </w:r>
    </w:p>
    <w:p>
      <w:pPr>
        <w:spacing w:after="0" w:line="162"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delivered at the Effective Date and requested by a Lender, duly executed original Secured Promissory Notes, in number, form and content acceptable to such Lender, and in favor of such Lender according to its Commitment Percentage, with respect to each Credit Extension made by such Lender after the Effective Date;</w:t>
      </w:r>
    </w:p>
    <w:p>
      <w:pPr>
        <w:spacing w:after="0" w:line="169"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 and</w:t>
      </w:r>
    </w:p>
    <w:p>
      <w:pPr>
        <w:spacing w:after="0" w:line="22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(f) if the outstanding principal amount of the Term Loans will be equal to or greater than Seventy-Five Million Dollars ($75,000,000.00) immediately after such Credit Extension, each Credit Party shall have executed and delivered (i) an amendment to this Agreement and any necessary amendments to the other Loan Documents to include the Intellectual Property in the Collateral and such other changes related thereto and (ii) intellectual property security agreements and other Loan Documents related thereto, in form and substance reasonably acceptable to Collateral Agent and Lenders in the case of all such documents required by this Section 3.2(f).</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Borrower agrees to deliver to Collateral Agent and the Lenders each item required to be delivered to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3.4 Procedures for Borrowing. </w:t>
      </w:r>
      <w:r>
        <w:rPr>
          <w:rFonts w:ascii="Times New Roman" w:cs="Times New Roman" w:eastAsia="Times New Roman" w:hAnsi="Times New Roman"/>
          <w:sz w:val="18"/>
          <w:szCs w:val="18"/>
          <w:color w:val="auto"/>
        </w:rPr>
        <w:t>Subject to the prior satisfaction of all other applicable conditions to the making of a Term Loan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obtain a Term Loan, Borrower shall notify the Lenders (which notice shall be irrevocable) by electronic mail, facsimile, or telephone by 12:00 noon Eastern time ten (10)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89"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12"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Credit Party hereby grants Collateral Agent, for the ratable benefit of the Lenders, to secure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full of all of the Obligations, a continuing security interest in, and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 w:name="page12"/>
    <w:bookmarkEnd w:id="11"/>
    <w:p>
      <w:pPr>
        <w:jc w:val="both"/>
        <w:spacing w:after="0" w:line="245" w:lineRule="auto"/>
        <w:rPr>
          <w:sz w:val="20"/>
          <w:szCs w:val="20"/>
          <w:color w:val="auto"/>
        </w:rPr>
      </w:pPr>
      <w:r>
        <w:rPr>
          <w:rFonts w:ascii="Times New Roman" w:cs="Times New Roman" w:eastAsia="Times New Roman" w:hAnsi="Times New Roman"/>
          <w:sz w:val="18"/>
          <w:szCs w:val="18"/>
          <w:color w:val="auto"/>
        </w:rPr>
        <w:t>pledges or charges to Collateral Agent, for the ratable benefit of the Lenders, the Collateral, wherever located, whether now owned or hereafter acquired or arising, and all proceeds and products thereof. Credit Party represents, warrants, and covenants that the security interest granted herein is and shall at all times continue to be a first priority perfected security interest in the Collateral; provided that the Collateral may be subject to Permitted Liens. If Credit Party shall acquire a commercial tort claim (as defined in the Code) that exceeds Two Hundred Fifty Thousand Dollars ($250,000.00), Credit Party, shall promptly notify Collateral Agent in a writing signed by Credit Party,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9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Credit Party acknowledges that it previously has entered, and/or may in the future enter, into Bank Services Agreements with Bank. Regardless of the terms of any Bank Services Agreement, Credit Party agrees that any amounts Credit Party owes Bank thereunder shall be deemed to be Obligations hereunder and that it is the intent of Credit Party and Bank to have all such Obligations secured by the first priority perfected security interest in the Collateral granted herein; provided that the Collateral may be subject to Permitted Liens.</w:t>
      </w:r>
    </w:p>
    <w:p>
      <w:pPr>
        <w:spacing w:after="0" w:line="19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If this Agreement is terminated, Collateral Agent’s Lien in the Collateral shall continue until the Obligations (other than inchoate indemnity obligations and any other obligations which, by their terms, are to survive the termination of this Agreement) are repaid in full in cash. Upon payment in full in cash of the Obligations (other than inchoate indemnity obligations and any other obligations which, by their terms, are to survive the termination of this Agreement) and at such time as the Lenders’ obligation to make Credit Extensions has terminated, Collateral Agent shall, at the sole cost and expense of Credit Party, release its Liens in the Collateral and all rights therein shall revert to Credit Party. In the event (x) all Obligations (other than inchoate indemnity obligations and any other obligations which, by their terms, are to survive the termination of this Agreement), except for Bank Services, are satisfied in full, and (y) this Agreement is terminated, Bank shall terminate the security interest granted herein upon Credit Party providing cash collateral acceptable to Bank in its good faith business judgment for Bank Services, if any. In the event such Bank Services consist of outstanding Letters of Credit, Credit Party shall provide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20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4.2 Authorization to File Financing Statements. </w:t>
      </w:r>
      <w:r>
        <w:rPr>
          <w:rFonts w:ascii="Times New Roman" w:cs="Times New Roman" w:eastAsia="Times New Roman" w:hAnsi="Times New Roman"/>
          <w:sz w:val="18"/>
          <w:szCs w:val="18"/>
          <w:color w:val="auto"/>
        </w:rPr>
        <w:t>Credit Party hereby authorizes Collateral Agent to file financing statements or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action required to perfect Collateral Agent’s security interests in the Collateral, without notice to Credit Party, with all appropriate jurisdictions to perfect or protect Collateral Agent’s interest or rights under the Loan Documents, including a notice that any disposition of the Collateral, except to the extent permitted by the terms of this Agreement, by Credit Party, or any other Person, shall be deemed to violate the rights of Collateral Agent under the Code. Each Credit Party incorporated in the Cayman Islands shall update its register of mortgages and charges to reflect the security interests granted under the Loan Documents in accordance with the Companies Act (as revised) of the Cayman Islands and their register of members to include a notation with respect to the security interests granted, as required.</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4.3 Pledge of Collateral. </w:t>
      </w:r>
      <w:r>
        <w:rPr>
          <w:rFonts w:ascii="Times New Roman" w:cs="Times New Roman" w:eastAsia="Times New Roman" w:hAnsi="Times New Roman"/>
          <w:sz w:val="18"/>
          <w:szCs w:val="18"/>
          <w:color w:val="auto"/>
        </w:rPr>
        <w:t>Credit Party hereby pledges, charges, collaterally assigns and grants to Collateral Agent, for the ratable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Business Days (or such longer period as may be agreed to by Collateral Agent in its sole discretion) of the certification of any Shares, the certificate or certificates for the Shares (if any) will be delivered to Collateral Agent, accompanied by an instrument of assignment or transfer duly executed in blank by Credit Party. To the extent required by the terms and conditions governing the Shares, Credit Party shall cause the books of each entity whose Shares are part of the Collateral and any transfer agent to reflect the pledge or charge of the Shares. Each Credit Party incorporated in the Cayman Islands shall also provide all deliverables required under the Cayman Loan Documents. Upon the occurrence and during the continuance of an Event of Default hereunder, Collateral Agent may effect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jc w:val="both"/>
        <w:spacing w:after="0" w:line="245" w:lineRule="auto"/>
        <w:rPr>
          <w:sz w:val="20"/>
          <w:szCs w:val="20"/>
          <w:color w:val="auto"/>
        </w:rPr>
      </w:pPr>
      <w:r>
        <w:rPr>
          <w:rFonts w:ascii="Times New Roman" w:cs="Times New Roman" w:eastAsia="Times New Roman" w:hAnsi="Times New Roman"/>
          <w:sz w:val="18"/>
          <w:szCs w:val="18"/>
          <w:color w:val="auto"/>
        </w:rPr>
        <w:t>transfer of any securities included in the Collateral (including but not limited to the Shares) into the name of Collateral Agent and cause new (as applicable) certificates representing such securities to be issued in the name of Collateral Agent or its transferee. Credit Party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Credit Party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91"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1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Party represents and warrants to Collateral Agent and the Lenders as follows:</w:t>
      </w:r>
    </w:p>
    <w:p>
      <w:pPr>
        <w:spacing w:after="0" w:line="20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Credit Party and each of its Subsidiaries is duly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such concept is applicable) as a Registered Organization in its jurisdiction of organization, incorporation or formation and Credit Party and each of its Subsidiaries is qualified and licensed to do business and is in good standing (to the extent such concept is applicable) in any jurisdiction in which the conduct of its businesses or its ownership of property requires that it be qualified except where the failure to do so could not reasonably be expected to have a Material Adverse Change. In connection with this Agreement, Credit Party and each of its Subsidiaries has delivered to Collateral Agent a completed perfection certificate signed by an officer of Credit Party or such Subsidiary (each a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Credit Party represents and warrants that (a) Credit Party and each of its Subsidiaries’ exact legal name is that which is indicated on its respective Perfection Certificate and on the signature page of each Loan Document to which it is a party; (b) Credit Party and each of its Subsidiaries is an organization of the type and is organized or incorporated in the jurisdiction set forth on its respective Perfection Certificate; (c) each Perfection Certificate accurately sets forth each of Credit Party’s and its Subsidiaries’ organizational or incorporation identification number or accurately states that Credit Party or such Subsidiary has none; (d) each Perfection Certificate accurately sets forth Credit Party’s and each of its Subsidiaries’ place of business, or, if more than one, its chief executive office as well as Credit Party’s and each of its Subsidiaries’ registered office (where applicable) and mailing address (if different than its chief executive office); (e) except as disclosed in any Perfection Certificate delivered on the Effective Date, Credit Party and each of its Subsidiaries (and each of its respective predecessors) have not, in the past five (5) years, changed its jurisdiction of organization or incorporation, organizational type, or any organizational or incorporation number assigned by its jurisdiction; and (f) all other information set forth on the Perfection Certificates pertaining to Credit Party and each of its Subsidiaries, is accurate and complete (it being understood and agreed that Credit Party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Credit Party or any of its Subsidiaries is not now a Registered Organization but later becomes one, Credit Party shall notify Collateral Agent of such occurrence and provide Collateral Agent with such Person’s organizational or incorporation identification number within five (5) Business Days of receiving such organizational or incorporation identification number.</w:t>
      </w:r>
    </w:p>
    <w:p>
      <w:pPr>
        <w:spacing w:after="0" w:line="20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The execution, delivery and performance by Credit Party of the Loan Documents to which it is a party have been duly authorized by such Credit Party, and do not (i) conflict with any of Credit Party or such Subsidiaries’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Credit Party or such Subsidiary, or any of their property or assets may be bound,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Credit Party or any of such Subsidiaries, or their respective properties, is bound. Neither Credit Party nor any of its Subsidiaries is in default under any agreement to which it is a party or by which it or any of its assets is bound in which such default could reasonably be expected to have a Material Adverse Change.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Collateral.</w:t>
      </w:r>
    </w:p>
    <w:p>
      <w:pPr>
        <w:spacing w:after="0" w:line="229" w:lineRule="exact"/>
        <w:rPr>
          <w:sz w:val="20"/>
          <w:szCs w:val="20"/>
          <w:color w:val="auto"/>
        </w:rPr>
      </w:pPr>
    </w:p>
    <w:p>
      <w:pPr>
        <w:jc w:val="both"/>
        <w:ind w:firstLine="1505"/>
        <w:spacing w:after="0" w:line="244" w:lineRule="auto"/>
        <w:tabs>
          <w:tab w:leader="none" w:pos="29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has good title to, have rights in, and the power to transfer each item of the Collateral upon which it purports to grant a Lien under the Loan Documents, free and clear of any and all Liens except Permitted Liens, and neither Credit Party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Credit Party has given Collateral Agent notice and taken such actions as are necessary to give Collateral Agent a perfected security interest therein, in each case, to the extent required by Section 6.6. The Accounts are bona fide, existing obligations of the Account Debtors.</w:t>
      </w:r>
    </w:p>
    <w:p>
      <w:pPr>
        <w:spacing w:after="0" w:line="195" w:lineRule="exact"/>
        <w:rPr>
          <w:rFonts w:ascii="Times New Roman" w:cs="Times New Roman" w:eastAsia="Times New Roman" w:hAnsi="Times New Roman"/>
          <w:sz w:val="18"/>
          <w:szCs w:val="18"/>
          <w:color w:val="auto"/>
        </w:rPr>
      </w:pPr>
    </w:p>
    <w:p>
      <w:pPr>
        <w:jc w:val="both"/>
        <w:ind w:firstLine="1505"/>
        <w:spacing w:after="0" w:line="246" w:lineRule="auto"/>
        <w:tabs>
          <w:tab w:leader="none" w:pos="29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and except as disclosed on the Perfection Certificate (i) the Collateral (other than (1) inventory in transit, (2) laptops and mobile phones in the possession of employees in the ordinary course of business and (3) inventory maintained with clinical research providers in the ordinary course of business) is not in the possession of any third party bailee (such as a warehouse), and (ii) no such third party bailee possesses components of the Collateral in excess of Five Hundred Thousand Dollars ($500,000.00). None of the components of the Collateral shall be maintained at locations other than as disclosed in the Perfection Certificates on the Effective Date or as permitted pursuant to Section 6.11.</w:t>
      </w:r>
    </w:p>
    <w:p>
      <w:pPr>
        <w:spacing w:after="0" w:line="18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is in all material respects of good and marketable quality, free from material defects.</w:t>
      </w:r>
    </w:p>
    <w:p>
      <w:pPr>
        <w:spacing w:after="0" w:line="211" w:lineRule="exact"/>
        <w:rPr>
          <w:rFonts w:ascii="Times New Roman" w:cs="Times New Roman" w:eastAsia="Times New Roman" w:hAnsi="Times New Roman"/>
          <w:sz w:val="18"/>
          <w:szCs w:val="18"/>
          <w:color w:val="auto"/>
        </w:rPr>
      </w:pPr>
    </w:p>
    <w:p>
      <w:pPr>
        <w:jc w:val="both"/>
        <w:ind w:firstLine="1505"/>
        <w:spacing w:after="0" w:line="214" w:lineRule="exact"/>
        <w:tabs>
          <w:tab w:leader="none" w:pos="29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and each of its Subsidiaries is the sole owner of the Intellectual Property each respectively purports to own, free and clear of all Liens other than Permitted Liens. Except as noted on the Perfection Certificates, neither Credit Party nor any of its Subsidiaries is a party to, nor is bound by, any material license or other material agreement with respect to which Credit Party or such Subsidiary is the licensee that (i) prohibits or otherwise restricts Credit Party or its Subsidiaries from granting a security interest in Credit Party’s or such Subsidiaries’ interest in such material license or material agreement or any other property, or (ii) for which a default under or termination of could interfere with Collateral Agent’s or any Lender’s right to sell any Collateral. Credit Party shall provide written notice to Collateral Agent and each Lender within ten (10) days of Credit Party or any of its Subsidiaries entering into or becoming bound by any material license or agreement with respect to which Credit Party or any Subsidiary is the licensee (other than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software that is commercially available to the public).</w:t>
      </w:r>
    </w:p>
    <w:p>
      <w:pPr>
        <w:spacing w:after="0" w:line="16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5.3 Litigation. </w:t>
      </w:r>
      <w:r>
        <w:rPr>
          <w:rFonts w:ascii="Times New Roman" w:cs="Times New Roman" w:eastAsia="Times New Roman" w:hAnsi="Times New Roman"/>
          <w:sz w:val="18"/>
          <w:szCs w:val="18"/>
          <w:color w:val="auto"/>
        </w:rPr>
        <w:t>Except as disclosed (i) on the Perfection Certificates, or (ii) in accordance with Section 6.9 hereof, there are no actions, 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the Responsible Officers, threatened in writing by or against Credit Party or any of its Subsidiaries involving more than Five Hundred Thousand Dollars ($500,000.00).</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5.4 No Material Deterioration in Financial Condition; Financial Statements. </w:t>
      </w:r>
      <w:r>
        <w:rPr>
          <w:rFonts w:ascii="Times New Roman" w:cs="Times New Roman" w:eastAsia="Times New Roman" w:hAnsi="Times New Roman"/>
          <w:sz w:val="18"/>
          <w:szCs w:val="18"/>
          <w:color w:val="auto"/>
        </w:rPr>
        <w:t>All consolidated financial statements for Credit Party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Subsidiaries, delivered to Collateral Agent fairly present in all material respects, in conformity with GAAP, the consolidated financial condition of Credit Party and its Subsidiaries as of the respective dates thereof, and the consolidated results of operations of Credit Party and its Subsidiaries for the periods covered thereby. There has not been any material deterioration in the consolidated financial condition of Credit Party and its Subsidiaries since the date of the most recent financial statements submitted to any Lender.</w:t>
      </w:r>
    </w:p>
    <w:p>
      <w:pPr>
        <w:spacing w:after="0" w:line="177"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5.5</w:t>
        <w:tab/>
        <w:t xml:space="preserve">Solvency. </w:t>
      </w:r>
      <w:r>
        <w:rPr>
          <w:rFonts w:ascii="Times New Roman" w:cs="Times New Roman" w:eastAsia="Times New Roman" w:hAnsi="Times New Roman"/>
          <w:sz w:val="18"/>
          <w:szCs w:val="18"/>
          <w:color w:val="auto"/>
        </w:rPr>
        <w:t>Credit Party is Solvent, and Credit Party and its Subsidiaries, taken as a whole, are solvent.</w:t>
      </w:r>
    </w:p>
    <w:p>
      <w:pPr>
        <w:spacing w:after="0" w:line="22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5.6 Regulatory Compliance. </w:t>
      </w:r>
      <w:r>
        <w:rPr>
          <w:rFonts w:ascii="Times New Roman" w:cs="Times New Roman" w:eastAsia="Times New Roman" w:hAnsi="Times New Roman"/>
          <w:sz w:val="18"/>
          <w:szCs w:val="18"/>
          <w:color w:val="auto"/>
        </w:rPr>
        <w:t>Neither Credit Party nor any of its Subsidiaries is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Neither Credit Party nor any of its Subsidiaries is engaged as one of its important activities in extending credit for margin stock (under Regulations X, T and U of the Federal Reserve Board of Governors). Credit Party and each of its Subsidiaries has complied in all material respects with the Federal Fair Labor Standards Act. Neither Credit Party nor any of its Subsidiaries is a “holding company” or an “affiliate” of a “holding company” or a “subsidiary company” of a “holding company” as each term is defined and used in the Public Utility Holding Company Act of 2005. Neither Credit Party nor any of its Subsidiaries has violated any laws, ordinances or rules, the violation of which could reasonably be expected to have a Material Adverse Change. Neither Credit Party’s nor any of its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properties or assets has been used by Credit Party or such Subsidiary or, to Credit Party’s knowledge, by previous Persons, in disposing, producing, storing,</w:t>
      </w:r>
    </w:p>
    <w:p>
      <w:pPr>
        <w:sectPr>
          <w:pgSz w:w="11900" w:h="16838" w:orient="portrait"/>
          <w:cols w:equalWidth="0" w:num="1">
            <w:col w:w="11240"/>
          </w:cols>
          <w:pgMar w:left="320" w:top="324"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treating, or transporting any hazardous substance other than in material compliance with applicable laws. obtained all material consents, approvals and authorizations of, made all material declarations or filings Governmental Authorities that are necessary to continue their respective businesses as currently conducted.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8"/>
          <w:szCs w:val="18"/>
          <w:color w:val="auto"/>
        </w:rPr>
        <w:t>Credit Party and each of its Subsidiaries has with, and given all material notices to, all</w:t>
      </w:r>
    </w:p>
    <w:p>
      <w:pPr>
        <w:spacing w:after="0" w:line="396" w:lineRule="exact"/>
        <w:rPr>
          <w:sz w:val="20"/>
          <w:szCs w:val="20"/>
          <w:color w:val="auto"/>
        </w:rPr>
      </w:pPr>
    </w:p>
    <w:p>
      <w:pPr>
        <w:sectPr>
          <w:pgSz w:w="11900" w:h="16838" w:orient="portrait"/>
          <w:cols w:equalWidth="0" w:num="2">
            <w:col w:w="7920" w:space="20"/>
            <w:col w:w="3300"/>
          </w:cols>
          <w:pgMar w:left="320" w:top="324" w:right="339" w:bottom="1440" w:gutter="0" w:footer="0" w:header="0"/>
          <w:type w:val="continuous"/>
        </w:sectPr>
      </w:pPr>
    </w:p>
    <w:p>
      <w:pPr>
        <w:jc w:val="both"/>
        <w:ind w:firstLine="749"/>
        <w:spacing w:after="0" w:line="213" w:lineRule="exact"/>
        <w:rPr>
          <w:sz w:val="20"/>
          <w:szCs w:val="20"/>
          <w:color w:val="auto"/>
        </w:rPr>
      </w:pPr>
      <w:r>
        <w:rPr>
          <w:rFonts w:ascii="Times New Roman" w:cs="Times New Roman" w:eastAsia="Times New Roman" w:hAnsi="Times New Roman"/>
          <w:sz w:val="18"/>
          <w:szCs w:val="18"/>
          <w:color w:val="auto"/>
        </w:rPr>
        <w:t>None of Credit Party, any of its Subsidiaries, or any of Credit Party’s or its Subsidiaries’ controlled Affiliates or any of their respective agents acting or benefiting in any capacity in connection with the transactions contemplated by this Agreement, is (i) in violation of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Terrorism Law, (ii) engaging in or conspiring to engage in any transaction that evades or avoids, or has the purpose of evading or avoiding or attempts to violate, any of the prohibitions set forth in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or (iii) is a Blocked Person. None of Credit Party or any of its Subsidiaries, or to the knowledge of Credit Party and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w:t>
      </w:r>
    </w:p>
    <w:p>
      <w:pPr>
        <w:spacing w:after="0" w:line="16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5.7 Investments. </w:t>
      </w:r>
      <w:r>
        <w:rPr>
          <w:rFonts w:ascii="Times New Roman" w:cs="Times New Roman" w:eastAsia="Times New Roman" w:hAnsi="Times New Roman"/>
          <w:sz w:val="18"/>
          <w:szCs w:val="18"/>
          <w:color w:val="auto"/>
        </w:rPr>
        <w:t>Neither Credit Party nor any of its Subsidiaries owns any stock, shares, partnership interests or other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Permitted Investments.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5.8 Tax Returns and Payments; Pension Contributions. </w:t>
      </w:r>
      <w:r>
        <w:rPr>
          <w:rFonts w:ascii="Times New Roman" w:cs="Times New Roman" w:eastAsia="Times New Roman" w:hAnsi="Times New Roman"/>
          <w:sz w:val="18"/>
          <w:szCs w:val="18"/>
          <w:color w:val="auto"/>
        </w:rPr>
        <w:t>Credit Party and each of its Subsidiaries has timely filed (or timely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to file) all required tax returns and reports, and Credit Party and each of its Subsidiaries, has timely paid all foreign, federal, material state, and material local taxes, assessments, deposits and contributions owed by Credit Party and such Subsidiaries, in all jurisdictions in which Credit Party or any such Subsidiary is subject to taxes, including the United States, unless (a) such taxes, assessments, deposits or contributions are being contested in accordance with the following sentence or (b) in the case of material state and material local taxes, assessments, deposits and contributions owed do not, individually or in the aggregate, exceed One Hundred Thousand Dollars ($100,000.00). Credit Party and each of its Subsidiaries, may defer payment of any contested taxes, assessments, deposits or contributions, provided that Credit Party or such Subsidiary, (a) in good faith contests its obligation to pay the taxes, assessments, deposits or contributions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assessments, deposits or contributions from obtaining a Lien upon any of the Collateral that is other than a “</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Neither Credit Party nor any of its Subsidiaries is aware of any claims or adjustments proposed for any of Credit Party’s or such Subsidiaries’ prior tax years which could result in additional taxes, assessments, deposits or contributions in excess of One Hundred Thousand Dollars ($100,000.00) becoming due and payable by Credit Party or its Subsidiaries. Credit Party and each of its Subsidiaries have paid all amounts necessary to fund all present pension, profit sharing and deferred compensation plans in accordance with their terms, and neither Credit Party nor any of its Subsidiaries have, withdrawn from participation in, and have not permitted partial or complete termination of, or permitted the occurrence of any other event with respect to, any such plan which could reasonably be expected to result in any liability of Credit Party or its Subsidiaries, including any liability to the Pension Benefit Guaranty Corporation or its successors or any other Governmental Authority, in excess of One Hundred Thousand Dollars ($100,000.00).</w:t>
      </w:r>
    </w:p>
    <w:p>
      <w:pPr>
        <w:spacing w:after="0" w:line="19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5.9 Use of Proceeds. </w:t>
      </w:r>
      <w:r>
        <w:rPr>
          <w:rFonts w:ascii="Times New Roman" w:cs="Times New Roman" w:eastAsia="Times New Roman" w:hAnsi="Times New Roman"/>
          <w:sz w:val="18"/>
          <w:szCs w:val="18"/>
          <w:color w:val="auto"/>
        </w:rPr>
        <w:t>Credit Party shall use the proceeds of the Credit Extensions solely as working capital and to fund its general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 accordance with the provisions of this Agreement, and not for personal, family, household or agricultural purposes.</w:t>
      </w:r>
    </w:p>
    <w:p>
      <w:pPr>
        <w:spacing w:after="0" w:line="167" w:lineRule="exact"/>
        <w:rPr>
          <w:sz w:val="20"/>
          <w:szCs w:val="20"/>
          <w:color w:val="auto"/>
        </w:rPr>
      </w:pPr>
    </w:p>
    <w:p>
      <w:pPr>
        <w:jc w:val="both"/>
        <w:ind w:firstLine="749"/>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Credit Party has full power and authority to create a first lien on the Shares and no disability or contractual obligation exists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prohibit Credit Party from pledging or charging the Shares pursuant to this Agreement, the Cayman Loan Documents and the Irish Loan Documents, as applicable. To Credit Party’s knowledge, there are no subscriptions, warrants, rights of first refusal or other restrictions on transfer relative to, or options exercisable with respect to the Shares. The Shares have been and will be duly authorized and validly issued, and (to the extent applicable)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To Credit Party’s knowledge, the Shares are not the subject of any present or threatened suit, action, arbitration, administrative or other proceeding, and Credit Party knows of no reasonable grounds for the institution of any such proceedings.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5" w:name="page16"/>
    <w:bookmarkEnd w:id="15"/>
    <w:p>
      <w:pPr>
        <w:jc w:val="both"/>
        <w:ind w:firstLine="74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5.11 Full Disclosure. </w:t>
      </w:r>
      <w:r>
        <w:rPr>
          <w:rFonts w:ascii="Times New Roman" w:cs="Times New Roman" w:eastAsia="Times New Roman" w:hAnsi="Times New Roman"/>
          <w:sz w:val="18"/>
          <w:szCs w:val="18"/>
          <w:color w:val="auto"/>
        </w:rPr>
        <w:t>No written representation, warranty or other statement of Credit Party or any of its Subsidiaries in any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Credit Party in good faith and based upon reasonable assumptions are not viewed as facts and that actual results during the period or periods covered by such projections and forecasts may differ from the projected or forecasted results).</w:t>
      </w:r>
    </w:p>
    <w:p>
      <w:pPr>
        <w:spacing w:after="0" w:line="17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5.12 “Know Your Customer” Information</w:t>
      </w:r>
      <w:r>
        <w:rPr>
          <w:rFonts w:ascii="Times New Roman" w:cs="Times New Roman" w:eastAsia="Times New Roman" w:hAnsi="Times New Roman"/>
          <w:sz w:val="18"/>
          <w:szCs w:val="18"/>
          <w:color w:val="auto"/>
        </w:rPr>
        <w:t>. All materials and information provided to Collateral Agent and Lenders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“know your customer” and Anti-Terrorism Legislation are true and correct.</w:t>
      </w:r>
    </w:p>
    <w:p>
      <w:pPr>
        <w:spacing w:after="0" w:line="14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5.13 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For purposes of the Loan Documents, whenever a representation or warranty is made to Credit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or awareness, to the “best of” Credit Party’s knowledge, or with a similar qualification, knowledge or awareness means the actual knowledge, after reasonable investigation, of the Responsible Officers.</w:t>
      </w:r>
    </w:p>
    <w:p>
      <w:pPr>
        <w:spacing w:after="0" w:line="185" w:lineRule="exact"/>
        <w:rPr>
          <w:sz w:val="20"/>
          <w:szCs w:val="20"/>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1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Party shall, and shall cause each of its Subsidiaries to, do all of the following:</w:t>
      </w:r>
    </w:p>
    <w:p>
      <w:pPr>
        <w:spacing w:after="0" w:line="207"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   Government Compliance.</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0" w:lineRule="auto"/>
        <w:tabs>
          <w:tab w:leader="none" w:pos="29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7.3, maintain its and all its Subsidiaries’ legal existence and good standing in their respective jurisdictions of organization or incorporation and maintain qualification in each jurisdiction in which the failure to so qualify could reasonably be expected to have a Material Adverse Change. Comply with all laws, ordinances and regulations to which Credit Party or any of its Subsidiaries is subject, the noncompliance with which could reasonably be expected to have a Material Adverse Change.</w:t>
      </w:r>
    </w:p>
    <w:p>
      <w:pPr>
        <w:spacing w:after="0" w:line="177" w:lineRule="exact"/>
        <w:rPr>
          <w:rFonts w:ascii="Times New Roman" w:cs="Times New Roman" w:eastAsia="Times New Roman" w:hAnsi="Times New Roman"/>
          <w:sz w:val="18"/>
          <w:szCs w:val="18"/>
          <w:color w:val="auto"/>
        </w:rPr>
      </w:pPr>
    </w:p>
    <w:p>
      <w:pPr>
        <w:jc w:val="both"/>
        <w:ind w:firstLine="1505"/>
        <w:spacing w:after="0" w:line="246" w:lineRule="auto"/>
        <w:tabs>
          <w:tab w:leader="none" w:pos="29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keep in full force and effect, all of the material Governmental Approvals necessary for the performance by Credit Party and its Subsidiaries of their respective businesses and obligations under the Loan Documents and the grant of a security interest to Collateral Agent for the ratable benefit of the Lenders, in all of the Collateral. Credit Party shall promptly notify Collateral Agent of any material Governmental Approvals obtained by Credit Party or any of its Subsidiaries and, upon Collateral Agent’s request, provide copies of such Governmental Approvals to Collateral Agent.</w:t>
      </w:r>
    </w:p>
    <w:p>
      <w:pPr>
        <w:spacing w:after="0" w:line="191"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Financial Statements, Reports, Certificates.</w:t>
      </w:r>
    </w:p>
    <w:p>
      <w:pPr>
        <w:spacing w:after="0" w:line="216" w:lineRule="exact"/>
        <w:rPr>
          <w:sz w:val="20"/>
          <w:szCs w:val="20"/>
          <w:color w:val="auto"/>
        </w:rPr>
      </w:pPr>
    </w:p>
    <w:p>
      <w:pPr>
        <w:ind w:left="3000" w:hanging="1495"/>
        <w:spacing w:after="0"/>
        <w:tabs>
          <w:tab w:leader="none" w:pos="3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Lender:</w:t>
      </w:r>
    </w:p>
    <w:p>
      <w:pPr>
        <w:spacing w:after="0" w:line="212"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18"/>
          <w:szCs w:val="18"/>
          <w:color w:val="auto"/>
        </w:rPr>
        <w:t>(i) as soon as available, but no later than forty-five (45) days after the last day of the first three fiscal quarters of each fiscal year of Parent, a company prepared consolidated (and, if prepared, consolidating) balance sheet, income statement and cash flow statement covering the consolidated operations of Parent and its Subsidiaries for such quarter certified by a Responsible Officer and in a form reasonably acceptable to Collateral Agent;</w:t>
      </w:r>
    </w:p>
    <w:p>
      <w:pPr>
        <w:spacing w:after="0" w:line="177"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18"/>
          <w:szCs w:val="18"/>
          <w:color w:val="auto"/>
        </w:rPr>
        <w:t>(ii) as soon as available, but no later than ninety (90) days after the last day of Parent’s fiscal year or within five (5) days of filing with the Securities and Exchange Commission, audited consolidated financial statements of Parent and its Subsidiaries prepared under GAAP, consistently applied, together with an unqualified opinion on the financial statements from KPMG LLP or another independent certified public accounting firm of similar stature or otherwise acceptable to Collateral Agent in its reasonable discretion</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18"/>
          <w:szCs w:val="18"/>
          <w:color w:val="auto"/>
        </w:rPr>
        <w:t>(iii) as soon as available after approval thereof by Parent’s Board of Directors, but no later than thirty (30) days after the last day of each of Parent’s fiscal years, Parent’s annual financial projections for the entire current fiscal year as approved by Parent’s Board of Directors, which such annual financial projections shall be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jc w:val="both"/>
        <w:spacing w:after="0" w:line="227" w:lineRule="exact"/>
        <w:rPr>
          <w:sz w:val="20"/>
          <w:szCs w:val="20"/>
          <w:color w:val="auto"/>
        </w:rPr>
      </w:pPr>
      <w:r>
        <w:rPr>
          <w:rFonts w:ascii="Times New Roman" w:cs="Times New Roman" w:eastAsia="Times New Roman" w:hAnsi="Times New Roman"/>
          <w:sz w:val="18"/>
          <w:szCs w:val="18"/>
          <w:color w:val="auto"/>
        </w:rPr>
        <w:t>set forth in a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format (such annual financial projections as originally delivered to Collateral Agent and the Lenders are referred to herein as the “</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provided that, any revisions of the Annual Projections approved by Parent’s Board of Directors shall be delivered to Collateral Agent and the Lenders no later than seven (7) days after such approval);</w:t>
      </w:r>
    </w:p>
    <w:p>
      <w:pPr>
        <w:sectPr>
          <w:pgSz w:w="11900" w:h="16838" w:orient="portrait"/>
          <w:cols w:equalWidth="0" w:num="1">
            <w:col w:w="11240"/>
          </w:cols>
          <w:pgMar w:left="320" w:top="295" w:right="339" w:bottom="1440" w:gutter="0" w:footer="0" w:header="0"/>
        </w:sectPr>
      </w:pPr>
    </w:p>
    <w:p>
      <w:pPr>
        <w:spacing w:after="0" w:line="1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five (5) days of delivery, copies of all statements, reports and notices made generally</w:t>
      </w:r>
    </w:p>
    <w:p>
      <w:pPr>
        <w:spacing w:after="0" w:line="27" w:lineRule="exact"/>
        <w:rPr>
          <w:sz w:val="20"/>
          <w:szCs w:val="20"/>
          <w:color w:val="auto"/>
        </w:rPr>
      </w:pPr>
    </w:p>
    <w:p>
      <w:pPr>
        <w:sectPr>
          <w:pgSz w:w="11900" w:h="16838" w:orient="portrait"/>
          <w:cols w:equalWidth="0" w:num="2">
            <w:col w:w="3780" w:space="720"/>
            <w:col w:w="6740"/>
          </w:cols>
          <w:pgMar w:left="320" w:top="2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available to Parent’s security holders or holders of Subordinated Debt;</w:t>
      </w:r>
    </w:p>
    <w:p>
      <w:pPr>
        <w:sectPr>
          <w:pgSz w:w="11900" w:h="16838" w:orient="portrait"/>
          <w:cols w:equalWidth="0" w:num="1">
            <w:col w:w="11240"/>
          </w:cols>
          <w:pgMar w:left="320" w:top="295" w:right="339" w:bottom="1440" w:gutter="0" w:footer="0" w:header="0"/>
          <w:type w:val="continuous"/>
        </w:sectPr>
      </w:pP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within five (5) days of filing, all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w:t>
      </w:r>
    </w:p>
    <w:p>
      <w:pPr>
        <w:spacing w:after="0" w:line="451" w:lineRule="exact"/>
        <w:rPr>
          <w:sz w:val="20"/>
          <w:szCs w:val="20"/>
          <w:color w:val="auto"/>
        </w:rPr>
      </w:pPr>
    </w:p>
    <w:p>
      <w:pPr>
        <w:sectPr>
          <w:pgSz w:w="11900" w:h="16838" w:orient="portrait"/>
          <w:cols w:equalWidth="0" w:num="2">
            <w:col w:w="3780" w:space="720"/>
            <w:col w:w="6740"/>
          </w:cols>
          <w:pgMar w:left="320" w:top="295" w:right="339" w:bottom="1440" w:gutter="0" w:footer="0" w:header="0"/>
          <w:type w:val="continuous"/>
        </w:sectPr>
      </w:pPr>
    </w:p>
    <w:p>
      <w:pPr>
        <w:spacing w:after="0" w:line="5"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prompt notice (y) in the event that Parent is no longer subject to the reporting requirements</w:t>
      </w:r>
    </w:p>
    <w:p>
      <w:pPr>
        <w:sectPr>
          <w:pgSz w:w="11900" w:h="16838" w:orient="portrait"/>
          <w:cols w:equalWidth="0" w:num="1">
            <w:col w:w="11240"/>
          </w:cols>
          <w:pgMar w:left="320" w:top="295" w:right="339" w:bottom="1440" w:gutter="0" w:footer="0" w:header="0"/>
          <w:type w:val="continuous"/>
        </w:sectPr>
      </w:pP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under the Securities Exchange Act of 1934, as amended, any material change to the capitalization table of Parent, and (z) to the Operating Documents of Parent or any of its Subsidiaries, together with any copies reflecting such amendments or changes with respect thereto;</w:t>
      </w:r>
    </w:p>
    <w:p>
      <w:pPr>
        <w:sectPr>
          <w:pgSz w:w="11900" w:h="16838" w:orient="portrait"/>
          <w:cols w:equalWidth="0" w:num="1">
            <w:col w:w="11240"/>
          </w:cols>
          <w:pgMar w:left="320" w:top="295" w:right="339" w:bottom="1440" w:gutter="0" w:footer="0" w:header="0"/>
          <w:type w:val="continuous"/>
        </w:sectPr>
      </w:pPr>
    </w:p>
    <w:p>
      <w:pPr>
        <w:spacing w:after="0" w:line="18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 notice of any event that could reasonably be expected to materially and adversely</w:t>
      </w:r>
    </w:p>
    <w:p>
      <w:pPr>
        <w:spacing w:after="0" w:line="27" w:lineRule="exact"/>
        <w:rPr>
          <w:sz w:val="20"/>
          <w:szCs w:val="20"/>
          <w:color w:val="auto"/>
        </w:rPr>
      </w:pPr>
    </w:p>
    <w:p>
      <w:pPr>
        <w:sectPr>
          <w:pgSz w:w="11900" w:h="16838" w:orient="portrait"/>
          <w:cols w:equalWidth="0" w:num="2">
            <w:col w:w="3780" w:space="720"/>
            <w:col w:w="6740"/>
          </w:cols>
          <w:pgMar w:left="320" w:top="2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affect the value of the Intellectual Property;</w:t>
      </w:r>
    </w:p>
    <w:p>
      <w:pPr>
        <w:sectPr>
          <w:pgSz w:w="11900" w:h="16838" w:orient="portrait"/>
          <w:cols w:equalWidth="0" w:num="1">
            <w:col w:w="11240"/>
          </w:cols>
          <w:pgMar w:left="320" w:top="295" w:right="339" w:bottom="1440" w:gutter="0" w:footer="0" w:header="0"/>
          <w:type w:val="continuous"/>
        </w:sectPr>
      </w:pPr>
    </w:p>
    <w:p>
      <w:pPr>
        <w:spacing w:after="0" w:line="19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soon as available, but no later than thirty (30) days after the last day of each month, copies</w:t>
      </w:r>
    </w:p>
    <w:p>
      <w:pPr>
        <w:spacing w:after="0" w:line="27" w:lineRule="exact"/>
        <w:rPr>
          <w:sz w:val="20"/>
          <w:szCs w:val="20"/>
          <w:color w:val="auto"/>
        </w:rPr>
      </w:pPr>
    </w:p>
    <w:p>
      <w:pPr>
        <w:sectPr>
          <w:pgSz w:w="11900" w:h="16838" w:orient="portrait"/>
          <w:cols w:equalWidth="0" w:num="2">
            <w:col w:w="3780" w:space="720"/>
            <w:col w:w="6740"/>
          </w:cols>
          <w:pgMar w:left="320" w:top="295" w:right="339" w:bottom="1440" w:gutter="0" w:footer="0" w:header="0"/>
          <w:type w:val="continuous"/>
        </w:sectPr>
      </w:pPr>
    </w:p>
    <w:p>
      <w:pPr>
        <w:jc w:val="both"/>
        <w:spacing w:after="0" w:line="207" w:lineRule="exact"/>
        <w:rPr>
          <w:sz w:val="20"/>
          <w:szCs w:val="20"/>
          <w:color w:val="auto"/>
        </w:rPr>
      </w:pPr>
      <w:r>
        <w:rPr>
          <w:rFonts w:ascii="Times New Roman" w:cs="Times New Roman" w:eastAsia="Times New Roman" w:hAnsi="Times New Roman"/>
          <w:sz w:val="18"/>
          <w:szCs w:val="18"/>
          <w:color w:val="auto"/>
        </w:rPr>
        <w:t>of the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account statements for each Collateral Account maintained by Credit Party or its Subsidiaries, which statements may be provided to Collateral Agent and each Lender by Parent or directly from the applicable institution(s), together with a summary of cash and Cash Equivalents of such Credit Party or Subsidiary; and</w:t>
      </w:r>
    </w:p>
    <w:p>
      <w:pPr>
        <w:spacing w:after="0" w:line="184"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(ix)</w:t>
      </w:r>
      <w:r>
        <w:rPr>
          <w:sz w:val="20"/>
          <w:szCs w:val="20"/>
          <w:color w:val="auto"/>
        </w:rPr>
        <w:tab/>
      </w:r>
      <w:r>
        <w:rPr>
          <w:rFonts w:ascii="Times New Roman" w:cs="Times New Roman" w:eastAsia="Times New Roman" w:hAnsi="Times New Roman"/>
          <w:sz w:val="18"/>
          <w:szCs w:val="18"/>
          <w:color w:val="auto"/>
        </w:rPr>
        <w:t>other information as reasonably requested by Collateral Agent or any Lender.</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Parent posts such documents, or provides a link thereto, on Parent’s website on the internet at Parent’s website address.</w:t>
      </w:r>
    </w:p>
    <w:p>
      <w:pPr>
        <w:spacing w:after="0" w:line="190" w:lineRule="exact"/>
        <w:rPr>
          <w:sz w:val="20"/>
          <w:szCs w:val="20"/>
          <w:color w:val="auto"/>
        </w:rPr>
      </w:pPr>
    </w:p>
    <w:p>
      <w:pPr>
        <w:ind w:firstLine="1505"/>
        <w:spacing w:after="0" w:line="266" w:lineRule="auto"/>
        <w:tabs>
          <w:tab w:leader="none" w:pos="29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specified in Section 6.2(a)(i) and (ii) above, deliver to each Lender, a duly completed Compliance Certificate signed by a Responsible Officer.</w:t>
      </w:r>
    </w:p>
    <w:p>
      <w:pPr>
        <w:spacing w:after="0" w:line="162" w:lineRule="exact"/>
        <w:rPr>
          <w:rFonts w:ascii="Times New Roman" w:cs="Times New Roman" w:eastAsia="Times New Roman" w:hAnsi="Times New Roman"/>
          <w:sz w:val="18"/>
          <w:szCs w:val="18"/>
          <w:color w:val="auto"/>
        </w:rPr>
      </w:pPr>
    </w:p>
    <w:p>
      <w:pPr>
        <w:jc w:val="both"/>
        <w:ind w:firstLine="1505"/>
        <w:spacing w:after="0" w:line="245" w:lineRule="auto"/>
        <w:tabs>
          <w:tab w:leader="none" w:pos="29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books of record and account sufficient to prepare financial statements in accordance with GAAP in all material respects, in which full, true and correct entries shall be made of all dealings and transactions in relation to its business and activities. Credit Party shall, and shall cause each of its Subsidiaries to, allow, at the sole cost of Credit Party,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spacing w:after="0" w:line="181"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Collateral Agent and Alexandria Real Estate, as soon as available, but no later than (i) thirty (30) days after the end of each fiscal quarter and (ii) thirty (30) days after the last day of the month in which Borrower has delivered in excess of Two Hundred Fifty Thousand Dollars ($250,000.00) worth of new Collateral to the property located at [***], an updated, fully-comprehensive Exhibit A to the landlord lien waiver among Alexandria Real Estate, ALX Oncology Inc. and Collateral Agent.</w:t>
      </w:r>
    </w:p>
    <w:p>
      <w:pPr>
        <w:spacing w:after="0" w:line="18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6.3 Inventory; Returns. </w:t>
      </w:r>
      <w:r>
        <w:rPr>
          <w:rFonts w:ascii="Times New Roman" w:cs="Times New Roman" w:eastAsia="Times New Roman" w:hAnsi="Times New Roman"/>
          <w:sz w:val="18"/>
          <w:szCs w:val="18"/>
          <w:color w:val="auto"/>
        </w:rPr>
        <w:t>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or any of its Subsidiaries, and their respective Account Debtors shall follow Credit Party’s, or such Subsidiary’s, customary practices. Credit Party must promptly notify Collateral Agent and the Lenders of all returns, recoveries, disputes and claims that involve more than Five Hundred Thousand Dollars ($500,000.00) individually or in the aggregate in any calendar year.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17" w:name="page18"/>
    <w:bookmarkEnd w:id="17"/>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6.4 Taxes; Pensions. </w:t>
      </w:r>
      <w:r>
        <w:rPr>
          <w:rFonts w:ascii="Times New Roman" w:cs="Times New Roman" w:eastAsia="Times New Roman" w:hAnsi="Times New Roman"/>
          <w:sz w:val="18"/>
          <w:szCs w:val="18"/>
          <w:color w:val="auto"/>
        </w:rPr>
        <w:t>Timely file and require each of its Subsidiaries to timely file, all required tax returns and reports and timely pay,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each of its Subsidiaries to timely pay, all foreign, federal, material state, and material local taxes, assessments, deposits and contributions owed by Credit Party or its Subsidiaries, except for deferred payment of any taxes, assessments, deposits and contributions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 provided that, as used herein, “material state, and material local taxes, assessments, deposits and contributions” mean those, individually or in the aggregate, equal to or that exceed One Hundred Thousand Dollars ($100,000.00).</w:t>
      </w:r>
    </w:p>
    <w:p>
      <w:pPr>
        <w:spacing w:after="0" w:line="18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b w:val="1"/>
          <w:bCs w:val="1"/>
          <w:color w:val="auto"/>
        </w:rPr>
        <w:t xml:space="preserve">6.5 Insurance. </w:t>
      </w:r>
      <w:r>
        <w:rPr>
          <w:rFonts w:ascii="Times New Roman" w:cs="Times New Roman" w:eastAsia="Times New Roman" w:hAnsi="Times New Roman"/>
          <w:sz w:val="18"/>
          <w:szCs w:val="18"/>
          <w:color w:val="auto"/>
        </w:rPr>
        <w:t>Keep Credit Party’s and its Subsidiaries’ business and the Collateral insured for risks and in amounts standard for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Credit Party’s and its Subsidiaries’ industry and location and as Collateral Agent may reasonably request, it being acknowledged that Borrower’s insurance in effect as of the Effective Date is acceptable to Collateral Agent.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Credit Party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Credit Party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(provided that the Collateral may be subject to Permitted Liens), and (b) after the occurrence and during the continuance of an Event of Default, all proceeds payable under such casualty policy shall, at the option of Collateral Agent, be payable to Collateral Agent, for the ratable benefit of the Lenders, on account of the Obligations. If Credit Party or any of its Subsidiaries fails to obtain insurance as required under this Section 6.5 or to pay any amount or furnish any required proof of payment to third persons, Collateral Agent and/or any Lender may make, at Credit Party’s expense, all or part of such payment or obtain such insurance policies required in this Section 6.5, and take any action under the policies Collateral Agent or such Lender deems prudent.</w:t>
      </w:r>
    </w:p>
    <w:p>
      <w:pPr>
        <w:spacing w:after="0" w:line="207"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Operating Accounts.</w:t>
      </w:r>
    </w:p>
    <w:p>
      <w:pPr>
        <w:spacing w:after="0" w:line="216" w:lineRule="exact"/>
        <w:rPr>
          <w:sz w:val="20"/>
          <w:szCs w:val="20"/>
          <w:color w:val="auto"/>
        </w:rPr>
      </w:pPr>
    </w:p>
    <w:p>
      <w:pPr>
        <w:jc w:val="both"/>
        <w:ind w:firstLine="1505"/>
        <w:spacing w:after="0" w:line="250" w:lineRule="auto"/>
        <w:tabs>
          <w:tab w:leader="none" w:pos="29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of Credit Party’s and its Subsidiaries’ Collateral Accounts with Bank or its Affiliates; provided, however, that all Collateral Accounts of Credit Party shall be maintained in accounts which are subject to a Control Agreement in favor of Collateral Agent. Credit Party shall also conduct all of its primary banking with Bank and Bank’s Affiliates, including, without limitation, cash management, letters of credit and business credit cards.</w:t>
      </w:r>
    </w:p>
    <w:p>
      <w:pPr>
        <w:spacing w:after="0" w:line="177" w:lineRule="exact"/>
        <w:rPr>
          <w:rFonts w:ascii="Times New Roman" w:cs="Times New Roman" w:eastAsia="Times New Roman" w:hAnsi="Times New Roman"/>
          <w:sz w:val="18"/>
          <w:szCs w:val="18"/>
          <w:color w:val="auto"/>
        </w:rPr>
      </w:pPr>
    </w:p>
    <w:p>
      <w:pPr>
        <w:jc w:val="both"/>
        <w:ind w:firstLine="1505"/>
        <w:spacing w:after="0" w:line="246" w:lineRule="auto"/>
        <w:tabs>
          <w:tab w:leader="none" w:pos="29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shall provide Collateral Agent five (5) days’ prior written notice before Credit Party or any of its Subsidiaries establishes any Collateral Account. In addition, for each Collateral Account that Credit Party, at any time maintains, Credit Party shall cause the applicable bank or financial institution at or with which such Collateral Account is maintained to execute and deliver a Control Agreement or other appropriate instrument under applicable law with respect to such Collateral Account to perfect Collateral Agent’s Lien in such Collateral Account in accordance with the terms hereunder and provide Collateral Agent with the ability to assert control with respect thereto prior to the establishment of such Collateral Account, which Control Agreement or other appropriate instrument under applicable law may not be terminated without prior written consent of Collateral Agent. The provisions of the previous sentence shall not apply to Collateral Accounts exclusively used for (i) payroll, payroll taxes and other employee wage and benefit payments to or for the benefit of Credit Party’s, or any of its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 w:name="page19"/>
    <w:bookmarkEnd w:id="18"/>
    <w:p>
      <w:pPr>
        <w:jc w:val="both"/>
        <w:spacing w:after="0" w:line="260" w:lineRule="auto"/>
        <w:rPr>
          <w:sz w:val="20"/>
          <w:szCs w:val="20"/>
          <w:color w:val="auto"/>
        </w:rPr>
      </w:pPr>
      <w:r>
        <w:rPr>
          <w:rFonts w:ascii="Times New Roman" w:cs="Times New Roman" w:eastAsia="Times New Roman" w:hAnsi="Times New Roman"/>
          <w:sz w:val="18"/>
          <w:szCs w:val="18"/>
          <w:color w:val="auto"/>
        </w:rPr>
        <w:t>employees and (ii) cash collateral accounts subject to Liens permitted by clause (o) of the definition of Permitted Liens (collectively, the “</w:t>
      </w:r>
      <w:r>
        <w:rPr>
          <w:rFonts w:ascii="Times New Roman" w:cs="Times New Roman" w:eastAsia="Times New Roman" w:hAnsi="Times New Roman"/>
          <w:sz w:val="18"/>
          <w:szCs w:val="18"/>
          <w:b w:val="1"/>
          <w:bCs w:val="1"/>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in each case with respect to clauses (i) and (ii), identified to Collateral Agent by Credit Party as such in the Perfection Certificates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pursuant to this Agreement.</w:t>
      </w:r>
    </w:p>
    <w:p>
      <w:pPr>
        <w:spacing w:after="0" w:line="168" w:lineRule="exact"/>
        <w:rPr>
          <w:sz w:val="20"/>
          <w:szCs w:val="20"/>
          <w:color w:val="auto"/>
        </w:rPr>
      </w:pPr>
    </w:p>
    <w:p>
      <w:pPr>
        <w:ind w:firstLine="1505"/>
        <w:spacing w:after="0" w:line="282" w:lineRule="auto"/>
        <w:tabs>
          <w:tab w:leader="none" w:pos="29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Credit Party nor any of its Subsidiaries shall maintain any Collateral Accounts except Collateral Accounts maintained in accordance with Sections 6.6(a) and (b).</w:t>
      </w:r>
    </w:p>
    <w:p>
      <w:pPr>
        <w:spacing w:after="0" w:line="14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6.7 Protection of Intellectual Property Rights. </w:t>
      </w:r>
      <w:r>
        <w:rPr>
          <w:rFonts w:ascii="Times New Roman" w:cs="Times New Roman" w:eastAsia="Times New Roman" w:hAnsi="Times New Roman"/>
          <w:sz w:val="18"/>
          <w:szCs w:val="18"/>
          <w:color w:val="auto"/>
        </w:rPr>
        <w:t>Credit Party and each of its Subsidiaries shall: (a) use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defend and maintain the validity and enforceability of its Intellectual Property that is material to Credit Party’s business; (b) promptly advise Collateral Agent in writing of material infringement by a third party of its Intellectual Property; and (c) not allow any Intellectual Property material to Credit Party’s business to be abandoned, forfeited or dedicated to the public without Collateral Agent’s prior written consent.</w:t>
      </w:r>
    </w:p>
    <w:p>
      <w:pPr>
        <w:spacing w:after="0" w:line="170"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Commencing on the Effective Date and continuing through the termination of this Agreement, make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Collateral Agent and the Lenders, without expense to Collateral Agent or the Lenders, Credit Party and each of Credit Party’s officers, employees and agents and Credit Party’s Books, to the extent that Collateral Agent or any Lender may reasonably deem them necessary to prosecute or defend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suit or proceeding instituted by or against Collateral Agent or any Lender with respect to any Collateral or relating to Credit Party.</w:t>
      </w:r>
    </w:p>
    <w:p>
      <w:pPr>
        <w:spacing w:after="0" w:line="16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6.9 Notices of Litigation and Default. </w:t>
      </w:r>
      <w:r>
        <w:rPr>
          <w:rFonts w:ascii="Times New Roman" w:cs="Times New Roman" w:eastAsia="Times New Roman" w:hAnsi="Times New Roman"/>
          <w:sz w:val="18"/>
          <w:szCs w:val="18"/>
          <w:color w:val="auto"/>
        </w:rPr>
        <w:t>Credit Party will give prompt written notice to Collateral Agent and the Lenders of any litigation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proceedings pending or threatened (in writing) against Credit Party or any of its Subsidiaries, which could reasonably be expected to result in damages or costs to Credit Party or any of its Subsidiaries of Five Hundred Thousand Dollars ($500,000.00) or more or which could reasonably be expected to have a Material Adverse Change. Without limiting or contradicting any other more specific provision of this Agreement, promptly (and in any event within three (3) Business Days) upon Credit Party becoming aware of the existence of any Event of Default or event which, with the giving of notice or passage of time, or both, would constitute an Event of Default, Credit Party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9"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Intentionally Omitted.</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6.11 Landlord Waivers; Bailee Waivers. </w:t>
      </w:r>
      <w:r>
        <w:rPr>
          <w:rFonts w:ascii="Times New Roman" w:cs="Times New Roman" w:eastAsia="Times New Roman" w:hAnsi="Times New Roman"/>
          <w:sz w:val="18"/>
          <w:szCs w:val="18"/>
          <w:color w:val="auto"/>
        </w:rPr>
        <w:t>In the event that Credit Party, after the Effective Date, adds any new offices or business 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warehouses, or otherwise store any portion of the Collateral (other than (1) inventory in transit, (2) laptops and mobile phones in the possession of employees in the ordinary course of business and (3) inventory maintained with clinical research providers in the ordinary course of business) with, or deliver any portion of the Collateral (other than (1) inventory in transit, (2) laptops and mobile phones in the possession of employees in the ordinary course of business and (3) inventory maintained with clinical research providers in the ordinary course of business) to, a bailee (regardless of whether such office, business location, or warehouse is a new or existing office, business location or warehouse), in each case pursuant to Section 7.2, then Credit Party will promptly notify Collateral Agent in writing and, in the event that the new location is the chief executive office of the Credit Party or the Collateral (other than (1) inventory in transit, (2) laptops and mobile phones in the possession of employees in the ordinary course of business and (3) inventory maintained with clinical research providers in the ordinary course of business) at any such new location is valued in excess of Five Hundred Thousand Dollars ($500,000.00)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5" w:lineRule="exact"/>
        <w:rPr>
          <w:sz w:val="20"/>
          <w:szCs w:val="20"/>
          <w:color w:val="auto"/>
        </w:rPr>
      </w:pPr>
    </w:p>
    <w:p>
      <w:pPr>
        <w:jc w:val="both"/>
        <w:ind w:firstLine="749"/>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6.12 Creation/Acquisition of Subsidiaries. </w:t>
      </w:r>
      <w:r>
        <w:rPr>
          <w:rFonts w:ascii="Times New Roman" w:cs="Times New Roman" w:eastAsia="Times New Roman" w:hAnsi="Times New Roman"/>
          <w:sz w:val="18"/>
          <w:szCs w:val="18"/>
          <w:color w:val="auto"/>
        </w:rPr>
        <w:t>In the event Credit Party or any of its Subsidiaries creates or acquires any Subsidiary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pursuant to a Division), Credit Party shall provide prior written notice to Collateral Agent and each Lender of the creation or acquisition of such new Subsidiary and take all such action as may be reasonably required by Collateral Agent or any Lender to cause each such Subsidiary to become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borrower hereunder or to guarantee the Obligations of Credit Party under the Loan Documents and, in each case, grant a continuing pledge and security interest in and to the assets of such Subsidiary (substantially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Credit Party (or its Subsidiary, as applicable) shall grant and pledge to Collateral Agent, 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ratable benefit of the Lenders, a perfected security interest in the Shares of each such newly created Subsidiary; provided, however, that solely in the circumstance in which a Credit Party or any Subsidiary creates a Foreign Subsidiary or acquires a Foreign Subsidiary approved by the Required Lenders,</w:t>
      </w:r>
    </w:p>
    <w:p>
      <w:pPr>
        <w:jc w:val="both"/>
        <w:ind w:firstLine="8"/>
        <w:spacing w:after="0" w:line="209" w:lineRule="exact"/>
        <w:tabs>
          <w:tab w:leader="none" w:pos="2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Subsidiary shall not be required to guarantee the Obligations under the Loan Documents and grant a continuing pledge and security interest in and to the assets of such Foreign Subsidiary, and (ii) such Credit Party shall not be required to grant and pledge to Collateral Agent, for the ratable benefit of Lenders, a perfected security interest in more than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(65%) of the Shares of such Foreign Subsidiary, if Borrower demonstrates to the reasonable satisfaction of Collateral Agent that such Foreign Subsidiary providing such guarantee or pledge and security interest or Borrower providing a perfected security interest in more than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(65%) of the Shares would create a present and existing adverse tax consequence to a Credit Party under the U.S. Internal Revenue Code.</w:t>
      </w:r>
    </w:p>
    <w:p>
      <w:pPr>
        <w:spacing w:after="0" w:line="182"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6.13</w:t>
        <w:tab/>
        <w:t>Further Assurances.</w:t>
      </w:r>
    </w:p>
    <w:p>
      <w:pPr>
        <w:spacing w:after="0" w:line="216" w:lineRule="exact"/>
        <w:rPr>
          <w:sz w:val="20"/>
          <w:szCs w:val="20"/>
          <w:color w:val="auto"/>
        </w:rPr>
      </w:pPr>
    </w:p>
    <w:p>
      <w:pPr>
        <w:ind w:right="20" w:firstLine="1505"/>
        <w:spacing w:after="0" w:line="266" w:lineRule="auto"/>
        <w:tabs>
          <w:tab w:leader="none" w:pos="29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5"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Credit Party’s business or otherwise could reasonably be expected to have a Material Adverse Change.</w:t>
      </w:r>
    </w:p>
    <w:p>
      <w:pPr>
        <w:spacing w:after="0" w:line="173" w:lineRule="exact"/>
        <w:rPr>
          <w:sz w:val="20"/>
          <w:szCs w:val="20"/>
          <w:color w:val="auto"/>
        </w:rPr>
      </w:pPr>
    </w:p>
    <w:p>
      <w:pPr>
        <w:jc w:val="center"/>
        <w:ind w:right="80"/>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6.14</w:t>
        <w:tab/>
        <w:t xml:space="preserve">ScalmiBio. </w:t>
      </w:r>
      <w:r>
        <w:rPr>
          <w:rFonts w:ascii="Times New Roman" w:cs="Times New Roman" w:eastAsia="Times New Roman" w:hAnsi="Times New Roman"/>
          <w:sz w:val="18"/>
          <w:szCs w:val="18"/>
          <w:color w:val="auto"/>
        </w:rPr>
        <w:t>Cause ScalmiBio to either dissolve or merge with and into another Credit Party no later than December 31, 2022.</w:t>
      </w:r>
    </w:p>
    <w:p>
      <w:pPr>
        <w:spacing w:after="0" w:line="212" w:lineRule="exact"/>
        <w:rPr>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Credit Party shall not, and shall not permit any of its Subsidiaries to, do any of the following without the prior written consent of the Required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18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 out or obsolete Equipment; (c) of cash and Cash Equivalents in connection with transactions not prohibited hereunder; (d) in connection with Permitted Liens, Permitted Investments and Permitted Licenses; (e) by or among Credit Parties; (f) between or among Subsidiaries that are not Credit Parties; (g) of assets (other than Intellectual Property) having a value of not more than Five Hundred Thousand Dollars ($500,000.00) in the aggregate in any fiscal year of Parent so long as no Event of Default has occurred and is continuing or could reasonably be expected to result therefrom; (h) permitted by Sections 7.3 and 7.7; and (i) of immaterial Intellectual Property (including by lapse or abandonment) that is no longer useful and no longer has any material value.</w:t>
      </w:r>
    </w:p>
    <w:p>
      <w:pPr>
        <w:spacing w:after="0" w:line="193"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Ownership, or Business Locations. </w:t>
      </w:r>
      <w:r>
        <w:rPr>
          <w:rFonts w:ascii="Times New Roman" w:cs="Times New Roman" w:eastAsia="Times New Roman" w:hAnsi="Times New Roman"/>
          <w:sz w:val="18"/>
          <w:szCs w:val="18"/>
          <w:color w:val="auto"/>
        </w:rPr>
        <w:t>(a) Engage in or permit any of its Subsidiaries to engage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business other than the businesses engaged in by Credit Party and their Subsidiaries as of the Effective Date or reasonably related or incidental thereto;</w:t>
      </w:r>
    </w:p>
    <w:p>
      <w:pPr>
        <w:spacing w:after="0" w:line="1" w:lineRule="exact"/>
        <w:rPr>
          <w:sz w:val="20"/>
          <w:szCs w:val="20"/>
          <w:color w:val="auto"/>
        </w:rPr>
      </w:pPr>
    </w:p>
    <w:p>
      <w:pPr>
        <w:jc w:val="both"/>
        <w:ind w:firstLine="8"/>
        <w:spacing w:after="0"/>
        <w:tabs>
          <w:tab w:leader="none" w:pos="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dissolve (other than ScalmiBio pursuant to Section 6.14) except that a Subsidiary that is not a Credit Party may liquidate or dissolve so long as its assets, if any, are transferred to a Credit Party; or (c) (i) any Key Person shall cease to be actively engaged in the management of Credit Party unless written notice thereof is provided to Collateral Agent within five (5) days of such change, (ii) consummate any transaction or series of related transactions in which the stockholders of Parent who were not stockholders immediately prior to the first such transaction own more than forty nine percent (49%) of the voting stock of Parent immediately after giving effect to such transaction or related series of such transactions (other than by the sale of Parent’s equity securities in a public offering, a private placement of public equity or to private equity investors so long as Parent identifies to Collateral Agent the private equity investors prior to the closing of the transaction), or (iii) Parent shall cease to be, directly or indirectly, the sole stockholder of ALX Ireland, ALX Malta and Borrower or any other Credit Party. Credit Party shall not, without at least ten (10) Business Days’ prior written notice to Collateral Agent: (A) add any new offices or business locations, including warehouses (unless such new offices or business locations (i) contain less than Five Hundred Thousand Dollars ($500,000.00) in assets 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property of Credit Party or any of its Subsidiaries and (ii) are not Credit Party’s or its Subsidiaries’ chief executive office); (B) change its jurisdiction of organization or incorporation, (C) change its organizational structure or type, (D) change its legal name, or (E) change any organizational or incorporation number (if any) assigned by its jurisdiction of organization or incorporation.</w:t>
      </w:r>
    </w:p>
    <w:p>
      <w:pPr>
        <w:spacing w:after="0" w:line="165" w:lineRule="exact"/>
        <w:rPr>
          <w:sz w:val="20"/>
          <w:szCs w:val="20"/>
          <w:color w:val="auto"/>
        </w:rPr>
      </w:pPr>
    </w:p>
    <w:p>
      <w:pPr>
        <w:jc w:val="both"/>
        <w:ind w:firstLine="749"/>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or permit any of its Subsidiaries to acquire, all or substantially all of the capital stock, shares or property of another Person (including, without limitation, pursuant to a Division); provided that a Subsidiary may merge or consolidate into another Subsidiary so long as (a) such surviving Subsidiary is a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Borrower” hereunder or has provided a secured Guaranty of Borrower’s Obligations hereunder or with (or into) Borrower provided Borrower is the surviving legal entity, and (b) no Event of Default is occurring prior thereto or arises as a result therefrom.</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w:t>
      </w:r>
    </w:p>
    <w:p>
      <w:pPr>
        <w:spacing w:after="0" w:line="200" w:lineRule="exact"/>
        <w:rPr>
          <w:sz w:val="20"/>
          <w:szCs w:val="20"/>
          <w:color w:val="auto"/>
        </w:rPr>
      </w:pPr>
    </w:p>
    <w:p>
      <w:pPr>
        <w:spacing w:after="0" w:line="20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(a) Create, incur, allow, or suffer any Lien on any of its property, or assign or convey any right to receive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sale of any Accounts, permit any of its Subsidiaries to do so, except for Permitted Liens, or (b) permit any Collateral not to be subject to the first priority security interest granted herein (except that the Collateral may be subject to Permitted Liens), or (c) enter into any agreement, document, instrument or other arrangement (except with or in favor of Collateral Agent, for the ratable benefit of the Lenders) with any Person which directly or indirectly prohibits or has the effect of prohibiting Credit Party, or any of its Subsidiaries, from assigning, mortgaging, pledging, granting a security interest in or upon, or encumbering any of Credit Party’s or such Subsidiary’s Intellectual Property, except (i) as is otherwise permitted in Section 7.1 hereof and the definition of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herein and (ii) with respect to the foregoing clause (c), for customary covenants with such restrictions in merger or acquisition agreements, provided that such covenants do not prohibit any Credit Party or any Subsidiary from granting a security interest in Credit Party’s or any such Subsidiary’s Intellectual Property in favor of Collateral Agent and provided further that the counterparties to such covenants are not permitted to receive a security interest in Credit Party’s or any Subsidiary’s Intellectual Property.</w:t>
      </w:r>
    </w:p>
    <w:p>
      <w:pPr>
        <w:spacing w:after="0" w:line="191"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7.6</w:t>
        <w:tab/>
        <w:t xml:space="preserve">Maintenance of Collateral Accounts. </w:t>
      </w:r>
      <w:r>
        <w:rPr>
          <w:rFonts w:ascii="Times New Roman" w:cs="Times New Roman" w:eastAsia="Times New Roman" w:hAnsi="Times New Roman"/>
          <w:sz w:val="18"/>
          <w:szCs w:val="18"/>
          <w:color w:val="auto"/>
        </w:rPr>
        <w:t>Maintain any Collateral Account except pursuant to the terms of Section 6.6 hereof.</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7.7 Distributions; Investments. </w:t>
      </w:r>
      <w:r>
        <w:rPr>
          <w:rFonts w:ascii="Times New Roman" w:cs="Times New Roman" w:eastAsia="Times New Roman" w:hAnsi="Times New Roman"/>
          <w:sz w:val="18"/>
          <w:szCs w:val="18"/>
          <w:color w:val="auto"/>
        </w:rPr>
        <w:t>(a) Pay any dividends (other than (i) dividends payable solely in capital stock or (ii) dividends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by any Subsidiary of a Credit Party to a Credit Party or by such Subsidiary to another Subsidiary) or make any distribution or payment in respect of or redeem, retire or purchase any capital stock (other than (i) repurchases by Parent pursuant to the terms of employee stock purchase plans, employee restricted stock agreements, stockholder rights plans, director or consultant stock option plans, or similar plans, provided such repurchases do not exceed Five Hundred Thousand Dollars ($500,000.00) in the aggregate per fiscal year, (ii) Parent may make purchases or redemptions of capital stock in the ordinary course of business in connection with the exercise of stock options or similar equity-based compensation or the satisfaction of withholding tax obligations, in each case by way of cashless or “net” exercise by the holders of such stock options or similar equity-based compensation, (iii) Parent may pay cash in lieu of fractional shares of not more than One Hundred Thousand Dollars ($100,000.00) in the aggregate per fiscal year and (iv) Parent may enter into a customary stockholder rights plan and distribute rights thereunder so long as such plan could not reasonably be expected to adversely affect Lenders or Parent and a copy of such plan is provided to Lenders at least ten (10) Business Days prior to the adoption of such plan or (b) directly or indirectly make any Investment other than Permitted Investments.</w:t>
      </w:r>
    </w:p>
    <w:p>
      <w:pPr>
        <w:spacing w:after="0" w:line="179" w:lineRule="exact"/>
        <w:rPr>
          <w:sz w:val="20"/>
          <w:szCs w:val="20"/>
          <w:color w:val="auto"/>
        </w:rPr>
      </w:pPr>
    </w:p>
    <w:p>
      <w:pPr>
        <w:jc w:val="both"/>
        <w:ind w:firstLine="749"/>
        <w:spacing w:after="0" w:line="213" w:lineRule="exact"/>
        <w:rPr>
          <w:sz w:val="20"/>
          <w:szCs w:val="20"/>
          <w:color w:val="auto"/>
        </w:rPr>
      </w:pPr>
      <w:r>
        <w:rPr>
          <w:rFonts w:ascii="Times New Roman" w:cs="Times New Roman" w:eastAsia="Times New Roman" w:hAnsi="Times New Roman"/>
          <w:sz w:val="18"/>
          <w:szCs w:val="18"/>
          <w:b w:val="1"/>
          <w:bCs w:val="1"/>
          <w:color w:val="auto"/>
        </w:rPr>
        <w:t xml:space="preserve">7.8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of its Subsidiaries, except for (a) transactions that are in the ordinary course of Credit Party’s or such Subsidiary’s business, upon fair and reasonable terms that are no less favorable to Credit Party or such Subsidiary than would be obtained in an arm’s length transaction with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Person, (b) Subordinated Debt or equity investments by Credit Party’s investors in Credit Party or its Subsidiaries, (c) transactions by or among Credit Parties, (d) transactions permitted by Sections 7.3 and 7.7 hereof, and (e) reasonable and customary indemnification arrangements and employee agreements, severance arrangements, compensation arrangements (including equity-based compensation and reasonable and customary fees paid to directors), in 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case with current or former employees, officers or directors in the ordinary course of business and approved by the Parent’s board of directors (or a committee thereof).</w:t>
      </w:r>
    </w:p>
    <w:p>
      <w:pPr>
        <w:spacing w:after="0" w:line="14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(a) Make or permit any payment on any Subordinated Debt, except under the terms of the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or other similar agreement to which such Subordinated Debt is subject, or (b) amend any provision in any document relating to the Subordinated Debt which would increase the amount thereof or adversely affect the subordination thereof to Obligations owed to the Lenders, except as permitted by the subordination, intercreditor, or similar agreement to which such Subordinated Debt is subject.</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7.10 Compliance. </w:t>
      </w:r>
      <w:r>
        <w:rPr>
          <w:rFonts w:ascii="Times New Roman" w:cs="Times New Roman" w:eastAsia="Times New Roman" w:hAnsi="Times New Roman"/>
          <w:sz w:val="18"/>
          <w:szCs w:val="18"/>
          <w:color w:val="auto"/>
        </w:rPr>
        <w:t>Become required to register as an “investment company” or become a company controlled by an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if the failure to comply or violation could reasonably be expected to have a Material Adverse Effect;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Credit Party or any of its Subsidiaries, including any liability to the Pension Benefit Guaranty Corporation or its successors or any other Governmental Authority.</w:t>
      </w:r>
    </w:p>
    <w:p>
      <w:pPr>
        <w:spacing w:after="0" w:line="153" w:lineRule="exact"/>
        <w:rPr>
          <w:sz w:val="20"/>
          <w:szCs w:val="20"/>
          <w:color w:val="auto"/>
        </w:rPr>
      </w:pPr>
    </w:p>
    <w:p>
      <w:pPr>
        <w:jc w:val="both"/>
        <w:ind w:firstLine="749"/>
        <w:spacing w:after="0" w:line="214" w:lineRule="exact"/>
        <w:rPr>
          <w:sz w:val="20"/>
          <w:szCs w:val="20"/>
          <w:color w:val="auto"/>
        </w:rPr>
      </w:pPr>
      <w:r>
        <w:rPr>
          <w:rFonts w:ascii="Times New Roman" w:cs="Times New Roman" w:eastAsia="Times New Roman" w:hAnsi="Times New Roman"/>
          <w:sz w:val="17"/>
          <w:szCs w:val="17"/>
          <w:b w:val="1"/>
          <w:bCs w:val="1"/>
          <w:color w:val="auto"/>
        </w:rPr>
        <w:t>7.11 Compliance with Anti</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 xml:space="preserve">Terrorism Laws. </w:t>
      </w:r>
      <w:r>
        <w:rPr>
          <w:rFonts w:ascii="Times New Roman" w:cs="Times New Roman" w:eastAsia="Times New Roman" w:hAnsi="Times New Roman"/>
          <w:sz w:val="17"/>
          <w:szCs w:val="17"/>
          <w:color w:val="auto"/>
        </w:rPr>
        <w:t>Collateral Agent hereby notifies Credit Party and each of its Subsidiaries that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of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Terrorism Laws, and Collateral Agent’s policies and practices, Collateral Agent is required to obtain, verify and record certain information and documentation that identifies Credit Party and each of its Subsidiaries and their principals, which information includes the name and address of Credit Party and each of its Subsidiaries and their principals and such other information that will allow Collateral Agent to identify such party in accordance with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Terrorism Laws. Neither Credit Party nor any of its Subsidiaries shall, nor shall Credit Party or any of its Subsidiaries permit any controlled Affiliate to, directly or indirectly, knowingly enter into any documents, instruments, agreements or contracts with any Person listed on the OFAC Lists. Credit Party and each of its Subsidiaries shall immediately notify Collateral Agent if Credit Party or such Subsidiary has knowledge that Credit Party, or any Subsidiary or Affiliate of Credit Party, is listed on the OFAC Lists or (a) is convicted on, (b) pleads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(c) is indicted on, or</w:t>
      </w:r>
    </w:p>
    <w:p>
      <w:pPr>
        <w:spacing w:after="0" w:line="2" w:lineRule="exact"/>
        <w:rPr>
          <w:sz w:val="20"/>
          <w:szCs w:val="20"/>
          <w:color w:val="auto"/>
        </w:rPr>
      </w:pPr>
    </w:p>
    <w:p>
      <w:pPr>
        <w:jc w:val="both"/>
        <w:ind w:firstLine="8"/>
        <w:spacing w:after="0" w:line="211" w:lineRule="exact"/>
        <w:tabs>
          <w:tab w:leader="none" w:pos="2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arraigned and held over on charges involving money laundering or predicate crimes to money laundering. Neither Credit Party nor any of its Subsidiaries shall, nor shall Credit Party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w:t>
      </w:r>
    </w:p>
    <w:p>
      <w:pPr>
        <w:spacing w:after="0" w:line="16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7.12 ScalmiBio. </w:t>
      </w:r>
      <w:r>
        <w:rPr>
          <w:rFonts w:ascii="Times New Roman" w:cs="Times New Roman" w:eastAsia="Times New Roman" w:hAnsi="Times New Roman"/>
          <w:sz w:val="18"/>
          <w:szCs w:val="18"/>
          <w:color w:val="auto"/>
        </w:rPr>
        <w:t>Permit the aggregate amount of cash, Cash Equivalents and the value of other assets held or maintained by ScalmiBio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Twenty-Five Thousand Dollars ($25,000.00) at any time or permit ScalmiBio to own, license, maintain or otherwise hold any Intellectual Property.</w:t>
      </w:r>
    </w:p>
    <w:p>
      <w:pPr>
        <w:spacing w:after="0" w:line="16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7.13 ALX Malta. </w:t>
      </w:r>
      <w:r>
        <w:rPr>
          <w:rFonts w:ascii="Times New Roman" w:cs="Times New Roman" w:eastAsia="Times New Roman" w:hAnsi="Times New Roman"/>
          <w:sz w:val="18"/>
          <w:szCs w:val="18"/>
          <w:color w:val="auto"/>
        </w:rPr>
        <w:t>Permit the aggregate amount of cash, Cash Equivalents and the value of other assets held or maintained by ALX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Malta to exceed Twenty-Five Thousand Dollars ($25,000.00) at any time or permit ALX Malta to own, license, maintain or otherwise hold any Intellectual Property.</w:t>
      </w:r>
    </w:p>
    <w:p>
      <w:pPr>
        <w:spacing w:after="0" w:line="394"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1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4"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Covenant Default.</w:t>
      </w:r>
    </w:p>
    <w:p>
      <w:pPr>
        <w:spacing w:after="0" w:line="216" w:lineRule="exact"/>
        <w:rPr>
          <w:sz w:val="20"/>
          <w:szCs w:val="20"/>
          <w:color w:val="auto"/>
        </w:rPr>
      </w:pPr>
    </w:p>
    <w:p>
      <w:pPr>
        <w:jc w:val="both"/>
        <w:ind w:firstLine="1505"/>
        <w:spacing w:after="0" w:line="250" w:lineRule="auto"/>
        <w:tabs>
          <w:tab w:leader="none" w:pos="29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177" w:lineRule="exact"/>
        <w:rPr>
          <w:rFonts w:ascii="Times New Roman" w:cs="Times New Roman" w:eastAsia="Times New Roman" w:hAnsi="Times New Roman"/>
          <w:sz w:val="18"/>
          <w:szCs w:val="18"/>
          <w:color w:val="auto"/>
        </w:rPr>
      </w:pPr>
    </w:p>
    <w:p>
      <w:pPr>
        <w:jc w:val="both"/>
        <w:ind w:firstLine="1505"/>
        <w:spacing w:after="0" w:line="243" w:lineRule="auto"/>
        <w:tabs>
          <w:tab w:leader="none" w:pos="29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Business Days after the occurrence thereof; provided, however, that if the default cannot by its nature be cured within the ten (10) Business Day period or cannot after diligent attempts by Credit Party be cured within such ten (10) Business Day period, and such default is likely to be cured within a reasonable time, then Credit Party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the covenants set forth in subsection (a) above;</w:t>
      </w:r>
    </w:p>
    <w:p>
      <w:pPr>
        <w:spacing w:after="0" w:line="196"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8.3</w:t>
        <w:tab/>
        <w:t xml:space="preserve">Material Adverse Change. </w:t>
      </w:r>
      <w:r>
        <w:rPr>
          <w:rFonts w:ascii="Times New Roman" w:cs="Times New Roman" w:eastAsia="Times New Roman" w:hAnsi="Times New Roman"/>
          <w:sz w:val="18"/>
          <w:szCs w:val="18"/>
          <w:color w:val="auto"/>
        </w:rPr>
        <w:t>A Material Adverse Change occurs;</w:t>
      </w:r>
    </w:p>
    <w:p>
      <w:pPr>
        <w:spacing w:after="0" w:line="212" w:lineRule="exact"/>
        <w:rPr>
          <w:sz w:val="20"/>
          <w:szCs w:val="20"/>
          <w:color w:val="auto"/>
        </w:rPr>
      </w:pPr>
    </w:p>
    <w:p>
      <w:pPr>
        <w:ind w:left="7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p>
    <w:p>
      <w:pPr>
        <w:spacing w:after="0" w:line="216" w:lineRule="exact"/>
        <w:rPr>
          <w:sz w:val="20"/>
          <w:szCs w:val="20"/>
          <w:color w:val="auto"/>
        </w:rPr>
      </w:pPr>
    </w:p>
    <w:p>
      <w:pPr>
        <w:jc w:val="both"/>
        <w:ind w:firstLine="1505"/>
        <w:spacing w:after="0" w:line="245" w:lineRule="auto"/>
        <w:tabs>
          <w:tab w:leader="none" w:pos="29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Credit Party or any of its Subsidiaries or of any entity under control of Credit Party or its Subsidiaries on deposit with any Lender or any Lender’s Affiliate or any bank or other institution at which Credit Party or any of its Subsidiaries maintains a Collateral Account in excess of Fifty Thousand Dollars ($50,000.00), or (ii) a notice of lien, levy, or assessment is filed against Credit Party or any of its Subsidiaries or their respective assets in excess of Fifty Thousand Dollars ($50,000.00) by any government agency, and the same under subclauses (i) and (ii) hereof are not, within fifteen (15) days after the occurrence thereof, discharged or stayed (whether through the posting of a bond or otherwise); provided, however, no Credit Extensions shall be made during any fifteen (15) day cure period; and</w:t>
      </w:r>
    </w:p>
    <w:p>
      <w:pPr>
        <w:spacing w:after="0" w:line="18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Credit Party’s or any of its Subsidiaries’ assets is attached, seized, levied on, or comes into possession of a trustee or receiver, or (ii) any court order enjoins, restrains, or prevents Credit Party or any of its Subsidiaries from conducting any part of its business;</w:t>
      </w:r>
    </w:p>
    <w:p>
      <w:pPr>
        <w:spacing w:after="0" w:line="165" w:lineRule="exact"/>
        <w:rPr>
          <w:sz w:val="20"/>
          <w:szCs w:val="20"/>
          <w:color w:val="auto"/>
        </w:rPr>
      </w:pPr>
    </w:p>
    <w:p>
      <w:pPr>
        <w:jc w:val="both"/>
        <w:ind w:firstLine="749"/>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Credit Party is or becomes Insolvent, or Credit Party and its Subsidiaries, taken as a whole, are or become Insolvent;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or any of its Subsidiaries begins an Insolvency Proceeding; or (c) an Insolvency Proceeding is begun against Credit Party or any of its Subsidiaries and not dismissed or stayed within forty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(45) days (but no Credit Extensions shall be made while Credit Party, or Credit Party and its Subsidiaries, taken as a whole, are Insolvent and/or until any Insolvency Proceeding is dismissed);</w:t>
      </w:r>
    </w:p>
    <w:p>
      <w:pPr>
        <w:spacing w:after="0" w:line="19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8.6 Other Agreements. </w:t>
      </w:r>
      <w:r>
        <w:rPr>
          <w:rFonts w:ascii="Times New Roman" w:cs="Times New Roman" w:eastAsia="Times New Roman" w:hAnsi="Times New Roman"/>
          <w:sz w:val="18"/>
          <w:szCs w:val="18"/>
          <w:color w:val="auto"/>
        </w:rPr>
        <w:t>There is a default in any agreement to which Credit Party or any of its Subsidiaries is a party with a third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resulting in a right by such third party or parties, whether or not exercised, to accelerate the maturity of any Indebtedness in an amount in excess of Five Hundred Thousand Dollars ($500,000.00) or that could reasonably be expected to have a Material Adverse Change;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jc w:val="both"/>
        <w:ind w:firstLine="749"/>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8.7 Judgments. </w:t>
      </w:r>
      <w:r>
        <w:rPr>
          <w:rFonts w:ascii="Times New Roman" w:cs="Times New Roman" w:eastAsia="Times New Roman" w:hAnsi="Times New Roman"/>
          <w:sz w:val="18"/>
          <w:szCs w:val="18"/>
          <w:color w:val="auto"/>
        </w:rPr>
        <w:t>One or more judgments, orders, or decrees for the payment of money in an amount, individually or in the aggregate, 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Five Hundred Thousand Dollars ($500,000.00) (not covered by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insurance as to which liability has been accepted by such insurance carrier) shall be rendered against Credit Party or any of its Subsidiaries and shall remain unsatisfied, unvacated, or unstayed for a period of fifteen (15) days after the entry thereof (provided that no Credit Extensions will be made prior to the satisfaction, vacation, or stay of such judgment, order or decree);</w:t>
      </w:r>
    </w:p>
    <w:p>
      <w:pPr>
        <w:spacing w:after="0" w:line="38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Credit Party or any of its Subsidiaries or any Person acting for Credit Party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70"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8.9 Subordinated Debt. </w:t>
      </w:r>
      <w:r>
        <w:rPr>
          <w:rFonts w:ascii="Times New Roman" w:cs="Times New Roman" w:eastAsia="Times New Roman" w:hAnsi="Times New Roman"/>
          <w:sz w:val="18"/>
          <w:szCs w:val="18"/>
          <w:color w:val="auto"/>
        </w:rPr>
        <w:t>A default or breach occurs under any agreement between Credit Party or any of its Subsidiaries and any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(other than the guaranty in this Agreement) terminates or ceases for any reason to be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(other than in accordance with its terms); (b) any Guarantor (who is not a party to this Agreement) does not perform any obligation or covenant under any Guaranty provided by such Guarantor; (c) any circumstance described in Sections 8.3, 8.4, 8.5, 8.7, or 8.8 occurs with respect to any Guarantor who is not a party to this Agreement, or (d) except as permitted by Section 7.3, the liquidation, winding up, or termination of existence of any Guarantor who is not a party to this Agreement;</w:t>
      </w:r>
    </w:p>
    <w:p>
      <w:pPr>
        <w:spacing w:after="0" w:line="190" w:lineRule="exact"/>
        <w:rPr>
          <w:sz w:val="20"/>
          <w:szCs w:val="20"/>
          <w:color w:val="auto"/>
        </w:rPr>
      </w:pPr>
    </w:p>
    <w:p>
      <w:pPr>
        <w:jc w:val="both"/>
        <w:ind w:firstLine="749"/>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8.11 Governmental Approvals. </w:t>
      </w:r>
      <w:r>
        <w:rPr>
          <w:rFonts w:ascii="Times New Roman" w:cs="Times New Roman" w:eastAsia="Times New Roman" w:hAnsi="Times New Roman"/>
          <w:sz w:val="18"/>
          <w:szCs w:val="18"/>
          <w:color w:val="auto"/>
        </w:rPr>
        <w:t>Any Governmental Approval shall have been revoked, rescinded, suspended, modified in an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or not renewed in the ordinary course for a full term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such revocation, rescission, suspension, modification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renewal has resulted in or could reasonably be expected to result in a Material Adverse Change; or</w:t>
      </w:r>
    </w:p>
    <w:p>
      <w:pPr>
        <w:spacing w:after="0" w:line="19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8.12 Lien Priority</w:t>
      </w:r>
      <w:r>
        <w:rPr>
          <w:rFonts w:ascii="Times New Roman" w:cs="Times New Roman" w:eastAsia="Times New Roman" w:hAnsi="Times New Roman"/>
          <w:sz w:val="18"/>
          <w:szCs w:val="18"/>
          <w:color w:val="auto"/>
        </w:rPr>
        <w:t>. Any Lien created hereunder or by any other Loan Document shall at any time fail to constitute a valid and perfected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of the Collateral purported to be secured thereby, subject to no prior or equal Lien (the Collateral may also be subject to Permitted Liens).</w:t>
      </w:r>
    </w:p>
    <w:p>
      <w:pPr>
        <w:spacing w:after="0" w:line="15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8.13 Delisting</w:t>
      </w:r>
      <w:r>
        <w:rPr>
          <w:rFonts w:ascii="Times New Roman" w:cs="Times New Roman" w:eastAsia="Times New Roman" w:hAnsi="Times New Roman"/>
          <w:sz w:val="18"/>
          <w:szCs w:val="18"/>
          <w:color w:val="auto"/>
        </w:rPr>
        <w:t>. The shares of common stock of Parent are delisted from NASDAQ Global Select Market because of failure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listing standards thereof or due to a voluntary delisting which results in such shares not being listed on any other nationally recognized exchange or market in the United States having listing standards at least as restrictive as NASDAQ Global Select Market.</w:t>
      </w:r>
    </w:p>
    <w:p>
      <w:pPr>
        <w:spacing w:after="0" w:line="164" w:lineRule="exact"/>
        <w:rPr>
          <w:sz w:val="20"/>
          <w:szCs w:val="20"/>
          <w:color w:val="auto"/>
        </w:rPr>
      </w:pPr>
    </w:p>
    <w:p>
      <w:pPr>
        <w:ind w:left="760" w:right="8340" w:hanging="752"/>
        <w:spacing w:after="0" w:line="524" w:lineRule="auto"/>
        <w:tabs>
          <w:tab w:leader="none" w:pos="7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RIGHTS AND REMEDIES </w:t>
      </w:r>
      <w:r>
        <w:rPr>
          <w:rFonts w:ascii="Times New Roman" w:cs="Times New Roman" w:eastAsia="Times New Roman" w:hAnsi="Times New Roman"/>
          <w:sz w:val="17"/>
          <w:szCs w:val="17"/>
          <w:b w:val="1"/>
          <w:bCs w:val="1"/>
          <w:color w:val="auto"/>
        </w:rPr>
        <w:t xml:space="preserve">9.1 </w:t>
      </w:r>
      <w:r>
        <w:rPr>
          <w:rFonts w:ascii="Times New Roman" w:cs="Times New Roman" w:eastAsia="Times New Roman" w:hAnsi="Times New Roman"/>
          <w:sz w:val="17"/>
          <w:szCs w:val="17"/>
          <w:color w:val="auto"/>
        </w:rPr>
        <w:t>Rights and Remedies.</w:t>
      </w:r>
    </w:p>
    <w:p>
      <w:pPr>
        <w:jc w:val="both"/>
        <w:ind w:firstLine="1505"/>
        <w:spacing w:after="0" w:line="243" w:lineRule="auto"/>
        <w:tabs>
          <w:tab w:leader="none" w:pos="29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jc w:val="both"/>
        <w:ind w:firstLine="1505"/>
        <w:spacing w:after="0" w:line="258" w:lineRule="auto"/>
        <w:tabs>
          <w:tab w:leader="none" w:pos="29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ectPr>
          <w:pgSz w:w="11900" w:h="16838" w:orient="portrait"/>
          <w:cols w:equalWidth="0" w:num="1">
            <w:col w:w="11240"/>
          </w:cols>
          <w:pgMar w:left="320" w:top="324" w:right="339" w:bottom="1440" w:gutter="0" w:footer="0" w:header="0"/>
        </w:sectPr>
      </w:pPr>
    </w:p>
    <w:p>
      <w:pPr>
        <w:spacing w:after="0" w:line="169"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color w:val="auto"/>
        </w:rPr>
        <w:t>foreclose upon and/or sell or otherwise liquidate, the Collateral;</w:t>
      </w:r>
    </w:p>
    <w:p>
      <w:pPr>
        <w:spacing w:after="0" w:line="200" w:lineRule="exact"/>
        <w:rPr>
          <w:sz w:val="20"/>
          <w:szCs w:val="20"/>
          <w:color w:val="auto"/>
        </w:rPr>
      </w:pPr>
    </w:p>
    <w:p>
      <w:pPr>
        <w:sectPr>
          <w:pgSz w:w="11900" w:h="16838" w:orient="portrait"/>
          <w:cols w:equalWidth="0" w:num="2">
            <w:col w:w="3780" w:space="720"/>
            <w:col w:w="6740"/>
          </w:cols>
          <w:pgMar w:left="320" w:top="324" w:right="339" w:bottom="1440" w:gutter="0" w:footer="0" w:header="0"/>
          <w:type w:val="continuous"/>
        </w:sectPr>
      </w:pPr>
    </w:p>
    <w:p>
      <w:pPr>
        <w:spacing w:after="0" w:line="25"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apply to the Obligations any (a) balances and deposits of Credit Party that Collateral Agent</w:t>
      </w:r>
    </w:p>
    <w:p>
      <w:pPr>
        <w:sectPr>
          <w:pgSz w:w="11900" w:h="16838" w:orient="portrait"/>
          <w:cols w:equalWidth="0" w:num="1">
            <w:col w:w="11240"/>
          </w:cols>
          <w:pgMar w:left="320" w:top="324" w:right="339" w:bottom="1440" w:gutter="0" w:footer="0" w:header="0"/>
          <w:type w:val="continuous"/>
        </w:sectPr>
      </w:pP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or any Lender holds or controls, or (b) any amount held or controlled by Collateral Agent or any Lender owing to or for the credit or the account of Credit Party; and/or</w:t>
      </w:r>
    </w:p>
    <w:p>
      <w:pPr>
        <w:sectPr>
          <w:pgSz w:w="11900" w:h="16838" w:orient="portrait"/>
          <w:cols w:equalWidth="0" w:num="1">
            <w:col w:w="11240"/>
          </w:cols>
          <w:pgMar w:left="320" w:top="324" w:right="339" w:bottom="1440" w:gutter="0" w:footer="0" w:header="0"/>
          <w:type w:val="continuous"/>
        </w:sectPr>
      </w:pPr>
    </w:p>
    <w:p>
      <w:pPr>
        <w:spacing w:after="0" w:line="1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 and prosecute an Insolvency Proceeding or consent to Credit Party commencing</w:t>
      </w:r>
    </w:p>
    <w:p>
      <w:pPr>
        <w:spacing w:after="0" w:line="23" w:lineRule="exact"/>
        <w:rPr>
          <w:sz w:val="20"/>
          <w:szCs w:val="20"/>
          <w:color w:val="auto"/>
        </w:rPr>
      </w:pPr>
    </w:p>
    <w:p>
      <w:pPr>
        <w:sectPr>
          <w:pgSz w:w="11900" w:h="16838" w:orient="portrait"/>
          <w:cols w:equalWidth="0" w:num="2">
            <w:col w:w="3780" w:space="720"/>
            <w:col w:w="6740"/>
          </w:cols>
          <w:pgMar w:left="320" w:top="3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any Insolvency Proceeding.</w:t>
      </w:r>
    </w:p>
    <w:p>
      <w:pPr>
        <w:sectPr>
          <w:pgSz w:w="11900" w:h="16838" w:orient="portrait"/>
          <w:cols w:equalWidth="0" w:num="1">
            <w:col w:w="11240"/>
          </w:cols>
          <w:pgMar w:left="320" w:top="324" w:right="339" w:bottom="1440" w:gutter="0" w:footer="0" w:header="0"/>
          <w:type w:val="continuous"/>
        </w:sectPr>
      </w:pPr>
    </w:p>
    <w:p>
      <w:pPr>
        <w:spacing w:after="0" w:line="184" w:lineRule="exact"/>
        <w:rPr>
          <w:sz w:val="20"/>
          <w:szCs w:val="20"/>
          <w:color w:val="auto"/>
        </w:rPr>
      </w:pPr>
    </w:p>
    <w:p>
      <w:pPr>
        <w:jc w:val="both"/>
        <w:ind w:firstLine="1505"/>
        <w:spacing w:after="0" w:line="258" w:lineRule="auto"/>
        <w:tabs>
          <w:tab w:leader="none" w:pos="29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69"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18"/>
          <w:szCs w:val="18"/>
          <w:color w:val="auto"/>
        </w:rPr>
        <w:t>(i) settle or adjust disputes and claims directly with Account Debtors for amounts on terms and in any order that Collateral Agent considers advisable, notify any Person owing Credit Party money of Collateral Agent’s security interest in such funds, and verify the amount of such account;</w:t>
      </w:r>
    </w:p>
    <w:p>
      <w:pPr>
        <w:spacing w:after="0" w:line="169"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18"/>
          <w:szCs w:val="18"/>
          <w:color w:val="auto"/>
        </w:rPr>
        <w:t>(ii) make any payments and do any acts it considers necessary or reasonable to protect the Collateral and/or its security interest in the Collateral. Credit Party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Credit Party grants Collateral Agent a license to enter and occupy any of its premises, without charge, to exercise any of Collateral Agent’s rights or remedies;</w:t>
      </w:r>
    </w:p>
    <w:p>
      <w:pPr>
        <w:spacing w:after="0" w:line="393" w:lineRule="exact"/>
        <w:rPr>
          <w:sz w:val="20"/>
          <w:szCs w:val="20"/>
          <w:color w:val="auto"/>
        </w:rPr>
      </w:pPr>
    </w:p>
    <w:p>
      <w:pPr>
        <w:jc w:val="both"/>
        <w:ind w:firstLine="2246"/>
        <w:spacing w:after="0" w:line="210" w:lineRule="exact"/>
        <w:rPr>
          <w:sz w:val="20"/>
          <w:szCs w:val="20"/>
          <w:color w:val="auto"/>
        </w:rPr>
      </w:pPr>
      <w:r>
        <w:rPr>
          <w:rFonts w:ascii="Times New Roman" w:cs="Times New Roman" w:eastAsia="Times New Roman" w:hAnsi="Times New Roman"/>
          <w:sz w:val="18"/>
          <w:szCs w:val="18"/>
          <w:color w:val="auto"/>
        </w:rPr>
        <w:t>(iii) ship, reclaim, recover, store, finish, maintain, repair, prepare for sale, and/or advertise for sale, the Collateral. Collateral Agent is hereby granted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or other right to use, without charge, Credit Party’s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Credit Party’s and each of its Subsidiaries’ rights under all licenses and all franchise agreements inure to Collateral Agent, for the benefit of the Lenders;</w:t>
      </w:r>
    </w:p>
    <w:p>
      <w:pPr>
        <w:spacing w:after="0" w:line="201"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18"/>
          <w:szCs w:val="18"/>
          <w:color w:val="auto"/>
        </w:rPr>
        <w:t>(iv) 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ectPr>
          <w:pgSz w:w="11900" w:h="16838" w:orient="portrait"/>
          <w:cols w:equalWidth="0" w:num="1">
            <w:col w:w="11240"/>
          </w:cols>
          <w:pgMar w:left="320" w:top="324" w:right="339" w:bottom="1440" w:gutter="0" w:footer="0" w:header="0"/>
          <w:type w:val="continuous"/>
        </w:sectPr>
      </w:pPr>
    </w:p>
    <w:p>
      <w:pPr>
        <w:spacing w:after="0" w:line="190"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demand and receive possession of Credit Party’s Books;</w:t>
      </w:r>
    </w:p>
    <w:p>
      <w:pPr>
        <w:spacing w:after="0" w:line="200" w:lineRule="exact"/>
        <w:rPr>
          <w:sz w:val="20"/>
          <w:szCs w:val="20"/>
          <w:color w:val="auto"/>
        </w:rPr>
      </w:pPr>
    </w:p>
    <w:p>
      <w:pPr>
        <w:sectPr>
          <w:pgSz w:w="11900" w:h="16838" w:orient="portrait"/>
          <w:cols w:equalWidth="0" w:num="2">
            <w:col w:w="3780" w:space="720"/>
            <w:col w:w="6740"/>
          </w:cols>
          <w:pgMar w:left="320" w:top="324" w:right="339" w:bottom="1440" w:gutter="0" w:footer="0" w:header="0"/>
          <w:type w:val="continuous"/>
        </w:sectPr>
      </w:pPr>
    </w:p>
    <w:p>
      <w:pPr>
        <w:spacing w:after="0" w:line="23"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appoint a receiver to seize, manage and realize any of the Collateral, and such receiver shall</w:t>
      </w:r>
    </w:p>
    <w:p>
      <w:pPr>
        <w:sectPr>
          <w:pgSz w:w="11900" w:h="16838" w:orient="portrait"/>
          <w:cols w:equalWidth="0" w:num="1">
            <w:col w:w="11240"/>
          </w:cols>
          <w:pgMar w:left="320" w:top="324" w:right="339" w:bottom="1440" w:gutter="0" w:footer="0" w:header="0"/>
          <w:type w:val="continuous"/>
        </w:sectPr>
      </w:pPr>
    </w:p>
    <w:p>
      <w:pPr>
        <w:spacing w:after="0" w:line="2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have any right and authority as any competent court will grant or authorize in accordance with any applicable law, including any power or authority to manage the business of Credit Party or any of its Subsidiaries;</w:t>
      </w:r>
    </w:p>
    <w:p>
      <w:pPr>
        <w:spacing w:after="0" w:line="180"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18"/>
          <w:szCs w:val="18"/>
          <w:color w:val="auto"/>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69"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18"/>
          <w:szCs w:val="18"/>
          <w:color w:val="auto"/>
        </w:rPr>
        <w:t>(viii) for any Letters of Credit, demand that Credit Party (i) deposit cash with Bank in an amount equal to (x) if such Letters of Credit are denominated in Dollars, then one hundred five percent (105%); and (y) if such Letters of Credit are denominated in a Foreign Currency, then one hundred ten percent (110%), of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8"/>
          <w:szCs w:val="18"/>
          <w:color w:val="auto"/>
        </w:rPr>
        <w:t>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Credit Party shall forthwith deposit and pay such amounts, and (ii) pay in advance all letter of credit fees scheduled to be paid or payable over the remaining term of any Letters of Credit; and</w:t>
      </w:r>
    </w:p>
    <w:p>
      <w:pPr>
        <w:spacing w:after="0" w:line="191"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8"/>
          <w:szCs w:val="18"/>
          <w:color w:val="auto"/>
        </w:rPr>
        <w:t>(ix)</w:t>
      </w:r>
      <w:r>
        <w:rPr>
          <w:sz w:val="20"/>
          <w:szCs w:val="20"/>
          <w:color w:val="auto"/>
        </w:rPr>
        <w:tab/>
      </w:r>
      <w:r>
        <w:rPr>
          <w:rFonts w:ascii="Times New Roman" w:cs="Times New Roman" w:eastAsia="Times New Roman" w:hAnsi="Times New Roman"/>
          <w:sz w:val="18"/>
          <w:szCs w:val="18"/>
          <w:color w:val="auto"/>
        </w:rPr>
        <w:t>terminate any FX Contracts.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Credit Party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53" w:lineRule="exact"/>
        <w:rPr>
          <w:sz w:val="20"/>
          <w:szCs w:val="20"/>
          <w:color w:val="auto"/>
        </w:rPr>
      </w:pPr>
    </w:p>
    <w:p>
      <w:pPr>
        <w:jc w:val="both"/>
        <w:ind w:firstLine="749"/>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9.2 Power of Attorney. </w:t>
      </w:r>
      <w:r>
        <w:rPr>
          <w:rFonts w:ascii="Times New Roman" w:cs="Times New Roman" w:eastAsia="Times New Roman" w:hAnsi="Times New Roman"/>
          <w:sz w:val="18"/>
          <w:szCs w:val="18"/>
          <w:color w:val="auto"/>
        </w:rPr>
        <w:t>Credit Party hereby irrevocably appoints Collateral Agent as its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 exercisable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and during the continuance of an Event of Default, to: (a) endorse Credit Party’s or any of its Subsidiaries’ name on any checks or other forms of payment or security; (b) sign Credit Party’s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Credit Party’s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Credit Party hereby appoints Collateral Agent as its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to sign Credit Party’s or any of its Subsidiaries’ name on any documents necessary to perfect or continue the perfection of Collateral Agent’s security interest in the Collateral regardless of whether an Event of Default has occurred until all Obligations (other than inchoate indemnity obligations and any other obligations which, by their terms, are to survive the termination of this Agreement) have been satisfied in full and Collateral Agent and the Lenders are under no further obligation to make Credit Extensions hereunder. Collateral Agent’s foregoing appointment as Credit Party’s or any of its Subsidiaries’ attorney in fact, and all of Collateral Agent’s rights and powers, coupled with an interest, are irrevocable until all Obligations (other than inchoate indemnity obligations and any other obligations which, by their terms, are to survive the termination of this Agreement) have been fully repaid and performed and Collateral Agent’s and the Lenders’ obligation to provide Credit Extensions terminates.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Credit Party or any of its Subsidiaries fail to obtain the insurance called for by Section 6.5 or fails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thereon or fails to pay any other amount which Credit Party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Credit Party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9.4 Application of Payments and Proceeds. </w:t>
      </w:r>
      <w:r>
        <w:rPr>
          <w:rFonts w:ascii="Times New Roman" w:cs="Times New Roman" w:eastAsia="Times New Roman" w:hAnsi="Times New Roman"/>
          <w:sz w:val="18"/>
          <w:szCs w:val="18"/>
          <w:color w:val="auto"/>
        </w:rPr>
        <w:t>Notwithstanding anything to the contrary contained in this Agreement,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(a) Credit Party irrevocably waives the right to direct the application of any and all payments at any time or times thereafter received by Collateral Agent from or on behalf of Credit Party or any of its Subsidiaries of all or any part of the Obligations, and, as between Credit Party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both"/>
        <w:spacing w:after="0" w:line="241" w:lineRule="auto"/>
        <w:rPr>
          <w:sz w:val="20"/>
          <w:szCs w:val="20"/>
          <w:color w:val="auto"/>
        </w:rPr>
      </w:pPr>
      <w:r>
        <w:rPr>
          <w:rFonts w:ascii="Times New Roman" w:cs="Times New Roman" w:eastAsia="Times New Roman" w:hAnsi="Times New Roman"/>
          <w:sz w:val="18"/>
          <w:szCs w:val="18"/>
          <w:color w:val="auto"/>
        </w:rPr>
        <w:t>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Credit Party owing to Collateral Agent or any Lender under the Loan Documents. Any balance remaining shall be delivered to Credit Party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Credit Party.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9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9.5 Liability for Collateral. </w:t>
      </w:r>
      <w:r>
        <w:rPr>
          <w:rFonts w:ascii="Times New Roman" w:cs="Times New Roman" w:eastAsia="Times New Roman" w:hAnsi="Times New Roman"/>
          <w:sz w:val="18"/>
          <w:szCs w:val="18"/>
          <w:color w:val="auto"/>
        </w:rPr>
        <w:t>So long as Collateral Agent and the Lenders comply with reasonable banking practices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Credit Party bears all risk of loss, damage or destruction of the Collateral.</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Credit Party waives, to the fullest extent permitted by law, demand, notice of default or dishonor, notice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nonpayment, notice of any default, nonpayment at maturity, release, compromise, settlement, extension, or renewal of accounts, documents, instruments, chattel paper, and guarantees held by Collateral Agent or any Lender on which Credit Party or any Subsidiary is liable.</w:t>
      </w:r>
    </w:p>
    <w:p>
      <w:pPr>
        <w:spacing w:after="0" w:line="164"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both"/>
        <w:spacing w:after="0" w:line="221" w:lineRule="exact"/>
        <w:rPr>
          <w:sz w:val="20"/>
          <w:szCs w:val="20"/>
          <w:color w:val="auto"/>
        </w:rPr>
      </w:pPr>
      <w:r>
        <w:rPr>
          <w:rFonts w:ascii="Times New Roman" w:cs="Times New Roman" w:eastAsia="Times New Roman" w:hAnsi="Times New Roman"/>
          <w:sz w:val="18"/>
          <w:szCs w:val="18"/>
          <w:color w:val="auto"/>
        </w:rPr>
        <w:t>deposit with a reputable overnight courier with all charges prepaid; or (d) when delivered, if hand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delivered by messenger, all of which shall be addressed to the party to be notified and sent to the address, facsimile number, or email address indicated below. Any of Collateral Agent, Lender or Credit Party may change its mailing address, facsimile number, or email address by giving the other party written notice thereof in accordance with the terms of this Section 10.</w:t>
      </w:r>
    </w:p>
    <w:p>
      <w:pPr>
        <w:sectPr>
          <w:pgSz w:w="11900" w:h="16838" w:orient="portrait"/>
          <w:cols w:equalWidth="0" w:num="1">
            <w:col w:w="11240"/>
          </w:cols>
          <w:pgMar w:left="320" w:top="295" w:right="339" w:bottom="1440" w:gutter="0" w:footer="0" w:header="0"/>
        </w:sectPr>
      </w:pP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Credit Party: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ALX ONCOLOGY HOLDINGS INC.</w:t>
      </w:r>
    </w:p>
    <w:p>
      <w:pPr>
        <w:spacing w:after="0" w:line="234"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20" w:lineRule="auto"/>
        <w:rPr>
          <w:sz w:val="20"/>
          <w:szCs w:val="20"/>
          <w:color w:val="auto"/>
        </w:rPr>
      </w:pPr>
      <w:r>
        <w:rPr>
          <w:rFonts w:ascii="Times New Roman" w:cs="Times New Roman" w:eastAsia="Times New Roman" w:hAnsi="Times New Roman"/>
          <w:sz w:val="18"/>
          <w:szCs w:val="18"/>
          <w:color w:val="auto"/>
        </w:rPr>
        <w:t>Attn: [***]</w:t>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380" w:space="720"/>
            <w:col w:w="7140"/>
          </w:cols>
          <w:pgMar w:left="320" w:top="295" w:right="339" w:bottom="1440" w:gutter="0" w:footer="0" w:header="0"/>
          <w:type w:val="continuous"/>
        </w:sectPr>
      </w:pPr>
    </w:p>
    <w:p>
      <w:pPr>
        <w:spacing w:after="0" w:line="46" w:lineRule="exact"/>
        <w:rPr>
          <w:sz w:val="20"/>
          <w:szCs w:val="20"/>
          <w:color w:val="auto"/>
        </w:rPr>
      </w:pPr>
    </w:p>
    <w:p>
      <w:pPr>
        <w:ind w:left="1500"/>
        <w:spacing w:after="0" w:line="250" w:lineRule="auto"/>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234"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20" w:lineRule="auto"/>
        <w:rPr>
          <w:sz w:val="20"/>
          <w:szCs w:val="20"/>
          <w:color w:val="auto"/>
        </w:rPr>
      </w:pPr>
      <w:r>
        <w:rPr>
          <w:rFonts w:ascii="Times New Roman" w:cs="Times New Roman" w:eastAsia="Times New Roman" w:hAnsi="Times New Roman"/>
          <w:sz w:val="18"/>
          <w:szCs w:val="18"/>
          <w:color w:val="auto"/>
        </w:rPr>
        <w:t>Attn: [***]</w:t>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540" w:space="560"/>
            <w:col w:w="7140"/>
          </w:cols>
          <w:pgMar w:left="320" w:top="295" w:right="339" w:bottom="1440" w:gutter="0" w:footer="0" w:header="0"/>
          <w:type w:val="continuous"/>
        </w:sectPr>
      </w:pPr>
    </w:p>
    <w:p>
      <w:pPr>
        <w:spacing w:after="0" w:line="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Collateral Agent: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21"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16" w:lineRule="auto"/>
        <w:rPr>
          <w:sz w:val="20"/>
          <w:szCs w:val="20"/>
          <w:color w:val="auto"/>
        </w:rPr>
      </w:pPr>
      <w:r>
        <w:rPr>
          <w:rFonts w:ascii="Times New Roman" w:cs="Times New Roman" w:eastAsia="Times New Roman" w:hAnsi="Times New Roman"/>
          <w:sz w:val="17"/>
          <w:szCs w:val="17"/>
          <w:color w:val="auto"/>
        </w:rPr>
        <w:t>Attention: Legal Department</w:t>
      </w:r>
    </w:p>
    <w:p>
      <w:pPr>
        <w:spacing w:after="0" w:line="219" w:lineRule="auto"/>
        <w:rPr>
          <w:sz w:val="20"/>
          <w:szCs w:val="20"/>
          <w:color w:val="auto"/>
        </w:rPr>
      </w:pPr>
      <w:r>
        <w:rPr>
          <w:rFonts w:ascii="Times New Roman" w:cs="Times New Roman" w:eastAsia="Times New Roman" w:hAnsi="Times New Roman"/>
          <w:sz w:val="18"/>
          <w:szCs w:val="18"/>
          <w:color w:val="auto"/>
        </w:rPr>
        <w:t>Fax: [***]</w:t>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92" w:lineRule="exact"/>
        <w:rPr>
          <w:sz w:val="20"/>
          <w:szCs w:val="20"/>
          <w:color w:val="auto"/>
        </w:rPr>
      </w:pPr>
    </w:p>
    <w:p>
      <w:pPr>
        <w:sectPr>
          <w:pgSz w:w="11900" w:h="16838" w:orient="portrait"/>
          <w:cols w:equalWidth="0" w:num="2">
            <w:col w:w="3380" w:space="720"/>
            <w:col w:w="7140"/>
          </w:cols>
          <w:pgMar w:left="320" w:top="295"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OXFORD FINANCE CREDIT FUND II LP</w:t>
      </w:r>
    </w:p>
    <w:p>
      <w:pPr>
        <w:spacing w:after="0" w:line="234" w:lineRule="auto"/>
        <w:rPr>
          <w:sz w:val="20"/>
          <w:szCs w:val="20"/>
          <w:color w:val="auto"/>
        </w:rPr>
      </w:pPr>
      <w:r>
        <w:rPr>
          <w:rFonts w:ascii="Times New Roman" w:cs="Times New Roman" w:eastAsia="Times New Roman" w:hAnsi="Times New Roman"/>
          <w:sz w:val="17"/>
          <w:szCs w:val="17"/>
          <w:color w:val="auto"/>
        </w:rPr>
        <w:t>c/o Oxford Finance Advisors, LLC, its manager</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04"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Attention: Legal Department</w:t>
      </w:r>
    </w:p>
    <w:p>
      <w:pPr>
        <w:spacing w:after="0" w:line="219" w:lineRule="auto"/>
        <w:rPr>
          <w:sz w:val="20"/>
          <w:szCs w:val="20"/>
          <w:color w:val="auto"/>
        </w:rPr>
      </w:pPr>
      <w:r>
        <w:rPr>
          <w:rFonts w:ascii="Times New Roman" w:cs="Times New Roman" w:eastAsia="Times New Roman" w:hAnsi="Times New Roman"/>
          <w:sz w:val="18"/>
          <w:szCs w:val="18"/>
          <w:color w:val="auto"/>
        </w:rPr>
        <w:t>Fax: [***]</w:t>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92" w:lineRule="exact"/>
        <w:rPr>
          <w:sz w:val="20"/>
          <w:szCs w:val="20"/>
          <w:color w:val="auto"/>
        </w:rPr>
      </w:pPr>
    </w:p>
    <w:p>
      <w:pPr>
        <w:sectPr>
          <w:pgSz w:w="11900" w:h="16838" w:orient="portrait"/>
          <w:cols w:equalWidth="0" w:num="2">
            <w:col w:w="3380" w:space="720"/>
            <w:col w:w="7140"/>
          </w:cols>
          <w:pgMar w:left="320" w:top="295"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SILICON VALLEY BANK</w:t>
      </w:r>
    </w:p>
    <w:p>
      <w:pPr>
        <w:spacing w:after="0" w:line="234"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20" w:lineRule="auto"/>
        <w:rPr>
          <w:sz w:val="20"/>
          <w:szCs w:val="20"/>
          <w:color w:val="auto"/>
        </w:rPr>
      </w:pPr>
      <w:r>
        <w:rPr>
          <w:rFonts w:ascii="Times New Roman" w:cs="Times New Roman" w:eastAsia="Times New Roman" w:hAnsi="Times New Roman"/>
          <w:sz w:val="18"/>
          <w:szCs w:val="18"/>
          <w:color w:val="auto"/>
        </w:rPr>
        <w:t>Attn: [***]</w:t>
      </w: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380" w:space="720"/>
            <w:col w:w="7140"/>
          </w:cols>
          <w:pgMar w:left="320" w:top="295" w:right="339" w:bottom="1440" w:gutter="0" w:footer="0" w:header="0"/>
          <w:type w:val="continuous"/>
        </w:sectPr>
      </w:pPr>
    </w:p>
    <w:p>
      <w:pPr>
        <w:spacing w:after="0" w:line="5" w:lineRule="exact"/>
        <w:rPr>
          <w:sz w:val="20"/>
          <w:szCs w:val="20"/>
          <w:color w:val="auto"/>
        </w:rPr>
      </w:pPr>
    </w:p>
    <w:p>
      <w:pPr>
        <w:ind w:left="1500"/>
        <w:spacing w:after="0" w:line="250" w:lineRule="auto"/>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DLA PIPER LLP (US)</w:t>
      </w:r>
    </w:p>
    <w:p>
      <w:pPr>
        <w:spacing w:after="0" w:line="234" w:lineRule="auto"/>
        <w:rPr>
          <w:sz w:val="20"/>
          <w:szCs w:val="20"/>
          <w:color w:val="auto"/>
        </w:rPr>
      </w:pPr>
      <w:r>
        <w:rPr>
          <w:rFonts w:ascii="Times New Roman" w:cs="Times New Roman" w:eastAsia="Times New Roman" w:hAnsi="Times New Roman"/>
          <w:sz w:val="18"/>
          <w:szCs w:val="18"/>
          <w:color w:val="auto"/>
        </w:rPr>
        <w:t>[***]</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20" w:lineRule="auto"/>
        <w:rPr>
          <w:sz w:val="20"/>
          <w:szCs w:val="20"/>
          <w:color w:val="auto"/>
        </w:rPr>
      </w:pPr>
      <w:r>
        <w:rPr>
          <w:rFonts w:ascii="Times New Roman" w:cs="Times New Roman" w:eastAsia="Times New Roman" w:hAnsi="Times New Roman"/>
          <w:sz w:val="18"/>
          <w:szCs w:val="18"/>
          <w:color w:val="auto"/>
        </w:rPr>
        <w:t>Attention: [***]</w:t>
      </w:r>
    </w:p>
    <w:p>
      <w:pPr>
        <w:spacing w:after="0" w:line="203" w:lineRule="auto"/>
        <w:rPr>
          <w:sz w:val="20"/>
          <w:szCs w:val="20"/>
          <w:color w:val="auto"/>
        </w:rPr>
      </w:pPr>
      <w:r>
        <w:rPr>
          <w:rFonts w:ascii="Times New Roman" w:cs="Times New Roman" w:eastAsia="Times New Roman" w:hAnsi="Times New Roman"/>
          <w:sz w:val="18"/>
          <w:szCs w:val="18"/>
          <w:color w:val="auto"/>
        </w:rPr>
        <w:t>Fax: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540" w:space="560"/>
            <w:col w:w="7140"/>
          </w:cols>
          <w:pgMar w:left="320" w:top="295" w:right="339" w:bottom="1440" w:gutter="0" w:footer="0" w:header="0"/>
          <w:type w:val="continuous"/>
        </w:sectPr>
      </w:pPr>
    </w:p>
    <w:p>
      <w:pPr>
        <w:spacing w:after="0" w:line="217"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 AND JUDICIAL REFERENCE</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California law governs the Loan Documents without regard to principles of conflicts of law. Credit Party,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28" w:name="page29"/>
    <w:bookmarkEnd w:id="28"/>
    <w:p>
      <w:pPr>
        <w:jc w:val="both"/>
        <w:spacing w:after="0" w:line="246" w:lineRule="auto"/>
        <w:rPr>
          <w:sz w:val="20"/>
          <w:szCs w:val="20"/>
          <w:color w:val="auto"/>
        </w:rPr>
      </w:pPr>
      <w:r>
        <w:rPr>
          <w:rFonts w:ascii="Times New Roman" w:cs="Times New Roman" w:eastAsia="Times New Roman" w:hAnsi="Times New Roman"/>
          <w:sz w:val="18"/>
          <w:szCs w:val="18"/>
          <w:color w:val="auto"/>
        </w:rPr>
        <w:t>the Collateral or any other security for the Obligations, or to enforce a judgment or other court order in favor of Collateral Agent or any Lender. Credit Party expressly submits and consents in advance to such jurisdiction in any action or suit commenced in any such court, and Credit Party hereby waives any objection that it may have based upon lack of personal jurisdiction, improper venue, or forum non conveniens and hereby consents to the granting of such legal or equitable relief as is deemed appropriate by such court. Credit Party hereby waives personal service of the summons, complaints, and other process issued in such action or suit and agrees that service of such summons, complaints, and other process may be made by registered or certified mail addressed to Credit Party at the address set forth in, or subsequently provided by Credit Party in accordance with, Section 10 of this Agreement and that service so made shall be deemed completed upon the earlier to occur of Credit Party’s actual receipt thereof or three (3) days after deposit in the U.S. mails, proper postage prepaid.</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CREDIT PARTY,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help remedies, foreclose against collateral, or obtain provisional remedies. The private judge shall also determine all issues relating to the applicability, interpretation, and enforceability of this paragraph.</w:t>
      </w:r>
    </w:p>
    <w:p>
      <w:pPr>
        <w:spacing w:after="0" w:line="181"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12.1 Successors and Assigns. </w:t>
      </w:r>
      <w:r>
        <w:rPr>
          <w:rFonts w:ascii="Times New Roman" w:cs="Times New Roman" w:eastAsia="Times New Roman" w:hAnsi="Times New Roman"/>
          <w:sz w:val="18"/>
          <w:szCs w:val="18"/>
          <w:color w:val="auto"/>
        </w:rPr>
        <w:t>This Agreement binds and is for the benefit of the successors and permitted assigns of each party. Credit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not transfer, pledge, charge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Credit Party, to sell, transfer, assign, pledge, charge, negotiate, or grant participation in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such sale, transfer, assignment, negotiation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all or any part of, or any interest in, the Lenders’ obligations, rights, and benefits under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Credit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both"/>
        <w:spacing w:after="0" w:line="241" w:lineRule="auto"/>
        <w:rPr>
          <w:sz w:val="20"/>
          <w:szCs w:val="20"/>
          <w:color w:val="auto"/>
        </w:rPr>
      </w:pPr>
      <w:r>
        <w:rPr>
          <w:rFonts w:ascii="Times New Roman" w:cs="Times New Roman" w:eastAsia="Times New Roman" w:hAnsi="Times New Roman"/>
          <w:sz w:val="18"/>
          <w:szCs w:val="18"/>
          <w:color w:val="auto"/>
        </w:rPr>
        <w:t>Party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(a) assignments by a Lender due to a forced divestiture at the request of any regulatory agency; or (b) upon the occurrence of a default, event of default or similar occurrence with respect to a Lender’s own financing or securitization transactions) shall be permitted, without Credit Party’s consent, to any Person which is an Affiliate or Subsidiary of Credit Party, a direct competitor of Credit Party or a vulture hedge fund, each as determined by Collateral Agent. Collateral Agent, acting as a non-fiduciary agent of Borrower (solely for tax purposes), shall maintain (a) a copy (or electronic equivalent) of the documentation for each Lender Transfer delivered to it, and (b) a register for recordation of the names, addresses, Term Loan Commitments of and Obligations owing to, each Lender. Entries in the register shall be conclusive, absent manifest error, and Borrower, Collateral Agent and Lenders shall treat each Person recorded in such register as a Lender for all purposes under the Loan Documents, notwithstanding any notice to the contrary. The register shall be available for inspection by Borrower or any Lender, from time to time upon reasonable notice. Each Lender that sells a participation shall, acting as a non-fiduciary agent of Borrower (solely for tax purposes), maintain a register in which it enters the participant’s name, address and interest in Term Loan Commitments and Obligations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Entries in the Participant Register shall be conclusive, absent manifest error, and such Lender shall treat each Person recorded in the register as the owner of the participation for all purposes, notwithstanding any notice to the contrary. No Lender shall have an obligation to disclose any information in such Participant Register, except to the extent necessary to establish that a participant’s interest is in registered form under the U.S. Internal Revenue Code and Section 5f.103-1(c) of the U.S. Treasury Regulations. Collateral Agent (in its capacity as Collateral Agent) shall have no responsibility for maintaining a Participant Register.</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12.2 Indemnification. </w:t>
      </w:r>
      <w:r>
        <w:rPr>
          <w:rFonts w:ascii="Times New Roman" w:cs="Times New Roman" w:eastAsia="Times New Roman" w:hAnsi="Times New Roman"/>
          <w:sz w:val="18"/>
          <w:szCs w:val="18"/>
          <w:color w:val="auto"/>
        </w:rPr>
        <w:t>Credit Party agrees to indemnify, defend and hold Collateral Agent and the Lenders and their respective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employees,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Credit Party (including reasonable and documented attorneys’ fees and expenses), except for Claims and/or losses directly caused by such Indemnified Person’s gross negligence or willful misconduct. Credit Party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Credit Party, and the reasonable and documented out-of-pocket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This Section 12.2 shall not apply with respect to taxes, other than taxes that represent claims, damages, losses or liability arising from any non-tax claim.</w:t>
      </w:r>
    </w:p>
    <w:p>
      <w:pPr>
        <w:spacing w:after="0" w:line="206"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12.3</w:t>
        <w:tab/>
        <w:t xml:space="preserve">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12.4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w:t>
      </w:r>
    </w:p>
    <w:p>
      <w:pPr>
        <w:spacing w:after="0" w:line="1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12.5 Correction of Loan Documents. </w:t>
      </w:r>
      <w:r>
        <w:rPr>
          <w:rFonts w:ascii="Times New Roman" w:cs="Times New Roman" w:eastAsia="Times New Roman" w:hAnsi="Times New Roman"/>
          <w:sz w:val="18"/>
          <w:szCs w:val="18"/>
          <w:color w:val="auto"/>
        </w:rPr>
        <w:t>Collateral Agent and the Lenders may correct patent errors and fill in any blanks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Loan Documents consistent with the agreement of the parties so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long as Collateral Agent and Lenders provide Borrower with written notice of such correction and allow Borrower at least ten (10) days to object to such correction. In the event of such objection, such correction shall not be made except by an amendment signed by Borrower, Collateral Agent and the requisite Lenders in accordance with Section 12.6 hereof.</w:t>
      </w:r>
    </w:p>
    <w:p>
      <w:pPr>
        <w:spacing w:after="0" w:line="16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12.6 Amendments in Writing; Integration. </w:t>
      </w:r>
      <w:r>
        <w:rPr>
          <w:rFonts w:ascii="Times New Roman" w:cs="Times New Roman" w:eastAsia="Times New Roman" w:hAnsi="Times New Roman"/>
          <w:sz w:val="18"/>
          <w:szCs w:val="18"/>
          <w:color w:val="auto"/>
        </w:rPr>
        <w:t>(a) No amendment, modification, termination or waiver of any provision of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Loan Document, no approval or consent thereunder, or any consent to any departure by Credit Party or any of its Subsidiaries therefrom, shall in any event be effective unless the same shall be in writing and signed by Credit Party, Collateral Agent and the Required Lenders provided that:</w:t>
      </w:r>
    </w:p>
    <w:p>
      <w:pPr>
        <w:spacing w:after="0" w:line="168"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18"/>
          <w:szCs w:val="18"/>
          <w:color w:val="auto"/>
        </w:rPr>
        <w:t>(i) no such amendment, waiver or other modification that would have the effect of increasing or reducing a Lender’s Term Loan Commitment or Commitment Percentage shall be effective as to such Lender without such Lender’s written consent;</w:t>
      </w:r>
    </w:p>
    <w:p>
      <w:pPr>
        <w:spacing w:after="0" w:line="148" w:lineRule="exact"/>
        <w:rPr>
          <w:sz w:val="20"/>
          <w:szCs w:val="20"/>
          <w:color w:val="auto"/>
        </w:rPr>
      </w:pPr>
    </w:p>
    <w:p>
      <w:pPr>
        <w:ind w:right="20" w:firstLine="2246"/>
        <w:spacing w:after="0" w:line="266" w:lineRule="auto"/>
        <w:rPr>
          <w:sz w:val="20"/>
          <w:szCs w:val="20"/>
          <w:color w:val="auto"/>
        </w:rPr>
      </w:pPr>
      <w:r>
        <w:rPr>
          <w:rFonts w:ascii="Times New Roman" w:cs="Times New Roman" w:eastAsia="Times New Roman" w:hAnsi="Times New Roman"/>
          <w:sz w:val="18"/>
          <w:szCs w:val="18"/>
          <w:color w:val="auto"/>
        </w:rPr>
        <w:t>(ii) no such amendment, waiver or modification that would affect the rights and duties of Collateral Agent shall be effective without Collateral Agent’s written consent or signature;</w:t>
      </w:r>
    </w:p>
    <w:p>
      <w:pPr>
        <w:sectPr>
          <w:pgSz w:w="11900" w:h="16838" w:orient="portrait"/>
          <w:cols w:equalWidth="0" w:num="1">
            <w:col w:w="11240"/>
          </w:cols>
          <w:pgMar w:left="320" w:top="324" w:right="339" w:bottom="1440" w:gutter="0" w:footer="0" w:header="0"/>
        </w:sectPr>
      </w:pP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amendment, waiver or other modification shall, unless signed by all the Lenders</w:t>
      </w:r>
    </w:p>
    <w:p>
      <w:pPr>
        <w:spacing w:after="0" w:line="27" w:lineRule="exact"/>
        <w:rPr>
          <w:sz w:val="20"/>
          <w:szCs w:val="20"/>
          <w:color w:val="auto"/>
        </w:rPr>
      </w:pPr>
    </w:p>
    <w:p>
      <w:pPr>
        <w:sectPr>
          <w:pgSz w:w="11900" w:h="16838" w:orient="portrait"/>
          <w:cols w:equalWidth="0" w:num="2">
            <w:col w:w="3780" w:space="720"/>
            <w:col w:w="6740"/>
          </w:cols>
          <w:pgMar w:left="320" w:top="324" w:right="339" w:bottom="1440" w:gutter="0" w:footer="0" w:header="0"/>
          <w:type w:val="continuous"/>
        </w:sectPr>
      </w:pPr>
    </w:p>
    <w:p>
      <w:pPr>
        <w:jc w:val="both"/>
        <w:spacing w:after="0" w:line="239" w:lineRule="auto"/>
        <w:rPr>
          <w:sz w:val="20"/>
          <w:szCs w:val="20"/>
          <w:color w:val="auto"/>
        </w:rPr>
      </w:pPr>
      <w:r>
        <w:rPr>
          <w:rFonts w:ascii="Times New Roman" w:cs="Times New Roman" w:eastAsia="Times New Roman" w:hAnsi="Times New Roman"/>
          <w:sz w:val="18"/>
          <w:szCs w:val="18"/>
          <w:color w:val="auto"/>
        </w:rPr>
        <w:t>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or the percentage of Lenders which shall be required for the Lenders to take any action hereunder; (D) release all or substantially all of any material portion of the Collateral, authorize Credit Party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Credit Party of any of its rights and obligations under any Loan Document or release Credit Party of its payment obligations under any Loan Document, except, in each case with respect to this clause (F), pursuant to a merger or consolidation permitted pursuant to this Agreement;</w:t>
      </w:r>
    </w:p>
    <w:p>
      <w:pPr>
        <w:spacing w:after="0" w:line="2" w:lineRule="exact"/>
        <w:rPr>
          <w:sz w:val="20"/>
          <w:szCs w:val="20"/>
          <w:color w:val="auto"/>
        </w:rPr>
      </w:pPr>
    </w:p>
    <w:p>
      <w:pPr>
        <w:jc w:val="both"/>
        <w:ind w:firstLine="8"/>
        <w:spacing w:after="0"/>
        <w:tabs>
          <w:tab w:leader="none" w:pos="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201"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18"/>
          <w:szCs w:val="18"/>
          <w:color w:val="auto"/>
        </w:rPr>
        <w:t>(iv) 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62" w:lineRule="exact"/>
        <w:rPr>
          <w:sz w:val="20"/>
          <w:szCs w:val="20"/>
          <w:color w:val="auto"/>
        </w:rPr>
      </w:pPr>
    </w:p>
    <w:p>
      <w:pPr>
        <w:ind w:firstLine="1505"/>
        <w:spacing w:after="0" w:line="232" w:lineRule="exact"/>
        <w:tabs>
          <w:tab w:leader="none" w:pos="29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provided for in Section 12.6(a)(i)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(iii), Collateral Agent may, if requested by the Required Lenders, from time to time designate covenants in this Agreement less restrictive by notification to a representative of Credit Party.</w:t>
      </w:r>
    </w:p>
    <w:p>
      <w:pPr>
        <w:spacing w:after="0" w:line="18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31" w:name="page32"/>
    <w:bookmarkEnd w:id="31"/>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12.7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when executed and delivered, is an original, and all taken together, constitute one Agreement.</w:t>
      </w:r>
    </w:p>
    <w:p>
      <w:pPr>
        <w:spacing w:after="0" w:line="141"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12.8 Survival. </w:t>
      </w:r>
      <w:r>
        <w:rPr>
          <w:rFonts w:ascii="Times New Roman" w:cs="Times New Roman" w:eastAsia="Times New Roman" w:hAnsi="Times New Roman"/>
          <w:sz w:val="18"/>
          <w:szCs w:val="18"/>
          <w:color w:val="auto"/>
        </w:rPr>
        <w:t>All covenants, representations and warranties made in this Agreement continue in full force and effect until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terminated pursuant to its terms and all Obligations (other than inchoate indemnity obligations and any other obligations which, by their terms, are to survive the termination of this Agreement) have been satisfied. Without limiting the foregoing, except as otherwise provided in Section 4.1, the grant of security interest by Credit Party in Section 4.1 shall survive until the termination of all Bank Services Agreements. The obligation of Credit Party in Section 12.2 to indemnify each Lender and Collateral Agent, as well as the confidentiality provisions in Section 12.9 below, shall survive until the statute of limitations with respect to such claim or cause of action shall have run.</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12.9 Confidentiality. </w:t>
      </w:r>
      <w:r>
        <w:rPr>
          <w:rFonts w:ascii="Times New Roman" w:cs="Times New Roman" w:eastAsia="Times New Roman" w:hAnsi="Times New Roman"/>
          <w:sz w:val="18"/>
          <w:szCs w:val="18"/>
          <w:color w:val="auto"/>
        </w:rPr>
        <w:t>In handling any confidential information of Credit Party, the Lenders and Collateral Agent shall exercise at least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degree of care that it exercises for their own proprietary information, but disclosure of information may be made: (a) subject to the terms and conditions of this Agreement, including this Section 12.9,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9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12.10 Public Announcement. </w:t>
      </w:r>
      <w:r>
        <w:rPr>
          <w:rFonts w:ascii="Times New Roman" w:cs="Times New Roman" w:eastAsia="Times New Roman" w:hAnsi="Times New Roman"/>
          <w:sz w:val="18"/>
          <w:szCs w:val="18"/>
          <w:color w:val="auto"/>
        </w:rPr>
        <w:t>Notwithstanding anything else herein to the contrary, at any time after Parent has publicly disclosed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Credit Party hereby agrees that Collateral Agent and each Lender may, in reasonable consultation with Parent, make a public announcement of the transactions contemplated by this Agreement, and may publicize the same on its company website, in marketing materials, newspapers and other publications, and otherwise, and in connection therewith may use Credit Party’s name, tradenames, logos, and any information related to the transactions to the extent such information is not confidential.</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12.11 Right of Set Off. </w:t>
      </w:r>
      <w:r>
        <w:rPr>
          <w:rFonts w:ascii="Times New Roman" w:cs="Times New Roman" w:eastAsia="Times New Roman" w:hAnsi="Times New Roman"/>
          <w:sz w:val="18"/>
          <w:szCs w:val="18"/>
          <w:color w:val="auto"/>
        </w:rPr>
        <w:t>Credit Party hereby grants to Collateral Agent and to each Lender, a lien, security interest and right of set off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Credit Party even though unmatured and regardless of the adequacy of any other collateral securing the Obligations.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AND ALL RIGHTS TO REQUIRE COLLATERAL AGENT TO EXERCISE ITS RIGHTS OR REMEDIES WITH RESPECT TO ANY OTHER COLLATERAL WHICH SECURES THE OBLIGATIONS, PRIOR TO EXERCISING ITS RIGHT OF SETOFF WITH RESPECT TO SUCH DEPOSITS, CREDITS OR OTHER PROPERTY OF CREDIT PARTY ARE HEREBY KNOWINGLY, VOLUNTARILY AND IRREVOCABLY WAIVED.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12.12 Silicon Valley Bank as Agent</w:t>
      </w:r>
      <w:r>
        <w:rPr>
          <w:rFonts w:ascii="Times New Roman" w:cs="Times New Roman" w:eastAsia="Times New Roman" w:hAnsi="Times New Roman"/>
          <w:sz w:val="18"/>
          <w:szCs w:val="18"/>
          <w:color w:val="auto"/>
        </w:rPr>
        <w:t>. Collateral Agent hereby appoints Silicon Valley Bank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as its agent (and SVB hereby accepts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appointment) for the purpose of perfecting Collateral Agent’s Liens in assets which, in accordance with Article 8 or Article 9, as applicable, of the Code can be perfected by possession or control, including without limitation, all deposit accounts maintained at SVB.</w:t>
      </w:r>
    </w:p>
    <w:p>
      <w:pPr>
        <w:spacing w:after="0" w:line="16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12.13 Cooperation of Credit Party. </w:t>
      </w:r>
      <w:r>
        <w:rPr>
          <w:rFonts w:ascii="Times New Roman" w:cs="Times New Roman" w:eastAsia="Times New Roman" w:hAnsi="Times New Roman"/>
          <w:sz w:val="18"/>
          <w:szCs w:val="18"/>
          <w:color w:val="auto"/>
        </w:rPr>
        <w:t>If necessary, Credit Party agrees to (i) execute any documents (including new Secured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case of Borrower) reasonably required to effectuate and acknowledge each assignment of a Term Loan Commitment or Loan to an assignee in accordance with Section 12.1, (ii) at reasonable times and upon reasonable prior notice (unless an Event of Default has occurred and is continuing), make Credit Party’s management available to meet with Collateral Agent and prospective participants and assignees of Term Loan Commitments or Credit Extensions (which meetings shall be conducted no more often than once every twelve months unless an Event of Default has occurred and is continuing), and (iii) assist Collateral Agent or the Lenders in the preparation of information relating to the financial affairs of Credit Party as any prospective participant or assignee of a Term Loan Commitment or Term Loan reasonably may request. Subject to the provisions of Section 12.9, Credit Party authorizes each Lender to disclose to any prospective participant or assignee of a Term Loan Commitment, any and all information in such Lender’s possession concerning Credit Party and its financial affairs which has been delivered to such Lender by or on behalf of Credit Party pursuant to this Agreement, or which has been delivered to such Lender by or on behalf of Credit Party in connection with such Lender’s credit evaluation of Credit Party prior to entering into this Agreement.</w:t>
      </w:r>
    </w:p>
    <w:p>
      <w:pPr>
        <w:spacing w:after="0" w:line="192" w:lineRule="exact"/>
        <w:rPr>
          <w:sz w:val="20"/>
          <w:szCs w:val="20"/>
          <w:color w:val="auto"/>
        </w:rPr>
      </w:pPr>
    </w:p>
    <w:p>
      <w:pPr>
        <w:jc w:val="both"/>
        <w:ind w:firstLine="749"/>
        <w:spacing w:after="0" w:line="208" w:lineRule="exact"/>
        <w:rPr>
          <w:sz w:val="20"/>
          <w:szCs w:val="20"/>
          <w:color w:val="auto"/>
        </w:rPr>
      </w:pPr>
      <w:r>
        <w:rPr>
          <w:rFonts w:ascii="Times New Roman" w:cs="Times New Roman" w:eastAsia="Times New Roman" w:hAnsi="Times New Roman"/>
          <w:sz w:val="18"/>
          <w:szCs w:val="18"/>
          <w:b w:val="1"/>
          <w:bCs w:val="1"/>
          <w:color w:val="auto"/>
        </w:rPr>
        <w:t>12.14 Borrower Liability</w:t>
      </w:r>
      <w:r>
        <w:rPr>
          <w:rFonts w:ascii="Times New Roman" w:cs="Times New Roman" w:eastAsia="Times New Roman" w:hAnsi="Times New Roman"/>
          <w:sz w:val="18"/>
          <w:szCs w:val="18"/>
          <w:color w:val="auto"/>
        </w:rPr>
        <w:t>. Each Borrower may, acting singly, request Credit Extensions hereunder. Each Borrower hereby appoints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193"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GUARANTY</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13.1 Guaranty</w:t>
      </w:r>
      <w:r>
        <w:rPr>
          <w:rFonts w:ascii="Times New Roman" w:cs="Times New Roman" w:eastAsia="Times New Roman" w:hAnsi="Times New Roman"/>
          <w:sz w:val="18"/>
          <w:szCs w:val="18"/>
          <w:color w:val="auto"/>
        </w:rPr>
        <w:t>. Guarantor hereby guarantees to each Lender and Collateral Agent as hereinafter provided, as primary obligor and not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the prompt payment and performance of the Obligations in full when due (whether at stated maturity, as a mandatory prepayment, by acceleration or otherwise) strictly in accordance with the terms thereof. Guarantor hereby further agrees that if any of the Obligations are not paid in full when due (whether at stated maturity, as a mandatory prepayment, by acceleration or otherwise), Guarantor will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Subject the last sentence of this Section 13.1 below, Guarantor agrees, in furtherance of the foregoing and not in limitation of any other right which Collateral Agent or any Lender may have at law or in equity against Guarantor by virtue hereof, that upon the failure of any Guaranteed Obligations to be paid when and as the same shall become due, whether at stated maturity, by required prepayment, declaration, acceleration, demand or otherwise, Guarantor will, upon demand pay, or cause to be paid, in cash, to each Lender in accordance with its respective Pro Rata Share, an amount equal to the sum of the unpaid principal amount of all Guaranteed Obligations then due as aforesaid, accrued and unpaid interest on such Guaranteed Obligations (including interest which, but for any Borrower becoming the subject of a case under the United States Bankruptcy Code (or any other bankruptcy or insolvency law of any relevant jurisdiction), would have accrued on such Guaranteed Obligations, whether or not a claim is allowed against such Borrower for such interest in the related bankruptcy case) and all other Guaranteed Obligations then owed to Collateral Agent and Lenders as aforesaid.</w:t>
      </w:r>
    </w:p>
    <w:p>
      <w:pPr>
        <w:spacing w:after="0" w:line="17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7"/>
          <w:szCs w:val="17"/>
          <w:color w:val="auto"/>
        </w:rPr>
        <w:t>Notwithstanding any provision to the contrary contained herein or in any other of the Loan Documents, the Guaranteed Obligations of Guarantor under this Agreement and the other Loan Documents shall be limited to an aggregate amount equal to the largest amount that would not render such obligations subject to avoidance under the United States Bankruptcy Code (or any other bankruptcy or insolvency law of any relevant jurisdiction),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b w:val="1"/>
          <w:bCs w:val="1"/>
          <w:color w:val="auto"/>
        </w:rPr>
        <w:t>13.2 Obligations Unconditional</w:t>
      </w:r>
      <w:r>
        <w:rPr>
          <w:rFonts w:ascii="Times New Roman" w:cs="Times New Roman" w:eastAsia="Times New Roman" w:hAnsi="Times New Roman"/>
          <w:sz w:val="18"/>
          <w:szCs w:val="18"/>
          <w:color w:val="auto"/>
        </w:rPr>
        <w:t>. The Guaranteed Obligations of Guarantor under Section 13.1 are joint and several and absolute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Section 13.2 that the obligations of Guarantor hereunder shall be absolute and unconditional under any and all circumstances. Guarantor agrees that Guarantor shall have no right of subrogation, indemnity, reimbursement or contribution against Borrower or any other Guarantor for amounts paid under this Section 13 until the Obligations (other than inchoate indemnity obligations) are repaid in full in cash. Without limiting the generality of the foregoing, it is agreed that, to the fullest extent permitted by law, the occurrence of any one or more of the following shall not alter or impair the liability of Guarantor, which shall remain joint and several and absolute and unconditional as described above:</w:t>
      </w:r>
    </w:p>
    <w:p>
      <w:pPr>
        <w:spacing w:after="0" w:line="195" w:lineRule="exact"/>
        <w:rPr>
          <w:sz w:val="20"/>
          <w:szCs w:val="20"/>
          <w:color w:val="auto"/>
        </w:rPr>
      </w:pPr>
    </w:p>
    <w:p>
      <w:pPr>
        <w:ind w:right="20" w:firstLine="1505"/>
        <w:spacing w:after="0" w:line="266" w:lineRule="auto"/>
        <w:tabs>
          <w:tab w:leader="none" w:pos="29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Guarantor, the time for any performance of or compliance with any of the Obligations shall be extended, or such performance or compliance shall be waived;</w:t>
      </w:r>
    </w:p>
    <w:p>
      <w:pPr>
        <w:spacing w:after="0" w:line="162"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any of the Loan Documents or any other agreement or instrument referred to in the Loan Documents shall be done or omitted;</w:t>
      </w:r>
    </w:p>
    <w:p>
      <w:pPr>
        <w:spacing w:after="0" w:line="175"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77"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or in favor of, Collateral Agent or any Lender or Lenders as security for any of the Obligations shall fail to attach or be perfected;</w:t>
      </w:r>
    </w:p>
    <w:p>
      <w:pPr>
        <w:spacing w:after="0" w:line="175"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Obligations shall be determined to be void or voidable (including for the benefit of any creditor of Guarantor) or shall be subordinated to the claims of any Person (including any creditor of Guarantor); or</w:t>
      </w:r>
    </w:p>
    <w:p>
      <w:pPr>
        <w:spacing w:after="0" w:line="162"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any other action or inaction shall occur that might constitute a surety defense (other than payment in full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both"/>
        <w:ind w:firstLine="749"/>
        <w:spacing w:after="0" w:line="248" w:lineRule="auto"/>
        <w:rPr>
          <w:sz w:val="20"/>
          <w:szCs w:val="20"/>
          <w:color w:val="auto"/>
        </w:rPr>
      </w:pPr>
      <w:r>
        <w:rPr>
          <w:rFonts w:ascii="Times New Roman" w:cs="Times New Roman" w:eastAsia="Times New Roman" w:hAnsi="Times New Roman"/>
          <w:sz w:val="18"/>
          <w:szCs w:val="18"/>
          <w:b w:val="1"/>
          <w:bCs w:val="1"/>
          <w:color w:val="auto"/>
        </w:rPr>
        <w:t>13.3 Reinstatement</w:t>
      </w:r>
      <w:r>
        <w:rPr>
          <w:rFonts w:ascii="Times New Roman" w:cs="Times New Roman" w:eastAsia="Times New Roman" w:hAnsi="Times New Roman"/>
          <w:sz w:val="18"/>
          <w:szCs w:val="18"/>
          <w:color w:val="auto"/>
        </w:rPr>
        <w:t>. The Guaranteed Obligations of Guarantor under this Section 13 shall be automatically reinstated if and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reason any payment by or on behalf of any Person in respect of the Obligations is rescinded or must be otherwise restored by any holder of any of the Obligations, whether as a result of any Insolvency Proceedings or otherwise, and Guarantor agrees that it will indemnify Collateral Agent and each Lender on demand for all reasonable costs and expenses (including fees and expenses of counsel) incurred by Collateral Agent or such Lender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7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13.4 Waivers</w:t>
      </w:r>
      <w:r>
        <w:rPr>
          <w:rFonts w:ascii="Times New Roman" w:cs="Times New Roman" w:eastAsia="Times New Roman" w:hAnsi="Times New Roman"/>
          <w:sz w:val="18"/>
          <w:szCs w:val="18"/>
          <w:color w:val="auto"/>
        </w:rPr>
        <w:t>. Guarantor hereby waives, to the fullest extent permitted by law, for the benefit of Collateral Agent and Lenders: (a)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require Collateral Agent or any Lender, as a condition of payment or performance by Guarantor, to (i) proceed against Borrower, any other guarantor (including Guarantor) of the Guaranteed Obligations or any other Person, (ii) proceed against or exhaust any security held from Borrower, any such other guarantor or any other Person, (iii) proceed against or have resort to any balance of any deposit account or credit on the books of Collateral Agent or any Lender in favor of Borrower or any other Person, or (iv) pursue any other remedy in the power of Collateral Agent and Lenders whatsoever; (b) any defense arising by reason of the incapacity, lack of authority or any disability or other defense of Borrower or Guarantor including any defense based on or arising out of the lack of validity or the unenforceability of the Guaranteed Obligations or any agreement or instrument relating thereto or by reason of the cessation of the liability of Borrower or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or any law, rule, regulation, or order of any jurisdiction affecting any term of the Guaranteed Obligations; (d) any defense based upon Collateral Agent's or any Lender's errors or omissions in the administration of the Guaranteed Obligations, except behavior which amounts to bad faith; (e)</w:t>
      </w:r>
    </w:p>
    <w:p>
      <w:pPr>
        <w:spacing w:after="0" w:line="8" w:lineRule="exact"/>
        <w:rPr>
          <w:sz w:val="20"/>
          <w:szCs w:val="20"/>
          <w:color w:val="auto"/>
        </w:rPr>
      </w:pPr>
    </w:p>
    <w:p>
      <w:pPr>
        <w:jc w:val="both"/>
        <w:ind w:firstLine="8"/>
        <w:spacing w:after="0" w:line="249" w:lineRule="auto"/>
        <w:tabs>
          <w:tab w:leader="none" w:pos="2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w:t>
      </w:r>
    </w:p>
    <w:p>
      <w:pPr>
        <w:spacing w:after="0" w:line="1" w:lineRule="exact"/>
        <w:rPr>
          <w:rFonts w:ascii="Times New Roman" w:cs="Times New Roman" w:eastAsia="Times New Roman" w:hAnsi="Times New Roman"/>
          <w:sz w:val="17"/>
          <w:szCs w:val="17"/>
          <w:color w:val="auto"/>
        </w:rPr>
      </w:pPr>
    </w:p>
    <w:p>
      <w:pPr>
        <w:jc w:val="both"/>
        <w:ind w:firstLine="8"/>
        <w:spacing w:after="0"/>
        <w:tabs>
          <w:tab w:leader="none" w:pos="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set offs, recoupments and counterclaims, and (iv) promptness, diligence and any requirement that Collateral Agent and Lenders protect, secure, perfect or insure any security interest or Lien or any property subject thereto; (f) notices, demands, presentments, protests, notices of protest, notices of dishonor and notices of any action or inaction, including acceptance hereof, notices of default under any Loan Document, notices of any renewal, extension or modification of the Guaranteed Obligations or any agreement related thereto, notices of any extension of credit to Borrower and notices of any of the matters referred to in Section 13.2 and any right to consent to any thereof; and (g) any defenses or benefits that may be derived from or afforded by law which limit the liability of or exonerate guarantors or sureties, or which may conflict with the terms hereof (other than payment in full of the Obligations). Guarantor agrees that Guarantor shall have no right of recourse to security for the Obligations, except through the exercise of rights of subrogation to the extent permitted by Section 13.2.</w:t>
      </w:r>
    </w:p>
    <w:p>
      <w:pPr>
        <w:spacing w:after="0" w:line="19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b w:val="1"/>
          <w:bCs w:val="1"/>
          <w:color w:val="auto"/>
        </w:rPr>
        <w:t>13.5 Remedies</w:t>
      </w:r>
      <w:r>
        <w:rPr>
          <w:rFonts w:ascii="Times New Roman" w:cs="Times New Roman" w:eastAsia="Times New Roman" w:hAnsi="Times New Roman"/>
          <w:sz w:val="18"/>
          <w:szCs w:val="18"/>
          <w:color w:val="auto"/>
        </w:rPr>
        <w:t>. Guarantor agrees that, to the fullest extent permitted by law, as between Guarantor, on the one hand, and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Lenders, on the other hand, the Obligations may be declared to be forthwith due and payable as provided in Section 8 as against any other Person and that, in the event of such declaration (or the Obligations being deemed to have become automatically due and payable), the Obligations (whether or not due and payable by any other Person) shall forthwith become due and payable by Guarantor for purposes of Section 13.1. Guarantor acknowledges and agrees that its Guaranteed Obligations hereunder are secured in accordance with the terms of the Loan Documents and that Collateral Agent and Lenders may exercise their remedies thereunder in accordance with the terms thereof.</w:t>
      </w:r>
    </w:p>
    <w:p>
      <w:pPr>
        <w:spacing w:after="0" w:line="190"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13.6 Guarantee of Payment; Continuing Guarantee</w:t>
      </w:r>
      <w:r>
        <w:rPr>
          <w:rFonts w:ascii="Times New Roman" w:cs="Times New Roman" w:eastAsia="Times New Roman" w:hAnsi="Times New Roman"/>
          <w:sz w:val="18"/>
          <w:szCs w:val="18"/>
          <w:color w:val="auto"/>
        </w:rPr>
        <w:t>. The guarantee in this Section 13 is an absolute and unconditional guaranty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and not of collection, is a continuing and irrevocable guarantee, and shall apply to all Obligations whenever arising.</w:t>
      </w:r>
    </w:p>
    <w:p>
      <w:pPr>
        <w:spacing w:after="0" w:line="1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13.7 Subordination of Other Obligations</w:t>
      </w:r>
      <w:r>
        <w:rPr>
          <w:rFonts w:ascii="Times New Roman" w:cs="Times New Roman" w:eastAsia="Times New Roman" w:hAnsi="Times New Roman"/>
          <w:sz w:val="18"/>
          <w:szCs w:val="18"/>
          <w:color w:val="auto"/>
        </w:rPr>
        <w:t>. Any Indebtedness (including any right of subrogation or contribution) of Borrower or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owing to any Guarantor (the “</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benefit of Lenders and shall forthwith be paid over to each Lender in accordance with its respective Pro Rata Share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to be credited and applied against the Guaranteed Obligations but without affecting, impairing or limiting in any manner the liability of the Obligee Guarantor under any other provision hereof.</w:t>
      </w:r>
    </w:p>
    <w:p>
      <w:pPr>
        <w:spacing w:after="0" w:line="144"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1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14.1   Definitions. </w:t>
      </w: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1-Month CME Term SOFR</w:t>
      </w:r>
      <w:r>
        <w:rPr>
          <w:rFonts w:ascii="Times New Roman" w:cs="Times New Roman" w:eastAsia="Times New Roman" w:hAnsi="Times New Roman"/>
          <w:sz w:val="18"/>
          <w:szCs w:val="18"/>
          <w:color w:val="auto"/>
        </w:rPr>
        <w:t>” is the 1-month CME Term SOFR reference rate as published by the CME Term SOFR Administrator on the CME Term SOFR Administrator’s Website.</w:t>
      </w:r>
    </w:p>
    <w:p>
      <w:pPr>
        <w:spacing w:after="0" w:line="15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any “account” as defined in the Code with such additions to such term as may hereafter be made, and includes, without limitation, all accounts receivable and other sums owing to Credit Party.</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B Loan Commitment Amount</w:t>
      </w:r>
      <w:r>
        <w:rPr>
          <w:rFonts w:ascii="Times New Roman" w:cs="Times New Roman" w:eastAsia="Times New Roman" w:hAnsi="Times New Roman"/>
          <w:sz w:val="18"/>
          <w:szCs w:val="18"/>
          <w:color w:val="auto"/>
        </w:rPr>
        <w:t>” is defined in Section 2.2(a)(i) hereof.</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C Loan Commitment Amount</w:t>
      </w:r>
      <w:r>
        <w:rPr>
          <w:rFonts w:ascii="Times New Roman" w:cs="Times New Roman" w:eastAsia="Times New Roman" w:hAnsi="Times New Roman"/>
          <w:sz w:val="18"/>
          <w:szCs w:val="18"/>
          <w:color w:val="auto"/>
        </w:rPr>
        <w:t>” is defined in Section 2.2(a)(i) hereof.</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Alexandria Real Estate</w:t>
      </w:r>
      <w:r>
        <w:rPr>
          <w:rFonts w:ascii="Times New Roman" w:cs="Times New Roman" w:eastAsia="Times New Roman" w:hAnsi="Times New Roman"/>
          <w:sz w:val="18"/>
          <w:szCs w:val="18"/>
          <w:color w:val="auto"/>
        </w:rPr>
        <w:t>” means ARE-SAN FRANCISCO NO. 18, LLC, a Delaware limited liability company.</w:t>
      </w:r>
    </w:p>
    <w:p>
      <w:pPr>
        <w:spacing w:after="0" w:line="212"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ALX Ireland</w:t>
      </w:r>
      <w:r>
        <w:rPr>
          <w:rFonts w:ascii="Times New Roman" w:cs="Times New Roman" w:eastAsia="Times New Roman" w:hAnsi="Times New Roman"/>
          <w:sz w:val="18"/>
          <w:szCs w:val="18"/>
          <w:color w:val="auto"/>
        </w:rPr>
        <w:t>” is ALX Oncology Limited, a private company limited by shares incorporated under the laws of Ireland with company registration number 58988 and a wholly-owned Subsidiary of Parent.</w:t>
      </w:r>
    </w:p>
    <w:p>
      <w:pPr>
        <w:spacing w:after="0" w:line="14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ALX Malta</w:t>
      </w:r>
      <w:r>
        <w:rPr>
          <w:rFonts w:ascii="Times New Roman" w:cs="Times New Roman" w:eastAsia="Times New Roman" w:hAnsi="Times New Roman"/>
          <w:sz w:val="18"/>
          <w:szCs w:val="18"/>
          <w:color w:val="auto"/>
        </w:rPr>
        <w:t>” is Alexo International Holdings Limited, a limited liability private exempt company formed under the laws of Malta and a wholly-owned Subsidiary of ALX Ireland.</w:t>
      </w:r>
    </w:p>
    <w:p>
      <w:pPr>
        <w:spacing w:after="0" w:line="1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December 1, 2025; provided, however, if the Term B Loans or the Term C Loans are funded, then the Amortization Date with respect to all Term Loans shall be extended to December 1, 2026.</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is defined in Section 6.2(a).</w:t>
      </w:r>
    </w:p>
    <w:p>
      <w:pPr>
        <w:spacing w:after="0" w:line="200" w:lineRule="exact"/>
        <w:rPr>
          <w:sz w:val="20"/>
          <w:szCs w:val="20"/>
          <w:color w:val="auto"/>
        </w:rPr>
      </w:pPr>
    </w:p>
    <w:p>
      <w:pPr>
        <w:jc w:val="both"/>
        <w:ind w:right="20" w:firstLine="749"/>
        <w:spacing w:after="0" w:line="23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Terrorism Laws</w:t>
      </w:r>
      <w:r>
        <w:rPr>
          <w:rFonts w:ascii="Times New Roman" w:cs="Times New Roman" w:eastAsia="Times New Roman" w:hAnsi="Times New Roman"/>
          <w:sz w:val="18"/>
          <w:szCs w:val="18"/>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 is defined in Section 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both"/>
        <w:ind w:firstLine="807"/>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Credit Party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1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two and thirty three hundredths of one percent (2.33%), plus (b) six and one quarter of one percent (6.25%). Notwithstanding the foregoing,</w:t>
      </w:r>
    </w:p>
    <w:p>
      <w:pPr>
        <w:spacing w:after="0" w:line="1" w:lineRule="exact"/>
        <w:rPr>
          <w:sz w:val="20"/>
          <w:szCs w:val="20"/>
          <w:color w:val="auto"/>
        </w:rPr>
      </w:pPr>
    </w:p>
    <w:p>
      <w:pPr>
        <w:jc w:val="both"/>
        <w:ind w:firstLine="8"/>
        <w:spacing w:after="0"/>
        <w:tabs>
          <w:tab w:leader="none" w:pos="2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Basic Rate for any Term Loan be less than eight and fifty-eight hundredths of one percent (8.58%), (ii)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A Loan for the period from the Effective Date through and including October 31, 2022 shall be 9.29205%. Any determination, decision or election that may be made by Collateral Agent pursuant hereto will be conclusive and binding absent manifest error and may be made in Collateral Agent’s sole discretion and without consent from any other party.</w:t>
      </w:r>
    </w:p>
    <w:p>
      <w:pPr>
        <w:spacing w:after="0" w:line="18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ind w:right="260" w:firstLine="757"/>
        <w:spacing w:after="0" w:line="250" w:lineRule="auto"/>
        <w:tabs>
          <w:tab w:leader="none" w:pos="13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190" w:lineRule="exact"/>
        <w:rPr>
          <w:rFonts w:ascii="Times New Roman" w:cs="Times New Roman" w:eastAsia="Times New Roman" w:hAnsi="Times New Roman"/>
          <w:sz w:val="18"/>
          <w:szCs w:val="18"/>
          <w:color w:val="auto"/>
        </w:rPr>
      </w:pPr>
    </w:p>
    <w:p>
      <w:pPr>
        <w:ind w:right="60" w:firstLine="757"/>
        <w:spacing w:after="0" w:line="246" w:lineRule="auto"/>
        <w:tabs>
          <w:tab w:leader="none" w:pos="13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181" w:lineRule="exact"/>
        <w:rPr>
          <w:rFonts w:ascii="Times New Roman" w:cs="Times New Roman" w:eastAsia="Times New Roman" w:hAnsi="Times New Roman"/>
          <w:sz w:val="18"/>
          <w:szCs w:val="18"/>
          <w:color w:val="auto"/>
        </w:rPr>
      </w:pPr>
    </w:p>
    <w:p>
      <w:pPr>
        <w:ind w:right="180" w:firstLine="757"/>
        <w:spacing w:after="0" w:line="258" w:lineRule="auto"/>
        <w:tabs>
          <w:tab w:leader="none" w:pos="13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165"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Biologics License Application</w:t>
      </w:r>
      <w:r>
        <w:rPr>
          <w:rFonts w:ascii="Times New Roman" w:cs="Times New Roman" w:eastAsia="Times New Roman" w:hAnsi="Times New Roman"/>
          <w:sz w:val="18"/>
          <w:szCs w:val="18"/>
          <w:color w:val="auto"/>
        </w:rPr>
        <w:t>” means an application for licensure of a biological product submitted to the FDA under section 351(a) of the United States Public Health Service Act for permission to introduce, or deliver for introduction, a biologic product into interstate commerce.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jc w:val="both"/>
        <w:ind w:firstLine="749"/>
        <w:spacing w:after="0" w:line="21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1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Borrower’s or any of its Subsidiaries’ books and records including ledgers, copies of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Collateral Agent is closed.</w:t>
      </w:r>
    </w:p>
    <w:p>
      <w:pPr>
        <w:spacing w:after="0" w:line="212" w:lineRule="exact"/>
        <w:rPr>
          <w:sz w:val="20"/>
          <w:szCs w:val="20"/>
          <w:color w:val="auto"/>
        </w:rPr>
      </w:pPr>
    </w:p>
    <w:p>
      <w:pPr>
        <w:jc w:val="both"/>
        <w:ind w:firstLine="749"/>
        <w:spacing w:after="0" w:line="21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to the extent required by this Agreement, (d) money market accounts at least ninety-five percent (95%) of the assets of which constitute Cash Equivalents of the kinds described in clauses (a) through (c) of this definition. For the avoidance of doubt, the direct purchase by Borrower or any of its Subsidiaries of any Auction Rate Securities, or purchasing participations in, or entering into any type of swap or other derivative transaction with respect to,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with respect to, or otherwise holding or engaging in any ownership interest in any type of debt instrument, including, without limitation, any corporate or municipal bonds with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nominal maturity for which the interest rate is reset through a dutch auction and more commonly referred to as an auction rate security (each, an “</w:t>
      </w:r>
      <w:r>
        <w:rPr>
          <w:rFonts w:ascii="Times New Roman" w:cs="Times New Roman" w:eastAsia="Times New Roman" w:hAnsi="Times New Roman"/>
          <w:sz w:val="18"/>
          <w:szCs w:val="18"/>
          <w:b w:val="1"/>
          <w:bCs w:val="1"/>
          <w:color w:val="auto"/>
        </w:rPr>
        <w:t>Auction Rate Security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Loan Documents</w:t>
      </w:r>
      <w:r>
        <w:rPr>
          <w:rFonts w:ascii="Times New Roman" w:cs="Times New Roman" w:eastAsia="Times New Roman" w:hAnsi="Times New Roman"/>
          <w:sz w:val="18"/>
          <w:szCs w:val="18"/>
          <w:color w:val="auto"/>
        </w:rPr>
        <w:t>” means (i) the share mortgage dated the Effective Date made by ALX Malta in favor of Collateral Agent over the Shares in Alexo Therapeutics International and (ii) the share mortgage dated the Effective Date made by Alexo Therapeutics International in favor of the Collateral Agent over the Shares in Sirpant Therapeutics.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are defined in Section 12.2.</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is CME Group Benchmark Administration Limited, as administrator of the forward-looking term SOFR, or any successor administrator.</w:t>
      </w:r>
    </w:p>
    <w:p>
      <w:pPr>
        <w:spacing w:after="0" w:line="16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Administrator’s Website</w:t>
      </w:r>
      <w:r>
        <w:rPr>
          <w:rFonts w:ascii="Times New Roman" w:cs="Times New Roman" w:eastAsia="Times New Roman" w:hAnsi="Times New Roman"/>
          <w:sz w:val="18"/>
          <w:szCs w:val="18"/>
          <w:color w:val="auto"/>
        </w:rPr>
        <w:t>” is the website of the CME Group Benchmark Administrator at http://www.cmegroup.com, or any successor source.</w:t>
      </w:r>
    </w:p>
    <w:p>
      <w:pPr>
        <w:spacing w:after="0" w:line="15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Credit Party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 or any other bank account.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Oxford, not in its individual capacity, but solely in its capacity as agent on behalf of and for the benefit of the Lenders.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xml:space="preserve">” is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as amended from time to time.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is defined in Section 10.</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1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contingent or not, of that Person for (a) any indebtedness, lease, dividend, letter of credit or other obligation of another Person such as an obligation directly or indirectly guaranteed, endorsed,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designed to protect a Person against fluctuation in interest rates, currency exchange rates or commodity prices and not for speculative or investment purposes (any such agreement or arrangement, a “</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Credit Party maintains a Deposit Account or the securities intermediary or commodity intermediary at which Credit Party maintains a Securities Account or a Commodity Account, Credit Party and Collateral Agent pursuant to which Collateral Agent obtains control (within the meaning of the Code) for the benefit of the Lenders over such Deposit Account, Securities Account, or Commodity Account.</w:t>
      </w:r>
    </w:p>
    <w:p>
      <w:pPr>
        <w:spacing w:after="0" w:line="170"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or any other extension of credit by Collateral Agent or Lenders for Borrower’s benefit hereunder.</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is any Borrower or any Guarantor.</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2.3(b).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deposit account of ALX Oncology Inc., account number ending in -3440, maintained with Silicon Valley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16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84" w:lineRule="exact"/>
        <w:rPr>
          <w:sz w:val="20"/>
          <w:szCs w:val="20"/>
          <w:color w:val="auto"/>
        </w:rPr>
      </w:pPr>
    </w:p>
    <w:p>
      <w:pPr>
        <w:jc w:val="both"/>
        <w:ind w:firstLine="749"/>
        <w:spacing w:after="0" w:line="21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prevailing rate of exchange in San Francisco, California, for sales of the Foreign Currency for transfer to the country issuing such Foreign Currency.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 each mean lawful money of the United States.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of this Agreement.</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93"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is defined in Section 6.6(b).</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Fee</w:t>
      </w:r>
      <w:r>
        <w:rPr>
          <w:rFonts w:ascii="Times New Roman" w:cs="Times New Roman" w:eastAsia="Times New Roman" w:hAnsi="Times New Roman"/>
          <w:sz w:val="18"/>
          <w:szCs w:val="18"/>
          <w:color w:val="auto"/>
        </w:rPr>
        <w:t>” is defined in Section 2.5(a).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is the U.S. Food and Drug Administration or any successor thereto.</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six percent (6.00%).</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lawful money of a country other than the United States.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is a Subsidiary that is not an entity organized or incorporated under the laws of the United States or any territory thereof.</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on account of Borrower which shall be a Business Day.</w:t>
      </w:r>
    </w:p>
    <w:p>
      <w:pPr>
        <w:spacing w:after="0" w:line="212" w:lineRule="exact"/>
        <w:rPr>
          <w:sz w:val="20"/>
          <w:szCs w:val="20"/>
          <w:color w:val="auto"/>
        </w:rPr>
      </w:pPr>
    </w:p>
    <w:p>
      <w:pPr>
        <w:jc w:val="both"/>
        <w:ind w:firstLine="794"/>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Credit Party and Bank under which Credit Party commits to purchase from or sell to Bank a specific amount of Foreign Currency on a specified date.</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Faith Deposit</w:t>
      </w:r>
      <w:r>
        <w:rPr>
          <w:rFonts w:ascii="Times New Roman" w:cs="Times New Roman" w:eastAsia="Times New Roman" w:hAnsi="Times New Roman"/>
          <w:sz w:val="18"/>
          <w:szCs w:val="18"/>
          <w:color w:val="auto"/>
        </w:rPr>
        <w:t>” is defined in Section 2.5(e).</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4"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organization.</w:t>
      </w:r>
    </w:p>
    <w:p>
      <w:pPr>
        <w:spacing w:after="0" w:line="162"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Collateral Agent, including any Person that is a party to this Agreement as a Guarantor.</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is defined in in the definition of “Contingent Obligation”.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12.2.</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of any relevant jurisdiction (including, without limitation, Part V of the Companies Act (as revised) of the Cayman Islands, the Companies Winding Up Rules 2018 of the Cayman Islands, the Insolvency Practitioner's Regulations, 2018 of the Cayman Islands and Foreign Bankruptcy Proceedings (International Co-Operation) Rules 2018 of the Cayman Islands), including assignments for the benefit of creditors, compositions, liquidation, winding up, examinership, extensions generally with its creditors, or proceedings seeking reorganization, arrangement, or other relief.</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Credit Party’s or any Subsidiary’s right, title and interest in and to the following:</w:t>
      </w:r>
    </w:p>
    <w:p>
      <w:pPr>
        <w:spacing w:after="0" w:line="216" w:lineRule="exact"/>
        <w:rPr>
          <w:sz w:val="20"/>
          <w:szCs w:val="20"/>
          <w:color w:val="auto"/>
        </w:rPr>
      </w:pPr>
    </w:p>
    <w:p>
      <w:pPr>
        <w:ind w:left="3000" w:hanging="1495"/>
        <w:spacing w:after="0"/>
        <w:tabs>
          <w:tab w:leader="none" w:pos="3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w:t>
      </w:r>
    </w:p>
    <w:p>
      <w:pPr>
        <w:spacing w:after="0" w:line="15"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operating manuals;</w:t>
      </w:r>
    </w:p>
    <w:p>
      <w:pPr>
        <w:spacing w:after="0" w:line="205"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Credit Party;</w:t>
      </w:r>
    </w:p>
    <w:p>
      <w:pPr>
        <w:spacing w:after="0" w:line="211" w:lineRule="exact"/>
        <w:rPr>
          <w:rFonts w:ascii="Times New Roman" w:cs="Times New Roman" w:eastAsia="Times New Roman" w:hAnsi="Times New Roman"/>
          <w:sz w:val="18"/>
          <w:szCs w:val="18"/>
          <w:color w:val="auto"/>
        </w:rPr>
      </w:pPr>
    </w:p>
    <w:p>
      <w:pPr>
        <w:ind w:firstLine="1505"/>
        <w:spacing w:after="0" w:line="282" w:lineRule="auto"/>
        <w:tabs>
          <w:tab w:leader="none" w:pos="29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8"/>
          <w:szCs w:val="18"/>
          <w:color w:val="auto"/>
        </w:rPr>
        <w:t>all amendments, renewals and extensions of any of the Copyrights, Trademarks or Patents.</w:t>
      </w:r>
    </w:p>
    <w:p>
      <w:pPr>
        <w:spacing w:after="0" w:line="20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by a Person is any beneficial ownership interest in any other Person (including stock, partnership interest or other securities), and any loan, advance or capital contribution to any other Person.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Irish Debenture</w:t>
      </w:r>
      <w:r>
        <w:rPr>
          <w:rFonts w:ascii="Times New Roman" w:cs="Times New Roman" w:eastAsia="Times New Roman" w:hAnsi="Times New Roman"/>
          <w:sz w:val="18"/>
          <w:szCs w:val="18"/>
          <w:color w:val="auto"/>
        </w:rPr>
        <w:t>” means the debenture between ALX Ireland as charger and the Collateral Agent dated as of the Effective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Irish Loan Documents</w:t>
      </w:r>
      <w:r>
        <w:rPr>
          <w:rFonts w:ascii="Times New Roman" w:cs="Times New Roman" w:eastAsia="Times New Roman" w:hAnsi="Times New Roman"/>
          <w:sz w:val="18"/>
          <w:szCs w:val="18"/>
          <w:color w:val="auto"/>
        </w:rPr>
        <w:t>” mean (i) the Irish Share Charge, (ii) the Irish Guaranty and (iii) the Irish Debenture.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Irish Guaranty</w:t>
      </w:r>
      <w:r>
        <w:rPr>
          <w:rFonts w:ascii="Times New Roman" w:cs="Times New Roman" w:eastAsia="Times New Roman" w:hAnsi="Times New Roman"/>
          <w:sz w:val="18"/>
          <w:szCs w:val="18"/>
          <w:color w:val="auto"/>
        </w:rPr>
        <w:t>” means a guaranty between ALX Ireland and the Collateral Agent dated as of the Effective Date.</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Irish Share Charge</w:t>
      </w:r>
      <w:r>
        <w:rPr>
          <w:rFonts w:ascii="Times New Roman" w:cs="Times New Roman" w:eastAsia="Times New Roman" w:hAnsi="Times New Roman"/>
          <w:sz w:val="18"/>
          <w:szCs w:val="18"/>
          <w:color w:val="auto"/>
        </w:rPr>
        <w:t>” means a share charge between the Parent and the Collateral Agent dated as of the Effective Date.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Parent’s (i) Chief Executive Officer, who is Jaume Pons, PhD as of the Effective Date, (ii) Chief Financial Officer, who is Peter Garcia as of the Effective Date and (iii) Chief Medical Officer, who is Sophia Randolph, MD, PhD as of the Effective Date.</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is any one of the Lenders.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are the Persons identified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and each assignee that becomes a party to this Agreement pursuant to Section 12.1.</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 Expenses</w:t>
      </w:r>
      <w:r>
        <w:rPr>
          <w:rFonts w:ascii="Times New Roman" w:cs="Times New Roman" w:eastAsia="Times New Roman" w:hAnsi="Times New Roman"/>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and/or any Receiver in connection with the Loan Documents.</w:t>
      </w:r>
    </w:p>
    <w:p>
      <w:pPr>
        <w:spacing w:after="0" w:line="170"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is a standby or commercial letter of credit issued by Bank upon request of Credit Party based upon an application, guarantee, indemnity, or similar agreement.</w:t>
      </w:r>
    </w:p>
    <w:p>
      <w:pPr>
        <w:spacing w:after="0" w:line="154"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4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US Pledge Agreement, the Perfection Certificates, each Compliance Certificate, each Disbursement Letter, each Loan Payment/Advance Request Form and any Bank Services Agreement, each Guaranty, each Cayman Loan Document, each Irish Loan Document, any subordination agreements, any note, or notes or guaranties executed by Credit Party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66" w:lineRule="exact"/>
        <w:rPr>
          <w:sz w:val="20"/>
          <w:szCs w:val="20"/>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Payment/Advance Request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Collateral Agent’s Lien in the Collateral or in the value of such Collateral; (b) a material adverse change in the business, operations or condition (financial or otherwise) of Credit Party or of Credit Party and its Subsidiaries taken as a whole; or (c) a material impairment of the prospect of repayment of any portion of the Obligations.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for each Term Loan, October 1, 2027.</w:t>
      </w:r>
    </w:p>
    <w:p>
      <w:pPr>
        <w:spacing w:after="0" w:line="212"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Credit Party’s obligations to pay when due any debts, principal, interest, Lenders’ Expenses, the Prepayment Fee, the Final Payment, and other amounts Credit Party owes the Lenders now or later, in connection with, related to, following, or arising from, out of or under, this Agreement or, the other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Credit Party assigned to the Lenders and/or Collateral Agent, and the performance of Credit Party’s duties under the Loan Documents.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U.S. Department of Treasury Office of Foreign Assets Control.</w:t>
      </w:r>
    </w:p>
    <w:p>
      <w:pPr>
        <w:spacing w:after="0" w:line="212"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6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a Responsible Officer of such Person, the registered office of such Person (in the case of any Person incorporated in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Cayman Islands), or the Secretary of State (or equivalent agency) of such Person’s jurisdiction of organization or incorporation on a date that is no earlier than thirty (30) days prior to the Effective Date (or other applicable date of determination), and, (a) if such Person is a corporation, its bylaws in current form, (b) if such Person is a limited liability company, its limited liability company agreement (or similar agreement), (c) if such Person is an exempted company, its certificate of incorporation and memorandum and articles of association and (d) if such Person is a partnership, its partnership agreement (or similar agreement), each of the foregoing with all current amendments or modifications thereto.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ALX Oncology Holdings Inc., a Delaware corporation.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is defined in Section 12.1.</w:t>
      </w:r>
    </w:p>
    <w:p>
      <w:pPr>
        <w:spacing w:after="0" w:line="225"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calendar day of each calendar month, commencing on December 1, 2022.</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is defined in Section 5.1.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1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Credit Party’s Indebtedness to the Lenders and Collateral Agent under this Agreement and the other Loan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5" w:lineRule="exact"/>
        <w:rPr>
          <w:sz w:val="20"/>
          <w:szCs w:val="20"/>
          <w:color w:val="auto"/>
        </w:rPr>
      </w:pPr>
    </w:p>
    <w:p>
      <w:pPr>
        <w:ind w:left="3000" w:hanging="1495"/>
        <w:spacing w:after="0"/>
        <w:tabs>
          <w:tab w:leader="none" w:pos="3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disclosed on the Perfection Certificate(s);</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505"/>
        <w:spacing w:after="0" w:line="244" w:lineRule="auto"/>
        <w:tabs>
          <w:tab w:leader="none" w:pos="29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capitalized lease obligations and purchase money Indebtedness, in each case incurred by Credit Party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at the time incurred,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9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(f) (i) Indebtedness incurred as a result of endorsing negotiable instruments received in the ordinary course of Credit Party’s business and (ii) Indebtedness arising from the honoring by a bank or other financial institution of a check, draft or similar instrument in the ordinary course of business; and</w:t>
      </w:r>
    </w:p>
    <w:p>
      <w:pPr>
        <w:spacing w:after="0" w:line="177" w:lineRule="exact"/>
        <w:rPr>
          <w:sz w:val="20"/>
          <w:szCs w:val="20"/>
          <w:color w:val="auto"/>
        </w:rPr>
      </w:pPr>
    </w:p>
    <w:p>
      <w:pPr>
        <w:jc w:val="both"/>
        <w:ind w:firstLine="1505"/>
        <w:spacing w:after="0" w:line="250" w:lineRule="auto"/>
        <w:tabs>
          <w:tab w:leader="none" w:pos="29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intercompany Indebtedness between or among Credit Parties, (ii) Indebtedness between any Subsidiary that is not a Credit Party and any other Subsidiary that is not a Credit Party, and (iii) Indebtedness of any Subsidiary that is not a Credit Party owing to a Credit Party provided that the aggregate outstanding amount of Indebtedness of all Subsidiaries pursuant to this clause (iii) does not exceed Two Hundred Fifty Thousand Dollars ($250,000.00) at any time;</w:t>
      </w:r>
    </w:p>
    <w:p>
      <w:pPr>
        <w:spacing w:after="0" w:line="190"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bid, appeal and surety bonds and performance and completion guarantees and similar obligations, in each case in the ordinary course of business and not to exceed Five Hundred Thousand Dollars ($500,000.00) in the aggregate at any time;</w:t>
      </w:r>
    </w:p>
    <w:p>
      <w:pPr>
        <w:spacing w:after="0" w:line="19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(i) Indebtedness in respect of letters of credit, bank guarantees, bankers’ acceptances, warehouse receipts or similar instruments issued or created in the ordinary course of business and not to exceed Seven Hundred Fifty Thousand Dollars ($750,000.00) in the aggregate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(j) Indebtedness in respect of any cash management services, corporate credit cards, netting services, automatic clearinghouse arrangements, overdraft protections, employee credit card programs and other cash management and similar arrangements in the ordinary course of business and not to exceed Five Hundred Thousand Dollars ($500,000.00) in the aggregate at any time;</w:t>
      </w:r>
    </w:p>
    <w:p>
      <w:pPr>
        <w:spacing w:after="0" w:line="169" w:lineRule="exact"/>
        <w:rPr>
          <w:sz w:val="20"/>
          <w:szCs w:val="20"/>
          <w:color w:val="auto"/>
        </w:rPr>
      </w:pPr>
    </w:p>
    <w:p>
      <w:pPr>
        <w:ind w:right="20" w:firstLine="1505"/>
        <w:spacing w:after="0" w:line="282" w:lineRule="auto"/>
        <w:tabs>
          <w:tab w:leader="none" w:pos="29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Hedging Arrangements not for speculative purposes not to exceed One Hundred Thousand Dollars ($100,000.00) in the aggregate at any time;</w:t>
      </w:r>
    </w:p>
    <w:p>
      <w:pPr>
        <w:spacing w:after="0" w:line="148"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18"/>
          <w:szCs w:val="18"/>
          <w:color w:val="auto"/>
        </w:rPr>
        <w:t>(l) unsecured intercompany Indebtedness with respect to cost plus or transfer pricing arrangements for the purchase of goods and services in the ordinary course of business;</w:t>
      </w:r>
    </w:p>
    <w:p>
      <w:pPr>
        <w:spacing w:after="0" w:line="176" w:lineRule="exact"/>
        <w:rPr>
          <w:sz w:val="20"/>
          <w:szCs w:val="20"/>
          <w:color w:val="auto"/>
        </w:rPr>
      </w:pPr>
    </w:p>
    <w:p>
      <w:pPr>
        <w:ind w:left="3000" w:hanging="1495"/>
        <w:spacing w:after="0"/>
        <w:tabs>
          <w:tab w:leader="none" w:pos="3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to exceed Five Hundred Thousand Dollars ($500,000.00) in the aggregate 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w:t>
      </w:r>
    </w:p>
    <w:p>
      <w:pPr>
        <w:spacing w:after="0" w:line="192" w:lineRule="exact"/>
        <w:rPr>
          <w:sz w:val="20"/>
          <w:szCs w:val="20"/>
          <w:color w:val="auto"/>
        </w:rPr>
      </w:pPr>
    </w:p>
    <w:p>
      <w:pPr>
        <w:jc w:val="both"/>
        <w:ind w:firstLine="1505"/>
        <w:spacing w:after="0" w:line="258" w:lineRule="auto"/>
        <w:tabs>
          <w:tab w:leader="none" w:pos="29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materially more burdensome terms upon Credit Party, or its Subsidiary, as the case may be.</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16" w:lineRule="exact"/>
        <w:rPr>
          <w:sz w:val="20"/>
          <w:szCs w:val="20"/>
          <w:color w:val="auto"/>
        </w:rPr>
      </w:pPr>
    </w:p>
    <w:p>
      <w:pPr>
        <w:ind w:left="3000" w:hanging="1495"/>
        <w:spacing w:after="0"/>
        <w:tabs>
          <w:tab w:leader="none" w:pos="3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disclosed on the Perfection Certificate(s) and existing on the Effective Date;</w:t>
      </w:r>
    </w:p>
    <w:p>
      <w:pPr>
        <w:spacing w:after="0" w:line="225"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and Cash Equivalents held in Collateral Accounts of Credit Parties that are maintained in accordance with Section 6.6 of this Agreement, and (ii) any other Investments permitted by Parent’s investment policy, as amended from time to time, provided that such investment policy (and any such amendment thereto) has been approved in writing by Collateral Agent;</w:t>
      </w:r>
    </w:p>
    <w:p>
      <w:pPr>
        <w:spacing w:after="0" w:line="190"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Credit Party;</w:t>
      </w:r>
    </w:p>
    <w:p>
      <w:pPr>
        <w:spacing w:after="0" w:line="162"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Collateral Accounts in which Collateral Agent has a perfected security interest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required by Section 6.6;</w:t>
      </w:r>
    </w:p>
    <w:p>
      <w:pPr>
        <w:spacing w:after="0" w:line="193"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Transfers permitted by Section 7.1;</w:t>
      </w:r>
    </w:p>
    <w:p>
      <w:pPr>
        <w:spacing w:after="0" w:line="21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(f) Investments consisting of (i) travel advances and employee relocation loans and other employee loans and advances in the ordinary course of business, and (ii) loans to employees, officers or directors relating to the purchase of equity securities of Parent or its Subsidiaries pursuant to employee stock purchase plans or agreements approved by Parent’s Board of Directors; not to exceed Two Hundred Fifty Thousand Dollars ($250,000.00) in the aggregate for (i) and (ii) in any fiscal year;</w:t>
      </w:r>
    </w:p>
    <w:p>
      <w:pPr>
        <w:spacing w:after="0" w:line="177" w:lineRule="exact"/>
        <w:rPr>
          <w:sz w:val="20"/>
          <w:szCs w:val="20"/>
          <w:color w:val="auto"/>
        </w:rPr>
      </w:pPr>
    </w:p>
    <w:p>
      <w:pPr>
        <w:jc w:val="both"/>
        <w:ind w:firstLine="1505"/>
        <w:spacing w:after="0" w:line="258" w:lineRule="auto"/>
        <w:tabs>
          <w:tab w:leader="none" w:pos="29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9"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(h) shall not apply to Investments of Credit Party in any Subsidiary;</w:t>
      </w:r>
    </w:p>
    <w:p>
      <w:pPr>
        <w:spacing w:after="0" w:line="169" w:lineRule="exact"/>
        <w:rPr>
          <w:sz w:val="20"/>
          <w:szCs w:val="20"/>
          <w:color w:val="auto"/>
        </w:rPr>
      </w:pPr>
    </w:p>
    <w:p>
      <w:pPr>
        <w:ind w:firstLine="1497"/>
        <w:spacing w:after="0" w:line="235" w:lineRule="exact"/>
        <w:rPr>
          <w:sz w:val="20"/>
          <w:szCs w:val="20"/>
          <w:color w:val="auto"/>
        </w:rPr>
      </w:pPr>
      <w:r>
        <w:rPr>
          <w:rFonts w:ascii="Times New Roman" w:cs="Times New Roman" w:eastAsia="Times New Roman" w:hAnsi="Times New Roman"/>
          <w:sz w:val="18"/>
          <w:szCs w:val="18"/>
          <w:color w:val="auto"/>
        </w:rPr>
        <w:t>(i) non-cash Investments in joint ventures or strategic alliances in the ordinary course of Credit Party’s business consisting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licensing of technology, the development of technology or the providing of technical support;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without duplication of Permitted Investments permitted by clause (g) of the definition of Permitted Indebtedness,</w:t>
      </w:r>
    </w:p>
    <w:p>
      <w:pPr>
        <w:spacing w:after="0" w:line="27" w:lineRule="exact"/>
        <w:rPr>
          <w:sz w:val="20"/>
          <w:szCs w:val="20"/>
          <w:color w:val="auto"/>
        </w:rPr>
      </w:pPr>
    </w:p>
    <w:p>
      <w:pPr>
        <w:jc w:val="both"/>
        <w:ind w:firstLine="8"/>
        <w:spacing w:after="0" w:line="243" w:lineRule="auto"/>
        <w:tabs>
          <w:tab w:leader="none" w:pos="2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 Credit Party in another Credit Party, (ii) Investments by a Subsidiary that is not a Credit Party in another Subsidiary that is not a Credit Party and (iii) Investments by a Credit Party in any Subsidiary that is not a Credit Party provided that the aggregate amount of Investments by Credit Parties in Subsidiaries that are not Credit Parties pursuant to this clause (iii) shall not exceed Five Hundred Thousand Dollars ($500,000.00) in the aggregate in any fiscal year;</w:t>
      </w:r>
    </w:p>
    <w:p>
      <w:pPr>
        <w:spacing w:after="0" w:line="182"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intercompany receivables with respect to cost plus or transfer pricing arrangements for the purchase of goods and services in the ordinary course of business permitted by clause (l) of the definition of Permitted Indebtedness;</w:t>
      </w:r>
    </w:p>
    <w:p>
      <w:pPr>
        <w:sectPr>
          <w:pgSz w:w="11900" w:h="16838" w:orient="portrait"/>
          <w:cols w:equalWidth="0" w:num="1">
            <w:col w:w="11240"/>
          </w:cols>
          <w:pgMar w:left="320" w:top="324" w:right="339" w:bottom="1440" w:gutter="0" w:footer="0" w:header="0"/>
        </w:sectPr>
      </w:pP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Indebtedness; and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constituting Investments, Hedging Arrangements permitted by clause (k) of the definition of</w:t>
      </w:r>
    </w:p>
    <w:p>
      <w:pPr>
        <w:spacing w:after="0" w:line="410" w:lineRule="exact"/>
        <w:rPr>
          <w:sz w:val="20"/>
          <w:szCs w:val="20"/>
          <w:color w:val="auto"/>
        </w:rPr>
      </w:pPr>
    </w:p>
    <w:p>
      <w:pPr>
        <w:sectPr>
          <w:pgSz w:w="11900" w:h="16838" w:orient="portrait"/>
          <w:cols w:equalWidth="0" w:num="2">
            <w:col w:w="2280" w:space="720"/>
            <w:col w:w="8240"/>
          </w:cols>
          <w:pgMar w:left="320" w:top="324" w:right="339" w:bottom="1440" w:gutter="0" w:footer="0" w:header="0"/>
          <w:type w:val="continuous"/>
        </w:sectPr>
      </w:pPr>
    </w:p>
    <w:p>
      <w:pPr>
        <w:spacing w:after="0" w:line="3" w:lineRule="exact"/>
        <w:rPr>
          <w:sz w:val="20"/>
          <w:szCs w:val="20"/>
          <w:color w:val="auto"/>
        </w:rPr>
      </w:pPr>
    </w:p>
    <w:p>
      <w:pPr>
        <w:ind w:left="3000" w:hanging="1495"/>
        <w:spacing w:after="0"/>
        <w:tabs>
          <w:tab w:leader="none" w:pos="30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not to exceed Two Hundred Fifty Thousand Dollars ($250,000.00) in the aggregate in any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176" w:lineRule="exact"/>
        <w:rPr>
          <w:sz w:val="20"/>
          <w:szCs w:val="20"/>
          <w:color w:val="auto"/>
        </w:rPr>
      </w:pPr>
    </w:p>
    <w:p>
      <w:pPr>
        <w:jc w:val="both"/>
        <w:ind w:firstLine="749"/>
        <w:spacing w:after="0" w:line="21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(A) licenses of over-the-counter software that is commercially available to the public, (B)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exclusive and exclusive licenses for the use of the Intellectual Property of Credit Party or any of its Subsidiaries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each such license described in clause (B), (i) no Event of Default has occurred or is continuing at the time of such license; (ii) the license constitutes an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 the terms of which, on their face, do not provide for a sale or assignment of any Intellectual Property and do not restrict the ability of Credit Party or any of its Subsidiaries, as applicable, to pledge, grant a security interest in or lien on, or assign or otherwise Transfer any Intellectual Property; (iii) in the case of any exclusive license, (x) Credit Party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Credit Party or any of its Subsidiaries are paid to a Deposit Account that is governed by a Control Agreement and (C) the licenses disclosed in the Perfection Certificate delivered on the Effective Date.</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16" w:lineRule="exact"/>
        <w:rPr>
          <w:sz w:val="20"/>
          <w:szCs w:val="20"/>
          <w:color w:val="auto"/>
        </w:rPr>
      </w:pPr>
    </w:p>
    <w:p>
      <w:pPr>
        <w:ind w:left="3000" w:hanging="1495"/>
        <w:spacing w:after="0"/>
        <w:tabs>
          <w:tab w:leader="none" w:pos="3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and disclosed on the Perfection Certificates or arising under this Agreement</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other Loan Documents;</w:t>
      </w:r>
    </w:p>
    <w:p>
      <w:pPr>
        <w:spacing w:after="0" w:line="19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Credit Party maintains adequate reserves on its Books, provided that no notice of any such Lien has been filed or recorded under the Internal Revenue Code of 1986, as amended, and the Treasury Regulations adopted thereunder;</w:t>
      </w:r>
    </w:p>
    <w:p>
      <w:pPr>
        <w:spacing w:after="0" w:line="165" w:lineRule="exact"/>
        <w:rPr>
          <w:rFonts w:ascii="Times New Roman" w:cs="Times New Roman" w:eastAsia="Times New Roman" w:hAnsi="Times New Roman"/>
          <w:sz w:val="18"/>
          <w:szCs w:val="18"/>
          <w:color w:val="auto"/>
        </w:rPr>
      </w:pPr>
    </w:p>
    <w:p>
      <w:pPr>
        <w:jc w:val="both"/>
        <w:ind w:firstLine="1505"/>
        <w:spacing w:after="0" w:line="252" w:lineRule="auto"/>
        <w:tabs>
          <w:tab w:leader="none" w:pos="29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clause (e) of the definition of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Credit Party other than the property (and proceeds thereof) acquired, leased or built, or the improvements or repairs, financed by such Indebtedness;</w:t>
      </w:r>
    </w:p>
    <w:p>
      <w:pPr>
        <w:spacing w:after="0" w:line="187"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6" w:name="page47"/>
    <w:bookmarkEnd w:id="46"/>
    <w:p>
      <w:pPr>
        <w:ind w:firstLine="1505"/>
        <w:spacing w:after="0" w:line="239" w:lineRule="exact"/>
        <w:tabs>
          <w:tab w:leader="none" w:pos="29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 pensions, social security and other like obligations incurred in the ordinary course of business (other than Liens imposed by ERISA);</w:t>
      </w:r>
    </w:p>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(f) Liens incurred in the extension, renewal or refinancing of the Indebtedness secured by Liens described in (a) through (c),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any extension, renewal or replacement Lien must be limited to the property encumbered by the existing Lien and the principal amount of the Indebtedness may not increase;</w:t>
      </w:r>
    </w:p>
    <w:p>
      <w:pPr>
        <w:spacing w:after="0" w:line="169" w:lineRule="exact"/>
        <w:rPr>
          <w:sz w:val="20"/>
          <w:szCs w:val="20"/>
          <w:color w:val="auto"/>
        </w:rPr>
      </w:pPr>
    </w:p>
    <w:p>
      <w:pPr>
        <w:jc w:val="both"/>
        <w:ind w:firstLine="1505"/>
        <w:spacing w:after="0" w:line="214" w:lineRule="exact"/>
        <w:tabs>
          <w:tab w:leader="none" w:pos="29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Credit Party’s business (or, if referring to another Person, in the ordinary course of such Person’s business), and leases, subleases,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licenses or sublicenses of personal property (other than Intellectual Property) granted in the ordinary course of Credit Party’s business (or, if referring to another Person, in the ordinary course of such Person’s business), if the leases, subleases, licenses and sublicenses do not prohibit granting Collateral Agent or any Lender a security interest therein;</w:t>
      </w:r>
    </w:p>
    <w:p>
      <w:pPr>
        <w:spacing w:after="0" w:line="187"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Liens in favor of financial institutions incurred in the ordinary course of business arising in connection with Credit Party’s deposit accounts or securities accounts held at such institutions solely to secure payment of fees and similar costs and expenses and provided such accounts are maintained in compliance with Section 6.6(b) hereof;</w:t>
      </w:r>
    </w:p>
    <w:p>
      <w:pPr>
        <w:sectPr>
          <w:pgSz w:w="11900" w:h="16838" w:orient="portrait"/>
          <w:cols w:equalWidth="0" w:num="1">
            <w:col w:w="11240"/>
          </w:cols>
          <w:pgMar w:left="320" w:top="295" w:right="339" w:bottom="1440" w:gutter="0" w:footer="0" w:header="0"/>
        </w:sectPr>
      </w:pP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arising from judgments, decrees or attachments in circumstances not constituting an Event of Default under</w:t>
      </w:r>
    </w:p>
    <w:p>
      <w:pPr>
        <w:spacing w:after="0" w:line="23" w:lineRule="exact"/>
        <w:rPr>
          <w:sz w:val="20"/>
          <w:szCs w:val="20"/>
          <w:color w:val="auto"/>
        </w:rPr>
      </w:pPr>
    </w:p>
    <w:p>
      <w:pPr>
        <w:sectPr>
          <w:pgSz w:w="11900" w:h="16838" w:orient="portrait"/>
          <w:cols w:equalWidth="0" w:num="2">
            <w:col w:w="2280" w:space="720"/>
            <w:col w:w="8240"/>
          </w:cols>
          <w:pgMar w:left="320" w:top="2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Section 8.4 or 8.7;</w:t>
      </w:r>
    </w:p>
    <w:p>
      <w:pPr>
        <w:sectPr>
          <w:pgSz w:w="11900" w:h="16838" w:orient="portrait"/>
          <w:cols w:equalWidth="0" w:num="1">
            <w:col w:w="11240"/>
          </w:cols>
          <w:pgMar w:left="320" w:top="295" w:right="339" w:bottom="1440" w:gutter="0" w:footer="0" w:header="0"/>
          <w:type w:val="continuous"/>
        </w:sectPr>
      </w:pP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(j)</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 consisting of Permitted Licenses;</w:t>
      </w:r>
    </w:p>
    <w:p>
      <w:pPr>
        <w:spacing w:after="0" w:line="211" w:lineRule="exact"/>
        <w:rPr>
          <w:sz w:val="20"/>
          <w:szCs w:val="20"/>
          <w:color w:val="auto"/>
        </w:rPr>
      </w:pPr>
    </w:p>
    <w:p>
      <w:pPr>
        <w:sectPr>
          <w:pgSz w:w="11900" w:h="16838" w:orient="portrait"/>
          <w:cols w:equalWidth="0" w:num="2">
            <w:col w:w="2280" w:space="720"/>
            <w:col w:w="8240"/>
          </w:cols>
          <w:pgMar w:left="320" w:top="295" w:right="339" w:bottom="1440" w:gutter="0" w:footer="0" w:header="0"/>
          <w:type w:val="continuous"/>
        </w:sectPr>
      </w:pPr>
    </w:p>
    <w:p>
      <w:pPr>
        <w:spacing w:after="0" w:line="12" w:lineRule="exact"/>
        <w:rPr>
          <w:sz w:val="20"/>
          <w:szCs w:val="20"/>
          <w:color w:val="auto"/>
        </w:rPr>
      </w:pPr>
    </w:p>
    <w:p>
      <w:pPr>
        <w:jc w:val="both"/>
        <w:ind w:firstLine="1505"/>
        <w:spacing w:after="0" w:line="258" w:lineRule="auto"/>
        <w:tabs>
          <w:tab w:leader="none" w:pos="29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(other than for Indebtedness for borrowed money), leases, statutory obligations, surety and appeal bonds, performance bonds and other obligations of a like nature incurred in the ordinary course of business ; provided, however, that the aggregate amount of such deposits does not exceed Five Hundred Thousand Dollars ($500,000.00) at any time;</w:t>
      </w:r>
    </w:p>
    <w:p>
      <w:pPr>
        <w:spacing w:after="0" w:line="169"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18"/>
          <w:szCs w:val="18"/>
          <w:color w:val="auto"/>
        </w:rPr>
        <w:t>(l) easements, zoning restrictions, rights of way, restrictions, minor defects, irregularities in title,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9" w:lineRule="exact"/>
        <w:rPr>
          <w:sz w:val="20"/>
          <w:szCs w:val="20"/>
          <w:color w:val="auto"/>
        </w:rPr>
      </w:pPr>
    </w:p>
    <w:p>
      <w:pPr>
        <w:ind w:firstLine="1505"/>
        <w:spacing w:after="0" w:line="266" w:lineRule="auto"/>
        <w:tabs>
          <w:tab w:leader="none" w:pos="29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75"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as security for contested taxes or contested import or customs duties; and</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to secure letters of credit permitted under clause (i) of the definition of Permitted</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exempted company, association, corporation, institution, public benefit corporation, firm, joint stock company, estate, entity or government agency.</w:t>
      </w:r>
    </w:p>
    <w:p>
      <w:pPr>
        <w:spacing w:after="0" w:line="16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45" w:lineRule="exact"/>
        <w:rPr>
          <w:sz w:val="20"/>
          <w:szCs w:val="20"/>
          <w:color w:val="auto"/>
        </w:rPr>
      </w:pPr>
    </w:p>
    <w:p>
      <w:pPr>
        <w:jc w:val="both"/>
        <w:ind w:firstLine="2246"/>
        <w:spacing w:after="0" w:line="266" w:lineRule="auto"/>
        <w:rPr>
          <w:sz w:val="20"/>
          <w:szCs w:val="20"/>
          <w:color w:val="auto"/>
        </w:rPr>
      </w:pPr>
      <w:r>
        <w:rPr>
          <w:rFonts w:ascii="Times New Roman" w:cs="Times New Roman" w:eastAsia="Times New Roman" w:hAnsi="Times New Roman"/>
          <w:sz w:val="18"/>
          <w:szCs w:val="18"/>
          <w:color w:val="auto"/>
        </w:rPr>
        <w:t>(i) for a prepayment made on or after the Funding Date of such Term Loan through and including the first anniversary of the Funding Date of such Term Loan, three percent (3.00%) of the principal amount of such Term Loan prepaid;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type w:val="continuous"/>
        </w:sectPr>
      </w:pPr>
    </w:p>
    <w:bookmarkStart w:id="47" w:name="page48"/>
    <w:bookmarkEnd w:id="47"/>
    <w:p>
      <w:pPr>
        <w:jc w:val="both"/>
        <w:ind w:firstLine="2246"/>
        <w:spacing w:after="0" w:line="264" w:lineRule="auto"/>
        <w:rPr>
          <w:sz w:val="20"/>
          <w:szCs w:val="20"/>
          <w:color w:val="auto"/>
        </w:rPr>
      </w:pPr>
      <w:r>
        <w:rPr>
          <w:rFonts w:ascii="Times New Roman" w:cs="Times New Roman" w:eastAsia="Times New Roman" w:hAnsi="Times New Roman"/>
          <w:sz w:val="18"/>
          <w:szCs w:val="18"/>
          <w:color w:val="auto"/>
        </w:rPr>
        <w:t>(ii) for a prepayment made after the date which is after the first anniversary of the Funding Date of such Term Loan through and including the second anniversary of the Funding Date of such Term Loan, two percent (2.00%) of the principal amount of such Term Loan prepaid;</w:t>
      </w:r>
    </w:p>
    <w:p>
      <w:pPr>
        <w:spacing w:after="0" w:line="382"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18"/>
          <w:szCs w:val="18"/>
          <w:color w:val="auto"/>
        </w:rPr>
        <w:t>(iii) for a prepayment made after the date which is after the second anniversary of the Funding Date of such Term Loan through and including the third anniversary of the Funding Date of such Term Loan, one percent (1.00%) of the principal amount of such Term Loan prepaid; and</w:t>
      </w:r>
    </w:p>
    <w:p>
      <w:pPr>
        <w:spacing w:after="0" w:line="169"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18"/>
          <w:szCs w:val="18"/>
          <w:color w:val="auto"/>
        </w:rPr>
        <w:t>(iv) for a prepayment made after the third anniversary of the Funding Date of such Term Loan and prior to the Maturity Date, no Prepayment Fee shall be applicable.</w:t>
      </w:r>
    </w:p>
    <w:p>
      <w:pPr>
        <w:spacing w:after="0" w:line="144" w:lineRule="exact"/>
        <w:rPr>
          <w:sz w:val="20"/>
          <w:szCs w:val="20"/>
          <w:color w:val="auto"/>
        </w:rPr>
      </w:pPr>
    </w:p>
    <w:p>
      <w:pPr>
        <w:jc w:val="both"/>
        <w:ind w:right="2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8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Receiver</w:t>
      </w:r>
      <w:r>
        <w:rPr>
          <w:rFonts w:ascii="Times New Roman" w:cs="Times New Roman" w:eastAsia="Times New Roman" w:hAnsi="Times New Roman"/>
          <w:sz w:val="18"/>
          <w:szCs w:val="18"/>
          <w:color w:val="auto"/>
        </w:rPr>
        <w:t>” means, with respect to any Irish Loan Document, any receiver or a receiver and manager or administrative receiver appointed thereunder.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all of the Persons that are Lenders on the Effective Date (each an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Credit Party acting alone.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ScalmiBio</w:t>
      </w:r>
      <w:r>
        <w:rPr>
          <w:rFonts w:ascii="Times New Roman" w:cs="Times New Roman" w:eastAsia="Times New Roman" w:hAnsi="Times New Roman"/>
          <w:sz w:val="18"/>
          <w:szCs w:val="18"/>
          <w:color w:val="auto"/>
        </w:rPr>
        <w:t>” means ScalmiBio, Inc., a Delaware corporation and a wholly-owned Subsidiary of Parent.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is defined in Section 2.4.</w:t>
      </w:r>
    </w:p>
    <w:p>
      <w:pPr>
        <w:spacing w:after="0" w:line="212"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 Record</w:t>
      </w:r>
      <w:r>
        <w:rPr>
          <w:rFonts w:ascii="Times New Roman" w:cs="Times New Roman" w:eastAsia="Times New Roman" w:hAnsi="Times New Roman"/>
          <w:sz w:val="18"/>
          <w:szCs w:val="18"/>
          <w:color w:val="auto"/>
        </w:rPr>
        <w:t>” is a record maintained by each Lender with respect to the outstanding Obligations owed by Borrower to Lender and credits made thereto.</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12"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one hundred percent (100%) of the issued and outstanding capital stock, membership units or other securities owned or held of record by Credit Party or Credit Party’s Subsidiary, in any Subsidiary; provided that, in the event Borrower demonstrates to Collateral Agent’s reasonable satisfaction, that a pledge of more than sixty-five percent (65%) of the Shares of such Subsidiary which is a Foreign Subsidiary, creates a present and existing adverse tax consequence to a Credit Party under the U.S. Internal Revenue Code, “Shares” shall mean sixty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(65%)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of the issued and outstanding capital stock, membership units or other securities owned or held of record by Borrower or its Subsidiary in such Foreign Subsidiary.</w:t>
      </w:r>
    </w:p>
    <w:p>
      <w:pPr>
        <w:spacing w:after="0" w:line="14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6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Credit Party or any of its Subsidiaries subordinated to all Indebtedness of Credit Party and/or its Subsidiaries to the Lenders (pursuant to a subordination, intercreditor, or other similar agreement in form and substance satisfactory to Collateral Agent and the Lenders entered into between Collateral Agent, Credit Party, and/or any of its Subsidiaries, and the other creditor), on terms acceptable to Collateral Agent and the Lenders.</w:t>
      </w:r>
    </w:p>
    <w:p>
      <w:pPr>
        <w:spacing w:after="0" w:line="170"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Certificate</w:t>
      </w:r>
      <w:r>
        <w:rPr>
          <w:rFonts w:ascii="Times New Roman" w:cs="Times New Roman" w:eastAsia="Times New Roman" w:hAnsi="Times New Roman"/>
          <w:sz w:val="18"/>
          <w:szCs w:val="18"/>
          <w:color w:val="auto"/>
        </w:rPr>
        <w:t>” is defined in Section 2.6 hereof.</w:t>
      </w:r>
    </w:p>
    <w:p>
      <w:pPr>
        <w:spacing w:after="0" w:line="212"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Draw Period</w:t>
      </w:r>
      <w:r>
        <w:rPr>
          <w:rFonts w:ascii="Times New Roman" w:cs="Times New Roman" w:eastAsia="Times New Roman" w:hAnsi="Times New Roman"/>
          <w:sz w:val="18"/>
          <w:szCs w:val="18"/>
          <w:color w:val="auto"/>
        </w:rPr>
        <w:t>” is the period commencing on the Effective Date and ending on the earlier of (i) December 31, 2023 and (ii) the occurrence of an Event of Default.</w:t>
      </w:r>
    </w:p>
    <w:p>
      <w:pPr>
        <w:spacing w:after="0" w:line="16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Draw Period</w:t>
      </w:r>
      <w:r>
        <w:rPr>
          <w:rFonts w:ascii="Times New Roman" w:cs="Times New Roman" w:eastAsia="Times New Roman" w:hAnsi="Times New Roman"/>
          <w:sz w:val="18"/>
          <w:szCs w:val="18"/>
          <w:color w:val="auto"/>
        </w:rPr>
        <w:t>” is the period commencing on the date of the occurrence of the Term B Milestone and ending on the earliest of (i) the date that is ninety (90) days after the occurrence of the Term B Milestone, (ii) December 31, 2024 and (iii) the occurrence of an Event of Default; provided, however, that the Term B Draw Period shall not commence if on the date of the occurrence of the Term B Milestone an Event of Default has occurred and is continuing.</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Draw Period</w:t>
      </w:r>
      <w:r>
        <w:rPr>
          <w:rFonts w:ascii="Times New Roman" w:cs="Times New Roman" w:eastAsia="Times New Roman" w:hAnsi="Times New Roman"/>
          <w:sz w:val="18"/>
          <w:szCs w:val="18"/>
          <w:color w:val="auto"/>
        </w:rPr>
        <w:t>” is the period commencing on the date of the occurrence of the Term C Milestone and ending on the earliest of (i) the date that is ninety (90) days after the occurrence of the Term C Milestone, (ii) December 31, 2024 and (iii) the occurrence of an Event of Default; provided, however, that the Term C Draw Period shall not commence if on the date of the occurrence of the Term C Milestone an Event of Default has occurred and is continuing.</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Milestone</w:t>
      </w:r>
      <w:r>
        <w:rPr>
          <w:rFonts w:ascii="Times New Roman" w:cs="Times New Roman" w:eastAsia="Times New Roman" w:hAnsi="Times New Roman"/>
          <w:sz w:val="18"/>
          <w:szCs w:val="18"/>
          <w:color w:val="auto"/>
        </w:rPr>
        <w:t>” means Borrower’s delivery to Collateral Agent and Lenders of evidence, satisfactory to Collateral Agent and Lenders in their sole discretion, that Borrower has both (a) received positive data for ASPEN-06 which is sufficient to advance ALX148 to a registrational trial in Gastric/Gastroesophageal Junction Cancer; and (b) received Investigational New Drug approval from the FDA for ALTA-002, Scalmi 1, or Scalmi 2 (for the sake of clarity, such Investigational New Drug approval may be used to satisfy the condition in clause (b) in the defined term “Term C Milestone”).</w:t>
      </w:r>
    </w:p>
    <w:p>
      <w:pPr>
        <w:spacing w:after="0" w:line="17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Milestone</w:t>
      </w:r>
      <w:r>
        <w:rPr>
          <w:rFonts w:ascii="Times New Roman" w:cs="Times New Roman" w:eastAsia="Times New Roman" w:hAnsi="Times New Roman"/>
          <w:sz w:val="18"/>
          <w:szCs w:val="18"/>
          <w:color w:val="auto"/>
        </w:rPr>
        <w:t>” means Borrower’s delivery to Collateral Agent and Lenders of evidence, satisfactory to Collateral Agent and Lenders in their sole discretion, that Borrower has both (a) received positive data for either of ASPEN-03 or ASPEN-04 which is sufficient to either (i) advance ALX148 to a registrational trial in Head And Neck Squamous Cell Carcinoma, or (ii) submit such study for a Biologics License Application; and (b) received Investigational New Drug approval from the FDA for ALTA-002, Scalmi 1, or Scalmi 2 (for the sake of clarity, such Investigational New Drug approval may be used to satisfy the condition in clause (b) in the defined term “Term B Milestone”).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2.2(a)(ii) hereof.</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is defined in Section 2.2(a)(i)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is defined in Section 2.2(a)(ii) hereof.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is defined in Section 2.2(a)(iii)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is defined in Section 2.2(a)(iv) hereof.</w:t>
      </w:r>
    </w:p>
    <w:p>
      <w:pPr>
        <w:spacing w:after="0" w:line="212"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is, for any Lender, the obligation of such Lender to make a Term Loan, up to the principal amount shown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aggregate amount of such commitments of all Lenders.</w:t>
      </w:r>
    </w:p>
    <w:p>
      <w:pPr>
        <w:spacing w:after="0" w:line="167"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7.1.</w:t>
      </w:r>
    </w:p>
    <w:p>
      <w:pPr>
        <w:spacing w:after="0" w:line="225"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Pledge Agreement</w:t>
      </w:r>
      <w:r>
        <w:rPr>
          <w:rFonts w:ascii="Times New Roman" w:cs="Times New Roman" w:eastAsia="Times New Roman" w:hAnsi="Times New Roman"/>
          <w:sz w:val="18"/>
          <w:szCs w:val="18"/>
          <w:color w:val="auto"/>
        </w:rPr>
        <w:t>” by ALX Ireland in favor of the Collateral Agent dated as of the date hereof with respect to the Shares of ALX Oncology Inc. and certain other Collateral.</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Tax Indemnity Amount</w:t>
      </w:r>
      <w:r>
        <w:rPr>
          <w:rFonts w:ascii="Times New Roman" w:cs="Times New Roman" w:eastAsia="Times New Roman" w:hAnsi="Times New Roman"/>
          <w:sz w:val="18"/>
          <w:szCs w:val="18"/>
          <w:color w:val="auto"/>
        </w:rPr>
        <w:t>” is defined in Section 2.6 hereof.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0" w:name="page51"/>
    <w:bookmarkEnd w:id="50"/>
    <w:p>
      <w:pPr>
        <w:ind w:left="7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7080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Jaume Pons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ALEXO THERAPEUTICS INTERNATIONAL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708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Jaume Pons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SIRPANT THERAPEUTICS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708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Jaume Pons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708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Jaume Pons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1094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Colette H. Featherly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CREDIT FUND II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Oxford Finance Advisors, LLC, its manager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Colette H. Featherly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1094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8"/>
          <w:szCs w:val="18"/>
          <w:color w:val="auto"/>
        </w:rPr>
        <w:t>Name: Colette H. Featherly</w:t>
      </w:r>
    </w:p>
    <w:p>
      <w:pPr>
        <w:spacing w:after="0"/>
        <w:rPr>
          <w:sz w:val="20"/>
          <w:szCs w:val="20"/>
          <w:color w:val="auto"/>
        </w:rPr>
      </w:pPr>
      <w:r>
        <w:rPr>
          <w:rFonts w:ascii="Times New Roman" w:cs="Times New Roman" w:eastAsia="Times New Roman" w:hAnsi="Times New Roman"/>
          <w:sz w:val="18"/>
          <w:szCs w:val="18"/>
          <w:color w:val="auto"/>
        </w:rPr>
        <w:t>Its: Senior Vice President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885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Sletteland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189"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Lenders and Commitments</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 Funded Loans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OXFORD FINANCE CREDIT FUND II LP</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209"/>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26"/>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A Unfunded Loans</w:t>
            </w:r>
          </w:p>
        </w:tc>
        <w:tc>
          <w:tcPr>
            <w:tcW w:w="3740" w:type="dxa"/>
            <w:vAlign w:val="bottom"/>
            <w:tcBorders>
              <w:bottom w:val="single" w:sz="8" w:color="auto"/>
            </w:tcBorders>
          </w:tcPr>
          <w:p>
            <w:pPr>
              <w:spacing w:after="0"/>
              <w:rPr>
                <w:sz w:val="24"/>
                <w:szCs w:val="24"/>
                <w:color w:val="auto"/>
              </w:rPr>
            </w:pP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12"/>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B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209"/>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29"/>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C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193"/>
        </w:trPr>
        <w:tc>
          <w:tcPr>
            <w:tcW w:w="38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$6,250,000</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50.00%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210"/>
        </w:trPr>
        <w:tc>
          <w:tcPr>
            <w:tcW w:w="380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412"/>
        </w:trPr>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(all Term Loans)</w:t>
            </w:r>
          </w:p>
        </w:tc>
        <w:tc>
          <w:tcPr>
            <w:tcW w:w="3740" w:type="dxa"/>
            <w:vAlign w:val="bottom"/>
            <w:tcBorders>
              <w:bottom w:val="single" w:sz="8" w:color="auto"/>
            </w:tcBorders>
          </w:tcPr>
          <w:p>
            <w:pPr>
              <w:spacing w:after="0"/>
              <w:rPr>
                <w:sz w:val="24"/>
                <w:szCs w:val="24"/>
                <w:color w:val="auto"/>
              </w:rPr>
            </w:pP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74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$75,000,000</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387" w:lineRule="exact"/>
        <w:rPr>
          <w:sz w:val="20"/>
          <w:szCs w:val="20"/>
          <w:color w:val="auto"/>
        </w:rPr>
      </w:pPr>
    </w:p>
    <w:p>
      <w:pPr>
        <w:jc w:val="both"/>
        <w:ind w:firstLine="8"/>
        <w:spacing w:after="0" w:line="250" w:lineRule="auto"/>
        <w:tabs>
          <w:tab w:leader="none" w:pos="2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 A Draw Period terminates on December 31, 2023 pursuant to clause (i) of the definition of “Term A Draw Period”, (a) the Additional Term B Loan Commitment Amount shall be added to the Term B Loan Commitment effective as of January 1, 2024 and pro rata in accordance with the Commitment Percentage for the Term B Loans and (b) the Additional Term C Loan Commitment Amount shall be added to the Term C Loan Commitment effective as of January 1, 2024 and pro rata in accordance with the Commitment Percentage for the Term C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Credit Party’s right, title and interest in and to the following personal property:</w:t>
      </w:r>
    </w:p>
    <w:p>
      <w:pPr>
        <w:spacing w:after="0" w:line="196" w:lineRule="exact"/>
        <w:rPr>
          <w:sz w:val="20"/>
          <w:szCs w:val="20"/>
          <w:color w:val="auto"/>
        </w:rPr>
      </w:pPr>
    </w:p>
    <w:p>
      <w:pPr>
        <w:jc w:val="both"/>
        <w:ind w:firstLine="749"/>
        <w:spacing w:after="0" w:line="217" w:lineRule="exact"/>
        <w:rPr>
          <w:sz w:val="20"/>
          <w:szCs w:val="20"/>
          <w:color w:val="auto"/>
        </w:rPr>
      </w:pPr>
      <w:r>
        <w:rPr>
          <w:rFonts w:ascii="Times New Roman" w:cs="Times New Roman" w:eastAsia="Times New Roman" w:hAnsi="Times New Roman"/>
          <w:sz w:val="18"/>
          <w:szCs w:val="18"/>
          <w:color w:val="auto"/>
        </w:rPr>
        <w:t>All goods, Accounts (including health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All Credit Party’s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65% of the total combined voting power of all classes of stock entitled to vote the shares of capital stock (the “Shares”) of any Foreign Subsidiary if Borrower demonstrates to Collateral Agent’s reasonable satisfaction that a pledge of more than 65% of the Shares of such Subsidiary creates a present and existing adverse tax consequence to a Credit Party under the U.S. Internal Revenue Code, (iii)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(iv) any Excluded Account or (v) Equipment that is subject to a Lien that is otherwise permitted pursuant to subsection (c) of the definition of “Permitted Liens” if the holder of such Lien has expressly prohibited Credit Party in writing from granting Liens on such property in favor of third parties; provided that immediately upon the ineffectiveness, lapse, or termination of any such provision, the term “Collateral” shall include, and Credit Party shall be deemed to have granted a security interest in, all of its rights, title and interests in and to such property as if such provision had never been in effect.</w:t>
      </w:r>
    </w:p>
    <w:p>
      <w:pPr>
        <w:spacing w:after="0" w:line="19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terms of a certain negative pledge arrangement with Collateral Agent and the Lenders, Credit Party has agreed not to encumber any of its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817370" cy="668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25"/>
          <w:szCs w:val="25"/>
          <w:b w:val="1"/>
          <w:bCs w:val="1"/>
          <w:color w:val="auto"/>
        </w:rPr>
        <w:t>ALX Oncology Enters $100 Million Loan Facility Agreement with Oxford Finance and Silicon Valley Bank to Support Ongoing Development of Evorpacept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Expects to extend cash runway to mid-2025</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October 31, 2022 (GLOBE NEWSWIRE) -- </w:t>
      </w:r>
      <w:r>
        <w:rPr>
          <w:rFonts w:ascii="Times New Roman" w:cs="Times New Roman" w:eastAsia="Times New Roman" w:hAnsi="Times New Roman"/>
          <w:sz w:val="20"/>
          <w:szCs w:val="20"/>
          <w:color w:val="auto"/>
        </w:rPr>
        <w:t>ALX Oncology Holdings Inc., (“ALX Oncology”)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ALXO) a clinical-stage immuno-oncology company developing therapies that block the CD47 checkpoint pathway, today announced it has entered into a loan facility agreement with Oxford Finance LLC and Silicon Valley Bank for up to $100 million of non-dilutive financing. The facility will support the continued development of evorpacept, a next generation CD47 blocking therapeutic.</w:t>
      </w:r>
    </w:p>
    <w:p>
      <w:pPr>
        <w:spacing w:after="0" w:line="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appreciate the support of Oxford Finance and Silicon Valley Bank. The non-dilutive capital from this term loan facility combined with the cash already on our balance sheet further strengthens our financial position allowing us to advance our lead program, evorpacept, through multiple clinical trials and milestones in the coming years,” said Peter Garcia, Chief Financial Officer of ALX Oncology. “With ability to draw down up to $50 million of the facility at our discretion, we expect to be able to extend our cash runway to mid-2025.”</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“ALX Oncology’s CD47 blocker, evorpacept, has demonstrated promising clinical results compared to other CD47 blockers,” said Christopher A. Herr, Senior Managing Director at Oxford Finance. “We are pleased to partner with Silicon Valley Bank to support ALX in its continued development and advancement of its pipeline.”</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“Silicon Valley Bank is excited to expand our partnership with ALX Oncology,” said Kale Frank, Director of Life Science and Healthcare at Silicon Valley Bank. “We continue to be impressed with ALX’s clinical progress, and this large commitment will support ALX’s important mission to help patients fight cancer.”</w:t>
      </w:r>
    </w:p>
    <w:p>
      <w:pPr>
        <w:spacing w:after="0" w:line="16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Under the terms of the loan agreement, ALX Oncology drew $10 million of an initial $50 million tranche at closing, with the remaining $40 million available at its discretion through the end of 2023. ALX Oncology also has access up to an additional $50 million with $12.5 million available in each of two tranches based upon the achievement of milestones related to the development of evorpacept and one pre-clinical product candidate, and $25 million available at the Lenders’ discretion. The loan carries an interest-only period of 36 months (extendable to 48 months) and total term of 59 months. There are no warrants or financial covenants in the agreement.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About Oxford Finance LLC</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Oxford Finance is a specialty finance firm providing senior secured loans to public and private life sciences and healthcare services companies worldwide. For over 20 years, Oxford has delivered flexible financing solutions to its clients, enabling these companies to maximize their equity by leveraging their assets. Since 2002, Oxford has originated approximately $9 billion in loans. Oxford is headquartered in Alexandria, Virginia, with additional offices in California (San Diego, Palo Alto, and Los Angeles) and the greater Boston and New York City metropolitan areas. For more information, visit oxfordfinance.com</w:t>
      </w:r>
      <w:r>
        <w:rPr>
          <w:rFonts w:ascii="Times New Roman" w:cs="Times New Roman" w:eastAsia="Times New Roman" w:hAnsi="Times New Roman"/>
          <w:sz w:val="17"/>
          <w:szCs w:val="17"/>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Silicon Valley Bank</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Silicon Valley Bank, the bank of the world’s most innovative companies and investors, provides commercial banking services, expertise and insights to the technology, life science and healthcare, private equity, venture capital and premium wine industries. Silicon Valley Bank operates in centers of innovation around the world and is one of SVB’s core businesses with SVB Capital, SVB Private and SVB Securities. With global commercial banking services, Silicon Valley Bank helps address the unique needs of its dynamic, fast-growing, innovative clients. Learn more at svb.com.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Garcia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ALX Oncology</w:t>
      </w:r>
    </w:p>
    <w:p>
      <w:pPr>
        <w:jc w:val="both"/>
        <w:ind w:right="9280" w:firstLine="8"/>
        <w:spacing w:after="0" w:line="271" w:lineRule="auto"/>
        <w:tabs>
          <w:tab w:leader="none" w:pos="47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466-7125 Ext. 113 </w:t>
      </w:r>
      <w:r>
        <w:rPr>
          <w:rFonts w:ascii="Times New Roman" w:cs="Times New Roman" w:eastAsia="Times New Roman" w:hAnsi="Times New Roman"/>
          <w:sz w:val="19"/>
          <w:szCs w:val="19"/>
          <w:u w:val="single" w:color="auto"/>
          <w:color w:val="auto"/>
        </w:rPr>
        <w:t>peter@alxoncology.com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Argot Partners</w:t>
      </w:r>
    </w:p>
    <w:p>
      <w:pPr>
        <w:spacing w:after="0" w:line="22" w:lineRule="exact"/>
        <w:rPr>
          <w:sz w:val="20"/>
          <w:szCs w:val="20"/>
          <w:color w:val="auto"/>
        </w:rPr>
      </w:pPr>
    </w:p>
    <w:p>
      <w:pPr>
        <w:ind w:right="8640" w:firstLine="8"/>
        <w:spacing w:after="0" w:line="256" w:lineRule="auto"/>
        <w:tabs>
          <w:tab w:leader="none" w:pos="47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600-1902 </w:t>
      </w:r>
      <w:r>
        <w:rPr>
          <w:rFonts w:ascii="Times New Roman" w:cs="Times New Roman" w:eastAsia="Times New Roman" w:hAnsi="Times New Roman"/>
          <w:sz w:val="19"/>
          <w:szCs w:val="19"/>
          <w:u w:val="single" w:color="auto"/>
          <w:color w:val="auto"/>
        </w:rPr>
        <w:t>alxoncology@argotpartners.com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Sharma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MacDougall</w:t>
      </w:r>
    </w:p>
    <w:p>
      <w:pPr>
        <w:ind w:left="480" w:hanging="472"/>
        <w:spacing w:after="0"/>
        <w:tabs>
          <w:tab w:leader="none" w:pos="4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235-3060</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alx@macbiocom.com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2"/>
      <w:numFmt w:val="decimal"/>
      <w:start w:val="104"/>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2"/>
    </w:lvl>
  </w:abstractNum>
  <w:abstractNum w:abstractNumId="7">
    <w:nsid w:val="2463B9EA"/>
    <w:multiLevelType w:val="hybridMultilevel"/>
    <w:lvl w:ilvl="0">
      <w:lvlJc w:val="left"/>
      <w:lvlText w:val="(%1)"/>
      <w:numFmt w:val="lowerLetter"/>
      <w:start w:val="3"/>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1)"/>
      <w:numFmt w:val="lowerLetter"/>
      <w:start w:val="2"/>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3"/>
    </w:lvl>
  </w:abstractNum>
  <w:abstractNum w:abstractNumId="12">
    <w:nsid w:val="153EA438"/>
    <w:multiLevelType w:val="hybridMultilevel"/>
    <w:lvl w:ilvl="0">
      <w:lvlJc w:val="left"/>
      <w:lvlText w:val="%1."/>
      <w:numFmt w:val="decimal"/>
      <w:start w:val="3"/>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5"/>
    </w:lvl>
  </w:abstractNum>
  <w:abstractNum w:abstractNumId="15">
    <w:nsid w:val="6A2342EC"/>
    <w:multiLevelType w:val="hybridMultilevel"/>
    <w:lvl w:ilvl="0">
      <w:lvlJc w:val="left"/>
      <w:lvlText w:val="(%1)"/>
      <w:numFmt w:val="lowerLetter"/>
      <w:start w:val="7"/>
    </w:lvl>
  </w:abstractNum>
  <w:abstractNum w:abstractNumId="16">
    <w:nsid w:val="2A487CB0"/>
    <w:multiLevelType w:val="hybridMultilevel"/>
    <w:lvl w:ilvl="0">
      <w:lvlJc w:val="left"/>
      <w:lvlText w:val="(%1)"/>
      <w:numFmt w:val="lowerLetter"/>
      <w:start w:val="11"/>
    </w:lvl>
  </w:abstractNum>
  <w:abstractNum w:abstractNumId="17">
    <w:nsid w:val="1D4ED43B"/>
    <w:multiLevelType w:val="hybridMultilevel"/>
    <w:lvl w:ilvl="0">
      <w:lvlJc w:val="left"/>
      <w:lvlText w:val="(%1)"/>
      <w:numFmt w:val="lowerLetter"/>
      <w:start w:val="13"/>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1."/>
      <w:numFmt w:val="decimal"/>
      <w:start w:val="4"/>
    </w:lvl>
  </w:abstractNum>
  <w:abstractNum w:abstractNumId="20">
    <w:nsid w:val="57E4CCAF"/>
    <w:multiLevelType w:val="hybridMultilevel"/>
    <w:lvl w:ilvl="0">
      <w:lvlJc w:val="left"/>
      <w:lvlText w:val="%1."/>
      <w:numFmt w:val="decimal"/>
      <w:start w:val="5"/>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decimal"/>
      <w:start w:val="6"/>
    </w:lvl>
    <w:lvl w:ilvl="1">
      <w:lvlJc w:val="left"/>
      <w:lvlText w:val="(%2)"/>
      <w:numFmt w:val="lowerLetter"/>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2"/>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3"/>
    </w:lvl>
  </w:abstractNum>
  <w:abstractNum w:abstractNumId="27">
    <w:nsid w:val="32FFF902"/>
    <w:multiLevelType w:val="hybridMultilevel"/>
    <w:lvl w:ilvl="0">
      <w:lvlJc w:val="left"/>
      <w:lvlText w:val="(%1)"/>
      <w:numFmt w:val="lowerRoman"/>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decimal"/>
      <w:start w:val="7"/>
    </w:lvl>
  </w:abstractNum>
  <w:abstractNum w:abstractNumId="30">
    <w:nsid w:val="749ABB43"/>
    <w:multiLevelType w:val="hybridMultilevel"/>
    <w:lvl w:ilvl="0">
      <w:lvlJc w:val="left"/>
      <w:lvlText w:val="(%1)"/>
      <w:numFmt w:val="lowerLetter"/>
      <w:start w:val="2"/>
    </w:lvl>
  </w:abstractNum>
  <w:abstractNum w:abstractNumId="31">
    <w:nsid w:val="3DC240FB"/>
    <w:multiLevelType w:val="hybridMultilevel"/>
    <w:lvl w:ilvl="0">
      <w:lvlJc w:val="left"/>
      <w:lvlText w:val="(%1)"/>
      <w:numFmt w:val="lowerLetter"/>
      <w:start w:val="4"/>
    </w:lvl>
  </w:abstractNum>
  <w:abstractNum w:abstractNumId="32">
    <w:nsid w:val="1BA026FA"/>
    <w:multiLevelType w:val="hybridMultilevel"/>
    <w:lvl w:ilvl="0">
      <w:lvlJc w:val="left"/>
      <w:lvlText w:val="%1."/>
      <w:numFmt w:val="decimal"/>
      <w:start w:val="8"/>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decimal"/>
      <w:start w:val="9"/>
    </w:lvl>
    <w:lvl w:ilvl="1">
      <w:lvlJc w:val="left"/>
      <w:lvlText w:val="(%2)"/>
      <w:numFmt w:val="lowerLetter"/>
      <w:start w:val="1"/>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lowerLetter"/>
      <w:start w:val="3"/>
    </w:lvl>
  </w:abstractNum>
  <w:abstractNum w:abstractNumId="38">
    <w:nsid w:val="374A3FE6"/>
    <w:multiLevelType w:val="hybridMultilevel"/>
    <w:lvl w:ilvl="0">
      <w:lvlJc w:val="left"/>
      <w:lvlText w:val="%1."/>
      <w:numFmt w:val="decimal"/>
      <w:start w:val="10"/>
    </w:lvl>
  </w:abstractNum>
  <w:abstractNum w:abstractNumId="39">
    <w:nsid w:val="4F4EF005"/>
    <w:multiLevelType w:val="hybridMultilevel"/>
    <w:lvl w:ilvl="0">
      <w:lvlJc w:val="left"/>
      <w:lvlText w:val="%1."/>
      <w:numFmt w:val="decimal"/>
      <w:start w:val="11"/>
    </w:lvl>
  </w:abstractNum>
  <w:abstractNum w:abstractNumId="40">
    <w:nsid w:val="23F9C13C"/>
    <w:multiLevelType w:val="hybridMultilevel"/>
    <w:lvl w:ilvl="0">
      <w:lvlJc w:val="left"/>
      <w:lvlText w:val="%1."/>
      <w:numFmt w:val="decimal"/>
      <w:start w:val="12"/>
    </w:lvl>
  </w:abstractNum>
  <w:abstractNum w:abstractNumId="41">
    <w:nsid w:val="649BB77C"/>
    <w:multiLevelType w:val="hybridMultilevel"/>
    <w:lvl w:ilvl="0">
      <w:lvlJc w:val="left"/>
      <w:lvlText w:val="(%1)"/>
      <w:numFmt w:val="upperLetter"/>
      <w:start w:val="7"/>
    </w:lvl>
  </w:abstractNum>
  <w:abstractNum w:abstractNumId="42">
    <w:nsid w:val="275AC794"/>
    <w:multiLevelType w:val="hybridMultilevel"/>
    <w:lvl w:ilvl="0">
      <w:lvlJc w:val="left"/>
      <w:lvlText w:val="(%1)"/>
      <w:numFmt w:val="lowerLetter"/>
      <w:start w:val="2"/>
    </w:lvl>
  </w:abstractNum>
  <w:abstractNum w:abstractNumId="43">
    <w:nsid w:val="39386575"/>
    <w:multiLevelType w:val="hybridMultilevel"/>
    <w:lvl w:ilvl="0">
      <w:lvlJc w:val="left"/>
      <w:lvlText w:val="%1."/>
      <w:numFmt w:val="decimal"/>
      <w:start w:val="13"/>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Roman"/>
      <w:start w:val="1"/>
    </w:lvl>
  </w:abstractNum>
  <w:abstractNum w:abstractNumId="46">
    <w:nsid w:val="235BA861"/>
    <w:multiLevelType w:val="hybridMultilevel"/>
    <w:lvl w:ilvl="0">
      <w:lvlJc w:val="left"/>
      <w:lvlText w:val="(%1)"/>
      <w:numFmt w:val="lowerRoman"/>
      <w:start w:val="3"/>
    </w:lvl>
  </w:abstractNum>
  <w:abstractNum w:abstractNumId="47">
    <w:nsid w:val="47398C89"/>
    <w:multiLevelType w:val="hybridMultilevel"/>
    <w:lvl w:ilvl="0">
      <w:lvlJc w:val="left"/>
      <w:lvlText w:val="%1."/>
      <w:numFmt w:val="decimal"/>
      <w:start w:val="14"/>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7"/>
    </w:lvl>
  </w:abstractNum>
  <w:abstractNum w:abstractNumId="53">
    <w:nsid w:val="3F6AB60F"/>
    <w:multiLevelType w:val="hybridMultilevel"/>
    <w:lvl w:ilvl="0">
      <w:lvlJc w:val="left"/>
      <w:lvlText w:val="(%1)"/>
      <w:numFmt w:val="lowerLetter"/>
      <w:start w:val="11"/>
    </w:lvl>
  </w:abstractNum>
  <w:abstractNum w:abstractNumId="54">
    <w:nsid w:val="61574095"/>
    <w:multiLevelType w:val="hybridMultilevel"/>
    <w:lvl w:ilvl="0">
      <w:lvlJc w:val="left"/>
      <w:lvlText w:val="(%1)"/>
      <w:numFmt w:val="lowerLetter"/>
      <w:start w:val="13"/>
    </w:lvl>
  </w:abstractNum>
  <w:abstractNum w:abstractNumId="55">
    <w:nsid w:val="7E0C57B1"/>
    <w:multiLevelType w:val="hybridMultilevel"/>
    <w:lvl w:ilvl="0">
      <w:lvlJc w:val="left"/>
      <w:lvlText w:val="(%1)"/>
      <w:numFmt w:val="lowerLetter"/>
      <w:start w:val="14"/>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7"/>
    </w:lvl>
  </w:abstractNum>
  <w:abstractNum w:abstractNumId="58">
    <w:nsid w:val="310C50B3"/>
    <w:multiLevelType w:val="hybridMultilevel"/>
    <w:lvl w:ilvl="0">
      <w:lvlJc w:val="left"/>
      <w:lvlText w:val="(%1)"/>
      <w:numFmt w:val="lowerLetter"/>
      <w:start w:val="9"/>
    </w:lvl>
    <w:lvl w:ilvl="1">
      <w:lvlJc w:val="left"/>
      <w:lvlText w:val="(%2)"/>
      <w:numFmt w:val="lowerLetter"/>
      <w:start w:val="11"/>
    </w:lvl>
  </w:abstractNum>
  <w:abstractNum w:abstractNumId="59">
    <w:nsid w:val="5FF87E05"/>
    <w:multiLevelType w:val="hybridMultilevel"/>
    <w:lvl w:ilvl="0">
      <w:lvlJc w:val="left"/>
      <w:lvlText w:val="(%1)"/>
      <w:numFmt w:val="lowerLetter"/>
      <w:start w:val="13"/>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5"/>
    </w:lvl>
  </w:abstractNum>
  <w:abstractNum w:abstractNumId="62">
    <w:nsid w:val="1DBABF00"/>
    <w:multiLevelType w:val="hybridMultilevel"/>
    <w:lvl w:ilvl="0">
      <w:lvlJc w:val="left"/>
      <w:lvlText w:val="(%1)"/>
      <w:numFmt w:val="lowerLetter"/>
      <w:start w:val="7"/>
    </w:lvl>
  </w:abstractNum>
  <w:abstractNum w:abstractNumId="63">
    <w:nsid w:val="4AD084E9"/>
    <w:multiLevelType w:val="hybridMultilevel"/>
    <w:lvl w:ilvl="0">
      <w:lvlJc w:val="left"/>
      <w:lvlText w:val="(%1)"/>
      <w:numFmt w:val="lowerLetter"/>
      <w:start w:val="11"/>
    </w:lvl>
  </w:abstractNum>
  <w:abstractNum w:abstractNumId="64">
    <w:nsid w:val="1F48EAA1"/>
    <w:multiLevelType w:val="hybridMultilevel"/>
    <w:lvl w:ilvl="0">
      <w:lvlJc w:val="left"/>
      <w:lvlText w:val="(%1)"/>
      <w:numFmt w:val="lowerLetter"/>
      <w:start w:val="13"/>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decimal"/>
      <w:start w:val="650"/>
    </w:lvl>
  </w:abstractNum>
  <w:abstractNum w:abstractNumId="67">
    <w:nsid w:val="100F8FCA"/>
    <w:multiLevelType w:val="hybridMultilevel"/>
    <w:lvl w:ilvl="0">
      <w:lvlJc w:val="left"/>
      <w:lvlText w:val="(%1)"/>
      <w:numFmt w:val="decimal"/>
      <w:start w:val="212"/>
    </w:lvl>
  </w:abstractNum>
  <w:abstractNum w:abstractNumId="68">
    <w:nsid w:val="6590700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2022-10-31T06:33:56Z</dcterms:created>
  <dcterms:modified xsi:type="dcterms:W3CDTF">2022-10-31T06:33:56Z</dcterms:modified>
</cp:coreProperties>
</file>