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ind w:left="3903"/>
        <w:spacing w:after="0"/>
        <w:rPr>
          <w:sz w:val="20"/>
          <w:szCs w:val="20"/>
          <w:color w:val="auto"/>
        </w:rPr>
      </w:pPr>
      <w:r>
        <w:rPr>
          <w:rFonts w:ascii="Arial" w:cs="Arial" w:eastAsia="Arial" w:hAnsi="Arial"/>
          <w:sz w:val="20"/>
          <w:szCs w:val="20"/>
          <w:b w:val="1"/>
          <w:bCs w:val="1"/>
          <w:color w:val="auto"/>
        </w:rPr>
        <w:t>(Amendment No. ___________)</w:t>
      </w:r>
    </w:p>
    <w:p>
      <w:pPr>
        <w:spacing w:after="0" w:line="200" w:lineRule="exact"/>
        <w:rPr>
          <w:sz w:val="24"/>
          <w:szCs w:val="24"/>
          <w:color w:val="auto"/>
        </w:rPr>
      </w:pPr>
    </w:p>
    <w:p>
      <w:pPr>
        <w:spacing w:after="0" w:line="223"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ALX Oncology Holdings Inc.</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(Name of Issuer)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00166B105</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Virginia Yee</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Logos Global Management LP</w:t>
      </w:r>
    </w:p>
    <w:p>
      <w:pPr>
        <w:jc w:val="center"/>
        <w:ind w:right="-62"/>
        <w:spacing w:after="0"/>
        <w:rPr>
          <w:sz w:val="20"/>
          <w:szCs w:val="20"/>
          <w:color w:val="auto"/>
        </w:rPr>
      </w:pPr>
      <w:r>
        <w:rPr>
          <w:rFonts w:ascii="Arial" w:cs="Arial" w:eastAsia="Arial" w:hAnsi="Arial"/>
          <w:sz w:val="20"/>
          <w:szCs w:val="20"/>
          <w:b w:val="1"/>
          <w:bCs w:val="1"/>
          <w:color w:val="auto"/>
        </w:rPr>
        <w:t>One Letterman Drive, Building D, Suite D3-700</w:t>
      </w:r>
    </w:p>
    <w:p>
      <w:pPr>
        <w:jc w:val="center"/>
        <w:ind w:right="-62"/>
        <w:spacing w:after="0"/>
        <w:rPr>
          <w:sz w:val="20"/>
          <w:szCs w:val="20"/>
          <w:color w:val="auto"/>
        </w:rPr>
      </w:pPr>
      <w:r>
        <w:rPr>
          <w:rFonts w:ascii="Arial" w:cs="Arial" w:eastAsia="Arial" w:hAnsi="Arial"/>
          <w:sz w:val="20"/>
          <w:szCs w:val="20"/>
          <w:b w:val="1"/>
          <w:bCs w:val="1"/>
          <w:color w:val="auto"/>
        </w:rPr>
        <w:t>San Francisco, CA 94129</w:t>
      </w:r>
    </w:p>
    <w:p>
      <w:pPr>
        <w:jc w:val="center"/>
        <w:ind w:right="-62"/>
        <w:spacing w:after="0"/>
        <w:rPr>
          <w:sz w:val="20"/>
          <w:szCs w:val="20"/>
          <w:color w:val="auto"/>
        </w:rPr>
      </w:pPr>
      <w:r>
        <w:rPr>
          <w:rFonts w:ascii="Arial" w:cs="Arial" w:eastAsia="Arial" w:hAnsi="Arial"/>
          <w:sz w:val="20"/>
          <w:szCs w:val="20"/>
          <w:b w:val="1"/>
          <w:bCs w:val="1"/>
          <w:color w:val="auto"/>
        </w:rPr>
        <w:t>Telephone: (415) 801-4660</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July 21, 2020</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sections 240.13d-1(e), 240.13d-1(f) or 140.13d-1(g), check the following box. [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Global Management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3,080,901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Global Management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3,080,901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Arsani William</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3,080,901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Graham Walmsley</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3,080,901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3,080,901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Opportunities Fund I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2,105,901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5.8%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Opportunities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2,105,901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5.8%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2,105,901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2,105,901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5.8%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00166B105</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statement relates to shares of Common Stock, par value $0.001 per share (the “Stock”), of </w:t>
      </w:r>
      <w:r>
        <w:rPr>
          <w:rFonts w:ascii="Arial" w:cs="Arial" w:eastAsia="Arial" w:hAnsi="Arial"/>
          <w:sz w:val="18"/>
          <w:szCs w:val="18"/>
          <w:b w:val="1"/>
          <w:bCs w:val="1"/>
          <w:color w:val="auto"/>
        </w:rPr>
        <w:t>ALX Oncology Holdings Inc.</w:t>
      </w:r>
      <w:r>
        <w:rPr>
          <w:rFonts w:ascii="Arial" w:cs="Arial" w:eastAsia="Arial" w:hAnsi="Arial"/>
          <w:sz w:val="18"/>
          <w:szCs w:val="18"/>
          <w:color w:val="auto"/>
        </w:rPr>
        <w:t xml:space="preserve"> (the “Issuer”).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principal executive office of the Issuer is located at </w:t>
      </w:r>
      <w:r>
        <w:rPr>
          <w:rFonts w:ascii="Arial" w:cs="Arial" w:eastAsia="Arial" w:hAnsi="Arial"/>
          <w:sz w:val="20"/>
          <w:szCs w:val="20"/>
          <w:b w:val="1"/>
          <w:bCs w:val="1"/>
          <w:color w:val="auto"/>
        </w:rPr>
        <w:t>866 Malcolm Road, Suite 100, Burlingame, California 94010</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220" w:hanging="644"/>
        <w:spacing w:after="0" w:line="29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Logos Opportunities Fund I LP (“Opportunities I”), Logos Global Management LP (“Logos Global”), Logos Opportunities GP LLC (“Logos Opportunities GP”), Logos GP LLC (“Logos GP”), Logos Global Management GP LLC (“Logos Global GP”), Arsani William and Graham Walmsley (collectively, the “Filers”).</w:t>
      </w:r>
    </w:p>
    <w:p>
      <w:pPr>
        <w:spacing w:after="0" w:line="157" w:lineRule="exact"/>
        <w:rPr>
          <w:rFonts w:ascii="Arial" w:cs="Arial" w:eastAsia="Arial" w:hAnsi="Arial"/>
          <w:sz w:val="18"/>
          <w:szCs w:val="18"/>
          <w:color w:val="auto"/>
        </w:rPr>
      </w:pPr>
    </w:p>
    <w:p>
      <w:pPr>
        <w:ind w:left="1300" w:right="100"/>
        <w:spacing w:after="0" w:line="285" w:lineRule="auto"/>
        <w:rPr>
          <w:rFonts w:ascii="Arial" w:cs="Arial" w:eastAsia="Arial" w:hAnsi="Arial"/>
          <w:sz w:val="18"/>
          <w:szCs w:val="18"/>
          <w:color w:val="auto"/>
        </w:rPr>
      </w:pPr>
      <w:r>
        <w:rPr>
          <w:rFonts w:ascii="Arial" w:cs="Arial" w:eastAsia="Arial" w:hAnsi="Arial"/>
          <w:sz w:val="18"/>
          <w:szCs w:val="18"/>
          <w:b w:val="1"/>
          <w:bCs w:val="1"/>
          <w:color w:val="auto"/>
        </w:rPr>
        <w:t>Opportunities I, Logos Opportunities GP and Logos GP are filing this statement jointly with the other Filers, but not as a member of a group and they expressly disclaim membership in a group. In addition, filing this Schedule 13D on behalf of Opportunities I should not be construed as an admission that it is, and it disclaims that it is, a beneficial owner, as defined in Rule 13d-3 under the Act, of any of the Stock covered by this Schedule 13D.</w:t>
      </w:r>
    </w:p>
    <w:p>
      <w:pPr>
        <w:spacing w:after="0" w:line="164" w:lineRule="exact"/>
        <w:rPr>
          <w:rFonts w:ascii="Arial" w:cs="Arial" w:eastAsia="Arial" w:hAnsi="Arial"/>
          <w:sz w:val="18"/>
          <w:szCs w:val="18"/>
          <w:color w:val="auto"/>
        </w:rPr>
      </w:pPr>
    </w:p>
    <w:p>
      <w:pPr>
        <w:ind w:left="1300" w:right="380"/>
        <w:spacing w:after="0" w:line="267" w:lineRule="auto"/>
        <w:rPr>
          <w:rFonts w:ascii="Arial" w:cs="Arial" w:eastAsia="Arial" w:hAnsi="Arial"/>
          <w:sz w:val="18"/>
          <w:szCs w:val="18"/>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One Letterman Drive, Building D, Suite D3-700, San Francisco, California 94129</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60"/>
        <w:spacing w:after="0" w:line="256" w:lineRule="auto"/>
        <w:rPr>
          <w:rFonts w:ascii="Arial" w:cs="Arial" w:eastAsia="Arial" w:hAnsi="Arial"/>
          <w:sz w:val="20"/>
          <w:szCs w:val="20"/>
          <w:color w:val="auto"/>
        </w:rPr>
      </w:pPr>
      <w:r>
        <w:rPr>
          <w:rFonts w:ascii="Arial" w:cs="Arial" w:eastAsia="Arial" w:hAnsi="Arial"/>
          <w:sz w:val="19"/>
          <w:szCs w:val="19"/>
          <w:b w:val="1"/>
          <w:bCs w:val="1"/>
          <w:color w:val="auto"/>
        </w:rPr>
        <w:t>Logos Global is an investment adviser to several private investment funds, including Opportunities I (collectively, the “Funds”). Logos Global GP is the general partner of Logos Global. Logos Opportunities GP is the general partner of Opportunities I. Logos GP is the manager of Logos Opportunities GP. Dr. William and Dr. Walmsley, two of the controlling persons of Logos Global and Logos GP, are the co-portfolio managers of Opportunities I, and Dr. William is the portfolio manager of the other Funds that own the Stock.</w:t>
      </w:r>
    </w:p>
    <w:p>
      <w:pPr>
        <w:spacing w:after="0" w:line="195"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Opportunities I acquired 2,105,901 shares of the Stock as a result of the automatic conversion of 2,105,901 shares of Series C Convertible Preferred Stock of the Issuer immediately prior to the completion of the Issuer’s initial public offering on July 21, 2020. No additional consideration was paid for those shares of Stock.</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Funds acquired 975,000 shares of the Stock in the Issuer’s initial public offering for a purchase price of $19.00 per share, or $18,525,000. The other Funds paid for such shares from working capital.</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are filing this Schedule 13D because Dr. Walmsley is on the Issuer’s board of directors. The Filers acquired the Stock for investment purposes.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now owned or hereafter acquired by any of them.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of the Act.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beneficial ownership of the Stock by each Filer on the date hereof is reflected on that Filer’s cover page.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Opportunities I acquired 2,105,901 shares of the Stock as a result of the automatic conversion of 2,105,901 shares of Series C Convertible Preferred Stock of the Issuer immediately prior to the completion of the Issuer’s initial public offering on July 21, 2020. In addition, other Funds purchased 975,000 shares of the Stock in the Issuer’s initial public offering. The Filers did not engage in any other transaction in the Stock in the past 60 days.</w:t>
      </w:r>
    </w:p>
    <w:p>
      <w:pPr>
        <w:spacing w:after="0" w:line="199" w:lineRule="exact"/>
        <w:rPr>
          <w:sz w:val="20"/>
          <w:szCs w:val="20"/>
          <w:color w:val="auto"/>
        </w:rPr>
      </w:pPr>
    </w:p>
    <w:p>
      <w:pPr>
        <w:ind w:right="2320"/>
        <w:spacing w:after="0" w:line="267" w:lineRule="auto"/>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 Registration Rights Agreement</w:t>
      </w:r>
    </w:p>
    <w:p>
      <w:pPr>
        <w:spacing w:after="0" w:line="16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Opportunities I and certain other stockholders of the Issuer entered into an Amended and Restated Investors’ Rights Agreement with the Issuer (the “Investors’ Rights Agreement”), dated as of April 1, 2020. Pursuant to the Investors’ Rights Agreement and subject to the terms and conditions therein, such persons have certain registration rights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Registration Rights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The holders, including Opportunities I, of an aggregate of 24,039,473 shares of Common Stock have certain demand registration rights. At any time beginning 180 days after July 16, 2020 and before the three-year anniversary of the date of the Investors’ Rights Agreement, the holders of at least 50% of the shares in the aggregate may request that the Issuer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S-3 Registration Rights</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holders, including Opportunities I, of an aggregate of 24,039,473 shares of Common Stock have certain Form S-3 registration rights. At any time when the Issuer is eligible to file a registration statement on Form S-3, the holders of at least 10% of these shares can make a request that the Issuer register their shares on Form S-3 if such request covers shares with an anticipated aggregate public offering price, net of underwriting discounts and expenses, of at least $1.0 million.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Piggyback Registration Rights</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holders, including Opportunities I, of an aggregate of 24,039,473 shares of Common Stock have certain “piggyback” registration rights. In the event that the Issuer registers any of its securities under the Securities Act, either for its own account or for the account of other security holders, the holders of these shares, including the Filers, will be entitled to certain piggyback registration rights allowing the holder to include their shares in such registration, subject to certain marketing and other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w:t>
      </w:r>
    </w:p>
    <w:p>
      <w:pPr>
        <w:sectPr>
          <w:pgSz w:w="11900" w:h="16838" w:orient="portrait"/>
          <w:cols w:equalWidth="0" w:num="1">
            <w:col w:w="11240"/>
          </w:cols>
          <w:pgMar w:left="320" w:top="233" w:right="339" w:bottom="213" w:gutter="0" w:footer="0" w:header="0"/>
        </w:sectPr>
      </w:pPr>
    </w:p>
    <w:bookmarkStart w:id="10" w:name="page11"/>
    <w:bookmarkEnd w:id="10"/>
    <w:p>
      <w:pPr>
        <w:ind w:right="40"/>
        <w:spacing w:after="0" w:line="270" w:lineRule="auto"/>
        <w:rPr>
          <w:sz w:val="20"/>
          <w:szCs w:val="20"/>
          <w:color w:val="auto"/>
        </w:rPr>
      </w:pPr>
      <w:r>
        <w:rPr>
          <w:rFonts w:ascii="Arial" w:cs="Arial" w:eastAsia="Arial" w:hAnsi="Arial"/>
          <w:sz w:val="19"/>
          <w:szCs w:val="19"/>
          <w:color w:val="auto"/>
        </w:rPr>
        <w:t>The Investors’ Rights Agreement contains customary cross-indemnification provisions, under which the Issuer is obligated to indemnify holders of registrable securities in the event of material misstatements or omissions in the registration statement attributable to the Issuer, and they are obligated to indemnify the Issuer for material misstatements or omissions attributable to them.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 of Registration</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Issuer will pay the registration expenses, other than underwriting discounts and commissions, of the shares registered by the demand, Form S-3 and piggyback registrations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Registration Rights</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demand, Form S-3 and piggyback registration rights described above will expire upon the earliest of (1) the fifth anniversary after the closing of the Issuer’s initial public offering, (2) a deemed liquidation event (as defined in the Issuer’s amended and restated certificate of incorporation, as presently in effect) and (3) such time after the completion of the Issuer’s initial public offering that such stockholder can sell all of its shares entitled to registration rights under Rule 144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Lock-Up Agreement</w:t>
      </w:r>
    </w:p>
    <w:p>
      <w:pPr>
        <w:spacing w:after="0" w:line="22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In connection with the Issuer’s initial public offering, the Issuer’s directors and officers, including Dr. Walmsley, the Issuer’s executive officers and substantially all of the Issuer’s stockholders, including Opportunities I, entered into market lock-up agreements (the “Lock-up Agreements”) with the underwriters for the Offering, pursuant to which they agreed, subject to certain exceptions, not to dispose of or hedge any of their Common Stock or securities convertible into or exchangeable for shares of common stock during the period from July 16, 2020 continuing through the date 180 days thereafter, except with the prior consent of Jefferies LLC, Credit Suisse Securities (USA) LLC and Piper Sandler &amp; Co.</w:t>
      </w:r>
    </w:p>
    <w:p>
      <w:pPr>
        <w:spacing w:after="0" w:line="19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foregoing description of the Investors’ Rights Agreement and the Lock-Up Agreement does not purport to be complete and is qualified in its entirety by reference to the full text of such agreements, which are incorporated herein by reference.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ind w:left="1300" w:right="300" w:hanging="1295"/>
        <w:spacing w:after="0" w:line="250" w:lineRule="auto"/>
        <w:rPr>
          <w:sz w:val="20"/>
          <w:szCs w:val="20"/>
          <w:color w:val="auto"/>
        </w:rPr>
      </w:pPr>
      <w:r>
        <w:rPr>
          <w:rFonts w:ascii="Arial" w:cs="Arial" w:eastAsia="Arial" w:hAnsi="Arial"/>
          <w:sz w:val="20"/>
          <w:szCs w:val="20"/>
          <w:color w:val="auto"/>
        </w:rPr>
        <w:t>Exhibit B Amended and Restated Investor Rights Agreement among the Issuer, Opportunities I and certain other stockholders, attached as Exhibit 4.1 to the Issuer’s Form S-1 Registration Statement (No. 333-239490), filed on June 26, 2020, and incorporated herein by reference.</w:t>
      </w:r>
    </w:p>
    <w:p>
      <w:pPr>
        <w:spacing w:after="0" w:line="186" w:lineRule="exact"/>
        <w:rPr>
          <w:sz w:val="20"/>
          <w:szCs w:val="20"/>
          <w:color w:val="auto"/>
        </w:rPr>
      </w:pPr>
    </w:p>
    <w:p>
      <w:pPr>
        <w:ind w:left="1300" w:right="800" w:hanging="1295"/>
        <w:spacing w:after="0" w:line="250" w:lineRule="auto"/>
        <w:rPr>
          <w:sz w:val="20"/>
          <w:szCs w:val="20"/>
          <w:color w:val="auto"/>
        </w:rPr>
      </w:pPr>
      <w:r>
        <w:rPr>
          <w:rFonts w:ascii="Arial" w:cs="Arial" w:eastAsia="Arial" w:hAnsi="Arial"/>
          <w:sz w:val="20"/>
          <w:szCs w:val="20"/>
          <w:color w:val="auto"/>
        </w:rPr>
        <w:t>Exhibit C Lock Up Agreement, in the form attached as Exhibit C to the Form of Underwriting Agreement attached as Exhibit 1.1 to Amendment No. 1 to the Issuer’s Form S-1 Registration Statement (No. 333-239490) filed on July 13,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SIGNATURES</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August 25, 2020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260" w:type="dxa"/>
            <w:vAlign w:val="bottom"/>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Arsani William</w:t>
            </w:r>
          </w:p>
        </w:tc>
        <w:tc>
          <w:tcPr>
            <w:tcW w:w="6340" w:type="dxa"/>
            <w:vAlign w:val="bottom"/>
          </w:tcPr>
          <w:p>
            <w:pPr>
              <w:ind w:left="136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Graham Walmsley</w:t>
            </w:r>
          </w:p>
        </w:tc>
        <w:tc>
          <w:tcPr>
            <w:tcW w:w="0" w:type="dxa"/>
            <w:vAlign w:val="bottom"/>
          </w:tcPr>
          <w:p>
            <w:pPr>
              <w:spacing w:after="0"/>
              <w:rPr>
                <w:sz w:val="1"/>
                <w:szCs w:val="1"/>
                <w:color w:val="auto"/>
              </w:rPr>
            </w:pPr>
          </w:p>
        </w:tc>
      </w:tr>
      <w:tr>
        <w:trPr>
          <w:trHeight w:val="688"/>
        </w:trPr>
        <w:tc>
          <w:tcPr>
            <w:tcW w:w="4260" w:type="dxa"/>
            <w:vAlign w:val="bottom"/>
          </w:tcPr>
          <w:p>
            <w:pPr>
              <w:spacing w:after="0"/>
              <w:rPr>
                <w:sz w:val="20"/>
                <w:szCs w:val="20"/>
                <w:color w:val="auto"/>
              </w:rPr>
            </w:pPr>
            <w:r>
              <w:rPr>
                <w:rFonts w:ascii="Arial" w:cs="Arial" w:eastAsia="Arial" w:hAnsi="Arial"/>
                <w:sz w:val="20"/>
                <w:szCs w:val="20"/>
                <w:b w:val="1"/>
                <w:bCs w:val="1"/>
                <w:color w:val="auto"/>
              </w:rPr>
              <w:t>Logos Global Management LP</w:t>
            </w:r>
          </w:p>
        </w:tc>
        <w:tc>
          <w:tcPr>
            <w:tcW w:w="6340" w:type="dxa"/>
            <w:vAlign w:val="bottom"/>
          </w:tcPr>
          <w:p>
            <w:pPr>
              <w:ind w:left="1360"/>
              <w:spacing w:after="0"/>
              <w:rPr>
                <w:sz w:val="20"/>
                <w:szCs w:val="20"/>
                <w:color w:val="auto"/>
              </w:rPr>
            </w:pPr>
            <w:r>
              <w:rPr>
                <w:rFonts w:ascii="Arial" w:cs="Arial" w:eastAsia="Arial" w:hAnsi="Arial"/>
                <w:sz w:val="20"/>
                <w:szCs w:val="20"/>
                <w:b w:val="1"/>
                <w:bCs w:val="1"/>
                <w:color w:val="auto"/>
              </w:rPr>
              <w:t>Logos Opportunities Fund I LP</w:t>
            </w:r>
          </w:p>
        </w:tc>
        <w:tc>
          <w:tcPr>
            <w:tcW w:w="0" w:type="dxa"/>
            <w:vAlign w:val="bottom"/>
          </w:tcPr>
          <w:p>
            <w:pPr>
              <w:spacing w:after="0"/>
              <w:rPr>
                <w:sz w:val="1"/>
                <w:szCs w:val="1"/>
                <w:color w:val="auto"/>
              </w:rPr>
            </w:pPr>
          </w:p>
        </w:tc>
      </w:tr>
      <w:tr>
        <w:trPr>
          <w:trHeight w:val="438"/>
        </w:trPr>
        <w:tc>
          <w:tcPr>
            <w:tcW w:w="4260" w:type="dxa"/>
            <w:vAlign w:val="bottom"/>
          </w:tcPr>
          <w:p>
            <w:pPr>
              <w:spacing w:after="0"/>
              <w:rPr>
                <w:sz w:val="24"/>
                <w:szCs w:val="24"/>
                <w:color w:val="auto"/>
              </w:rPr>
            </w:pPr>
          </w:p>
        </w:tc>
        <w:tc>
          <w:tcPr>
            <w:tcW w:w="6340" w:type="dxa"/>
            <w:vAlign w:val="bottom"/>
          </w:tcPr>
          <w:p>
            <w:pPr>
              <w:ind w:left="1360"/>
              <w:spacing w:after="0"/>
              <w:rPr>
                <w:sz w:val="20"/>
                <w:szCs w:val="20"/>
                <w:color w:val="auto"/>
              </w:rPr>
            </w:pPr>
            <w:r>
              <w:rPr>
                <w:rFonts w:ascii="Arial" w:cs="Arial" w:eastAsia="Arial" w:hAnsi="Arial"/>
                <w:sz w:val="20"/>
                <w:szCs w:val="20"/>
                <w:color w:val="auto"/>
                <w:w w:val="89"/>
              </w:rPr>
              <w:t>By Logos Global Management LP, its investment manager and</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20"/>
                <w:szCs w:val="20"/>
                <w:color w:val="auto"/>
              </w:rPr>
              <w:t>By: /s/ Arsani William</w:t>
            </w:r>
          </w:p>
        </w:tc>
        <w:tc>
          <w:tcPr>
            <w:tcW w:w="6340" w:type="dxa"/>
            <w:vAlign w:val="bottom"/>
          </w:tcPr>
          <w:p>
            <w:pPr>
              <w:ind w:left="1360"/>
              <w:spacing w:after="0"/>
              <w:rPr>
                <w:sz w:val="20"/>
                <w:szCs w:val="20"/>
                <w:color w:val="auto"/>
              </w:rPr>
            </w:pPr>
            <w:r>
              <w:rPr>
                <w:rFonts w:ascii="Arial" w:cs="Arial" w:eastAsia="Arial" w:hAnsi="Arial"/>
                <w:sz w:val="20"/>
                <w:szCs w:val="20"/>
                <w:color w:val="auto"/>
              </w:rPr>
              <w:t>attorney-in-fact</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0"/>
                <w:szCs w:val="20"/>
                <w:color w:val="auto"/>
              </w:rPr>
            </w:pPr>
            <w:r>
              <w:rPr>
                <w:rFonts w:ascii="Arial" w:cs="Arial" w:eastAsia="Arial" w:hAnsi="Arial"/>
                <w:sz w:val="20"/>
                <w:szCs w:val="20"/>
                <w:color w:val="auto"/>
              </w:rPr>
              <w:t>Title: Manager</w:t>
            </w:r>
          </w:p>
        </w:tc>
        <w:tc>
          <w:tcPr>
            <w:tcW w:w="6340" w:type="dxa"/>
            <w:vAlign w:val="bottom"/>
            <w:vMerge w:val="restart"/>
          </w:tcPr>
          <w:p>
            <w:pPr>
              <w:ind w:left="136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340" w:type="dxa"/>
            <w:vAlign w:val="bottom"/>
          </w:tcPr>
          <w:p>
            <w:pPr>
              <w:ind w:left="136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0"/>
                <w:szCs w:val="20"/>
                <w:color w:val="auto"/>
              </w:rPr>
            </w:pPr>
            <w:r>
              <w:rPr>
                <w:rFonts w:ascii="Arial" w:cs="Arial" w:eastAsia="Arial" w:hAnsi="Arial"/>
                <w:sz w:val="20"/>
                <w:szCs w:val="20"/>
                <w:b w:val="1"/>
                <w:bCs w:val="1"/>
                <w:color w:val="auto"/>
              </w:rPr>
              <w:t>Logos Global Management GP LLC</w:t>
            </w:r>
          </w:p>
        </w:tc>
        <w:tc>
          <w:tcPr>
            <w:tcW w:w="6340" w:type="dxa"/>
            <w:vAlign w:val="bottom"/>
          </w:tcPr>
          <w:p>
            <w:pPr>
              <w:ind w:left="1360"/>
              <w:spacing w:after="0"/>
              <w:rPr>
                <w:sz w:val="20"/>
                <w:szCs w:val="20"/>
                <w:color w:val="auto"/>
              </w:rPr>
            </w:pPr>
            <w:r>
              <w:rPr>
                <w:rFonts w:ascii="Arial" w:cs="Arial" w:eastAsia="Arial" w:hAnsi="Arial"/>
                <w:sz w:val="20"/>
                <w:szCs w:val="20"/>
                <w:b w:val="1"/>
                <w:bCs w:val="1"/>
                <w:color w:val="auto"/>
              </w:rPr>
              <w:t>Logos Opportunities GP LLC</w:t>
            </w:r>
          </w:p>
        </w:tc>
        <w:tc>
          <w:tcPr>
            <w:tcW w:w="0" w:type="dxa"/>
            <w:vAlign w:val="bottom"/>
          </w:tcPr>
          <w:p>
            <w:pPr>
              <w:spacing w:after="0"/>
              <w:rPr>
                <w:sz w:val="1"/>
                <w:szCs w:val="1"/>
                <w:color w:val="auto"/>
              </w:rPr>
            </w:pPr>
          </w:p>
        </w:tc>
      </w:tr>
      <w:tr>
        <w:trPr>
          <w:trHeight w:val="459"/>
        </w:trPr>
        <w:tc>
          <w:tcPr>
            <w:tcW w:w="4260" w:type="dxa"/>
            <w:vAlign w:val="bottom"/>
            <w:vMerge w:val="restart"/>
          </w:tcPr>
          <w:p>
            <w:pPr>
              <w:spacing w:after="0"/>
              <w:rPr>
                <w:sz w:val="20"/>
                <w:szCs w:val="20"/>
                <w:color w:val="auto"/>
              </w:rPr>
            </w:pPr>
            <w:r>
              <w:rPr>
                <w:rFonts w:ascii="Arial" w:cs="Arial" w:eastAsia="Arial" w:hAnsi="Arial"/>
                <w:sz w:val="20"/>
                <w:szCs w:val="20"/>
                <w:color w:val="auto"/>
              </w:rPr>
              <w:t>By: /s/ Arsani William</w:t>
            </w:r>
          </w:p>
        </w:tc>
        <w:tc>
          <w:tcPr>
            <w:tcW w:w="6340" w:type="dxa"/>
            <w:vAlign w:val="bottom"/>
          </w:tcPr>
          <w:p>
            <w:pPr>
              <w:ind w:left="1360"/>
              <w:spacing w:after="0"/>
              <w:rPr>
                <w:sz w:val="20"/>
                <w:szCs w:val="20"/>
                <w:color w:val="auto"/>
              </w:rPr>
            </w:pPr>
            <w:r>
              <w:rPr>
                <w:rFonts w:ascii="Arial" w:cs="Arial" w:eastAsia="Arial" w:hAnsi="Arial"/>
                <w:sz w:val="20"/>
                <w:szCs w:val="20"/>
                <w:color w:val="auto"/>
              </w:rPr>
              <w:t>By Logos GP LLC, its Manager</w:t>
            </w:r>
          </w:p>
        </w:tc>
        <w:tc>
          <w:tcPr>
            <w:tcW w:w="0" w:type="dxa"/>
            <w:vAlign w:val="bottom"/>
          </w:tcPr>
          <w:p>
            <w:pPr>
              <w:spacing w:after="0"/>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0"/>
                <w:szCs w:val="20"/>
                <w:color w:val="auto"/>
              </w:rPr>
            </w:pPr>
            <w:r>
              <w:rPr>
                <w:rFonts w:ascii="Arial" w:cs="Arial" w:eastAsia="Arial" w:hAnsi="Arial"/>
                <w:sz w:val="20"/>
                <w:szCs w:val="20"/>
                <w:color w:val="auto"/>
              </w:rPr>
              <w:t>Title: Manager</w:t>
            </w:r>
          </w:p>
        </w:tc>
        <w:tc>
          <w:tcPr>
            <w:tcW w:w="6340" w:type="dxa"/>
            <w:vAlign w:val="bottom"/>
            <w:vMerge w:val="restart"/>
          </w:tcPr>
          <w:p>
            <w:pPr>
              <w:ind w:left="136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340" w:type="dxa"/>
            <w:vAlign w:val="bottom"/>
          </w:tcPr>
          <w:p>
            <w:pPr>
              <w:ind w:left="136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6340" w:type="dxa"/>
            <w:vAlign w:val="bottom"/>
          </w:tcPr>
          <w:p>
            <w:pPr>
              <w:ind w:left="1360"/>
              <w:spacing w:after="0"/>
              <w:rPr>
                <w:sz w:val="20"/>
                <w:szCs w:val="20"/>
                <w:color w:val="auto"/>
              </w:rPr>
            </w:pPr>
            <w:r>
              <w:rPr>
                <w:rFonts w:ascii="Arial" w:cs="Arial" w:eastAsia="Arial" w:hAnsi="Arial"/>
                <w:sz w:val="20"/>
                <w:szCs w:val="20"/>
                <w:b w:val="1"/>
                <w:bCs w:val="1"/>
                <w:color w:val="auto"/>
              </w:rPr>
              <w:t>Logos GP LLC</w:t>
            </w:r>
          </w:p>
        </w:tc>
        <w:tc>
          <w:tcPr>
            <w:tcW w:w="0" w:type="dxa"/>
            <w:vAlign w:val="bottom"/>
          </w:tcPr>
          <w:p>
            <w:pPr>
              <w:spacing w:after="0"/>
              <w:rPr>
                <w:sz w:val="1"/>
                <w:szCs w:val="1"/>
                <w:color w:val="auto"/>
              </w:rPr>
            </w:pPr>
          </w:p>
        </w:tc>
      </w:tr>
      <w:tr>
        <w:trPr>
          <w:trHeight w:val="668"/>
        </w:trPr>
        <w:tc>
          <w:tcPr>
            <w:tcW w:w="4260" w:type="dxa"/>
            <w:vAlign w:val="bottom"/>
          </w:tcPr>
          <w:p>
            <w:pPr>
              <w:spacing w:after="0"/>
              <w:rPr>
                <w:sz w:val="24"/>
                <w:szCs w:val="24"/>
                <w:color w:val="auto"/>
              </w:rPr>
            </w:pPr>
          </w:p>
        </w:tc>
        <w:tc>
          <w:tcPr>
            <w:tcW w:w="6340" w:type="dxa"/>
            <w:vAlign w:val="bottom"/>
          </w:tcPr>
          <w:p>
            <w:pPr>
              <w:ind w:left="136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340" w:type="dxa"/>
            <w:vAlign w:val="bottom"/>
          </w:tcPr>
          <w:p>
            <w:pPr>
              <w:ind w:left="136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42"/>
        </w:trPr>
        <w:tc>
          <w:tcPr>
            <w:tcW w:w="4260" w:type="dxa"/>
            <w:vAlign w:val="bottom"/>
          </w:tcPr>
          <w:p>
            <w:pPr>
              <w:spacing w:after="0"/>
              <w:rPr>
                <w:sz w:val="24"/>
                <w:szCs w:val="24"/>
                <w:color w:val="auto"/>
              </w:rPr>
            </w:pPr>
          </w:p>
        </w:tc>
        <w:tc>
          <w:tcPr>
            <w:tcW w:w="6340" w:type="dxa"/>
            <w:vAlign w:val="bottom"/>
          </w:tcPr>
          <w:p>
            <w:pPr>
              <w:ind w:left="1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0700"/>
          </w:cols>
          <w:pgMar w:left="320" w:top="233" w:right="8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August 25, 2020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340" w:type="dxa"/>
            <w:vAlign w:val="bottom"/>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Graham Walmsley</w:t>
            </w:r>
          </w:p>
        </w:tc>
        <w:tc>
          <w:tcPr>
            <w:tcW w:w="0" w:type="dxa"/>
            <w:vAlign w:val="bottom"/>
          </w:tcPr>
          <w:p>
            <w:pPr>
              <w:spacing w:after="0"/>
              <w:rPr>
                <w:sz w:val="1"/>
                <w:szCs w:val="1"/>
                <w:color w:val="auto"/>
              </w:rPr>
            </w:pPr>
          </w:p>
        </w:tc>
      </w:tr>
      <w:tr>
        <w:trPr>
          <w:trHeight w:val="688"/>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LP</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Fund I LP</w:t>
            </w:r>
          </w:p>
        </w:tc>
        <w:tc>
          <w:tcPr>
            <w:tcW w:w="0" w:type="dxa"/>
            <w:vAlign w:val="bottom"/>
          </w:tcPr>
          <w:p>
            <w:pPr>
              <w:spacing w:after="0"/>
              <w:rPr>
                <w:sz w:val="1"/>
                <w:szCs w:val="1"/>
                <w:color w:val="auto"/>
              </w:rPr>
            </w:pPr>
          </w:p>
        </w:tc>
      </w:tr>
      <w:tr>
        <w:trPr>
          <w:trHeight w:val="43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w w:val="89"/>
              </w:rPr>
              <w:t>By Logos Global Management LP, its investment manager and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attorney-in-fact</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GP LLC</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GP LLC</w:t>
            </w:r>
          </w:p>
        </w:tc>
        <w:tc>
          <w:tcPr>
            <w:tcW w:w="0" w:type="dxa"/>
            <w:vAlign w:val="bottom"/>
          </w:tcPr>
          <w:p>
            <w:pPr>
              <w:spacing w:after="0"/>
              <w:rPr>
                <w:sz w:val="1"/>
                <w:szCs w:val="1"/>
                <w:color w:val="auto"/>
              </w:rPr>
            </w:pPr>
          </w:p>
        </w:tc>
      </w:tr>
      <w:tr>
        <w:trPr>
          <w:trHeight w:val="459"/>
        </w:trPr>
        <w:tc>
          <w:tcPr>
            <w:tcW w:w="4340" w:type="dxa"/>
            <w:vAlign w:val="bottom"/>
            <w:vMerge w:val="restart"/>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By Logos GP LLC, its Manager</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GP LLC</w:t>
            </w:r>
          </w:p>
        </w:tc>
        <w:tc>
          <w:tcPr>
            <w:tcW w:w="0" w:type="dxa"/>
            <w:vAlign w:val="bottom"/>
          </w:tcPr>
          <w:p>
            <w:pPr>
              <w:spacing w:after="0"/>
              <w:rPr>
                <w:sz w:val="1"/>
                <w:szCs w:val="1"/>
                <w:color w:val="auto"/>
              </w:rPr>
            </w:pPr>
          </w:p>
        </w:tc>
      </w:tr>
      <w:tr>
        <w:trPr>
          <w:trHeight w:val="66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decimal"/>
      <w:start w:val="11"/>
    </w:lvl>
  </w:abstractNum>
  <w:abstractNum w:abstractNumId="3">
    <w:nsid w:val="4DB127F8"/>
    <w:multiLevelType w:val="hybridMultilevel"/>
    <w:lvl w:ilvl="0">
      <w:lvlJc w:val="left"/>
      <w:lvlText w:val="%1."/>
      <w:numFmt w:val="decimal"/>
      <w:start w:val="1"/>
    </w:lvl>
    <w:lvl w:ilvl="1">
      <w:lvlJc w:val="left"/>
      <w:lvlText w:val="(%2)"/>
      <w:numFmt w:val="lowerLetter"/>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lvl w:ilvl="1">
      <w:lvlJc w:val="left"/>
      <w:lvlText w:val="(%2)"/>
      <w:numFmt w:val="lowerLetter"/>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lvl w:ilvl="1">
      <w:lvlJc w:val="left"/>
      <w:lvlText w:val="(%2)"/>
      <w:numFmt w:val="lowerLetter"/>
      <w:start w:val="1"/>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2020-08-26T05:12:15Z</dcterms:created>
  <dcterms:modified xsi:type="dcterms:W3CDTF">2020-08-26T05:12:15Z</dcterms:modified>
</cp:coreProperties>
</file>